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BD8C" w14:textId="1F77963F" w:rsidR="008C6575" w:rsidRPr="008E348A" w:rsidRDefault="008C6575" w:rsidP="008C6575">
      <w:pPr>
        <w:pStyle w:val="Heading1"/>
        <w:pBdr>
          <w:bottom w:val="single" w:sz="12" w:space="1" w:color="auto"/>
        </w:pBdr>
        <w:spacing w:after="0" w:line="240" w:lineRule="auto"/>
        <w:jc w:val="both"/>
        <w:rPr>
          <w:rFonts w:ascii="Times New Roman" w:hAnsi="Times New Roman"/>
          <w:szCs w:val="22"/>
          <w:lang w:val="sv-SE"/>
        </w:rPr>
      </w:pPr>
      <w:r>
        <w:rPr>
          <w:rFonts w:ascii="Times New Roman" w:hAnsi="Times New Roman"/>
          <w:szCs w:val="22"/>
          <w:lang w:val="sv-SE"/>
        </w:rPr>
        <w:t>Förslag till b</w:t>
      </w:r>
      <w:r w:rsidRPr="008E348A">
        <w:rPr>
          <w:rFonts w:ascii="Times New Roman" w:hAnsi="Times New Roman"/>
          <w:szCs w:val="22"/>
          <w:lang w:val="sv-SE"/>
        </w:rPr>
        <w:t xml:space="preserve">eslut om </w:t>
      </w:r>
      <w:r>
        <w:rPr>
          <w:rFonts w:ascii="Times New Roman" w:hAnsi="Times New Roman"/>
          <w:szCs w:val="22"/>
          <w:lang w:val="sv-SE"/>
        </w:rPr>
        <w:t xml:space="preserve">implementering av </w:t>
      </w:r>
      <w:r w:rsidRPr="008E348A">
        <w:rPr>
          <w:rFonts w:ascii="Times New Roman" w:hAnsi="Times New Roman"/>
          <w:szCs w:val="22"/>
          <w:lang w:val="sv-SE"/>
        </w:rPr>
        <w:t xml:space="preserve">Prestationsaktieprogram </w:t>
      </w:r>
      <w:r>
        <w:rPr>
          <w:rFonts w:ascii="Times New Roman" w:hAnsi="Times New Roman"/>
          <w:szCs w:val="22"/>
          <w:lang w:val="sv-SE"/>
        </w:rPr>
        <w:t>2025/2028:3</w:t>
      </w:r>
    </w:p>
    <w:p w14:paraId="60E27814" w14:textId="2465985B" w:rsidR="008C6575" w:rsidRPr="008E348A" w:rsidRDefault="008C6575" w:rsidP="008C6575">
      <w:pPr>
        <w:pStyle w:val="Heading1"/>
        <w:pBdr>
          <w:bottom w:val="single" w:sz="12" w:space="1" w:color="auto"/>
        </w:pBdr>
        <w:spacing w:after="0" w:line="240" w:lineRule="auto"/>
        <w:jc w:val="both"/>
        <w:rPr>
          <w:rFonts w:ascii="Times New Roman" w:hAnsi="Times New Roman"/>
          <w:i/>
          <w:szCs w:val="22"/>
        </w:rPr>
      </w:pPr>
      <w:r>
        <w:rPr>
          <w:rFonts w:ascii="Times New Roman" w:hAnsi="Times New Roman"/>
          <w:i/>
          <w:szCs w:val="22"/>
        </w:rPr>
        <w:t xml:space="preserve">Proposal for resolution to implement </w:t>
      </w:r>
      <w:r w:rsidRPr="008E348A">
        <w:rPr>
          <w:rFonts w:ascii="Times New Roman" w:hAnsi="Times New Roman"/>
          <w:i/>
          <w:szCs w:val="22"/>
        </w:rPr>
        <w:t xml:space="preserve">Performance Share Program </w:t>
      </w:r>
      <w:r>
        <w:rPr>
          <w:rFonts w:ascii="Times New Roman" w:hAnsi="Times New Roman"/>
          <w:i/>
          <w:szCs w:val="22"/>
        </w:rPr>
        <w:t>2025/2028:3</w:t>
      </w:r>
    </w:p>
    <w:p w14:paraId="6B257765" w14:textId="77777777" w:rsidR="008C6575" w:rsidRPr="008E348A" w:rsidRDefault="008C6575" w:rsidP="008C6575">
      <w:pPr>
        <w:pStyle w:val="BodyText"/>
        <w:spacing w:after="0"/>
        <w:rPr>
          <w:bCs/>
          <w:szCs w:val="22"/>
          <w:lang w:val="en-US"/>
        </w:rPr>
      </w:pPr>
    </w:p>
    <w:p w14:paraId="17625F9F" w14:textId="5BCE9448" w:rsidR="008C6575" w:rsidRPr="008E348A" w:rsidRDefault="008C6575" w:rsidP="008C6575">
      <w:pPr>
        <w:pStyle w:val="BodyText"/>
        <w:spacing w:after="0"/>
        <w:rPr>
          <w:szCs w:val="22"/>
          <w:lang w:val="sv-SE"/>
        </w:rPr>
      </w:pPr>
      <w:r w:rsidRPr="008E348A">
        <w:rPr>
          <w:szCs w:val="22"/>
          <w:lang w:val="sv-SE"/>
        </w:rPr>
        <w:t xml:space="preserve">Styrelsen för </w:t>
      </w:r>
      <w:r w:rsidRPr="008E348A">
        <w:rPr>
          <w:bCs/>
          <w:iCs/>
          <w:szCs w:val="22"/>
          <w:lang w:val="sv-SE"/>
        </w:rPr>
        <w:t xml:space="preserve">Biovica International AB, org.nr </w:t>
      </w:r>
      <w:proofErr w:type="gramStart"/>
      <w:r w:rsidRPr="008E348A">
        <w:rPr>
          <w:bCs/>
          <w:iCs/>
          <w:szCs w:val="22"/>
          <w:lang w:val="sv-SE"/>
        </w:rPr>
        <w:t>556774-6150</w:t>
      </w:r>
      <w:proofErr w:type="gramEnd"/>
      <w:r>
        <w:rPr>
          <w:bCs/>
          <w:iCs/>
          <w:szCs w:val="22"/>
          <w:lang w:val="sv-SE"/>
        </w:rPr>
        <w:t xml:space="preserve"> </w:t>
      </w:r>
      <w:r w:rsidRPr="008E348A">
        <w:rPr>
          <w:bCs/>
          <w:iCs/>
          <w:szCs w:val="22"/>
          <w:lang w:val="sv-SE"/>
        </w:rPr>
        <w:t>("</w:t>
      </w:r>
      <w:r w:rsidRPr="008E348A">
        <w:rPr>
          <w:b/>
          <w:bCs/>
          <w:iCs/>
          <w:szCs w:val="22"/>
          <w:lang w:val="sv-SE"/>
        </w:rPr>
        <w:t>Bolaget</w:t>
      </w:r>
      <w:r w:rsidRPr="008E348A">
        <w:rPr>
          <w:bCs/>
          <w:iCs/>
          <w:szCs w:val="22"/>
          <w:lang w:val="sv-SE"/>
        </w:rPr>
        <w:t>")</w:t>
      </w:r>
      <w:r>
        <w:rPr>
          <w:bCs/>
          <w:iCs/>
          <w:szCs w:val="22"/>
          <w:lang w:val="sv-SE"/>
        </w:rPr>
        <w:t>,</w:t>
      </w:r>
      <w:r w:rsidRPr="008E348A">
        <w:rPr>
          <w:szCs w:val="22"/>
          <w:lang w:val="sv-SE"/>
        </w:rPr>
        <w:t xml:space="preserve"> </w:t>
      </w:r>
      <w:bookmarkStart w:id="0" w:name="_Hlk206170318"/>
      <w:r w:rsidRPr="008E348A">
        <w:rPr>
          <w:szCs w:val="22"/>
          <w:lang w:val="sv-SE"/>
        </w:rPr>
        <w:t xml:space="preserve">föreslår att </w:t>
      </w:r>
      <w:r>
        <w:rPr>
          <w:szCs w:val="22"/>
          <w:lang w:val="sv-SE"/>
        </w:rPr>
        <w:t>årsstämman</w:t>
      </w:r>
      <w:r w:rsidRPr="008E348A">
        <w:rPr>
          <w:szCs w:val="22"/>
          <w:lang w:val="sv-SE"/>
        </w:rPr>
        <w:t xml:space="preserve"> beslutar om </w:t>
      </w:r>
      <w:r>
        <w:rPr>
          <w:szCs w:val="22"/>
          <w:lang w:val="sv-SE"/>
        </w:rPr>
        <w:t>att implementera</w:t>
      </w:r>
      <w:r w:rsidRPr="008E348A">
        <w:rPr>
          <w:szCs w:val="22"/>
          <w:lang w:val="sv-SE"/>
        </w:rPr>
        <w:t xml:space="preserve"> Prestationsaktieprogram </w:t>
      </w:r>
      <w:r>
        <w:rPr>
          <w:szCs w:val="22"/>
          <w:lang w:val="sv-SE"/>
        </w:rPr>
        <w:t>2025/2028:3</w:t>
      </w:r>
      <w:r w:rsidRPr="008E348A">
        <w:rPr>
          <w:szCs w:val="22"/>
          <w:lang w:val="sv-SE"/>
        </w:rPr>
        <w:t xml:space="preserve"> enligt i huvudsak följande riktlinjer</w:t>
      </w:r>
      <w:r>
        <w:rPr>
          <w:szCs w:val="22"/>
          <w:lang w:val="sv-SE"/>
        </w:rPr>
        <w:t>.</w:t>
      </w:r>
      <w:bookmarkEnd w:id="0"/>
    </w:p>
    <w:p w14:paraId="33FB090A" w14:textId="7BE9D6DB" w:rsidR="008C6575" w:rsidRPr="008E348A" w:rsidRDefault="008C6575" w:rsidP="008C6575">
      <w:pPr>
        <w:pStyle w:val="BodyText"/>
        <w:spacing w:after="0"/>
        <w:rPr>
          <w:i/>
          <w:iCs/>
          <w:szCs w:val="22"/>
          <w:lang w:val="en-US"/>
        </w:rPr>
      </w:pPr>
      <w:r w:rsidRPr="008E348A">
        <w:rPr>
          <w:i/>
          <w:iCs/>
          <w:szCs w:val="22"/>
          <w:lang w:val="en-US"/>
        </w:rPr>
        <w:t xml:space="preserve">The board of directors of </w:t>
      </w:r>
      <w:r w:rsidRPr="008E348A">
        <w:rPr>
          <w:i/>
          <w:szCs w:val="22"/>
          <w:lang w:val="en-US"/>
        </w:rPr>
        <w:t>Biovica International AB, reg. no. 556774-6150 (the "</w:t>
      </w:r>
      <w:r w:rsidRPr="008E348A">
        <w:rPr>
          <w:b/>
          <w:i/>
          <w:szCs w:val="22"/>
          <w:lang w:val="en-US"/>
        </w:rPr>
        <w:t>Company</w:t>
      </w:r>
      <w:r w:rsidRPr="008E348A">
        <w:rPr>
          <w:i/>
          <w:szCs w:val="22"/>
          <w:lang w:val="en-US"/>
        </w:rPr>
        <w:t>")</w:t>
      </w:r>
      <w:r>
        <w:rPr>
          <w:i/>
          <w:szCs w:val="22"/>
          <w:lang w:val="en-US"/>
        </w:rPr>
        <w:t>,</w:t>
      </w:r>
      <w:r w:rsidRPr="008E348A">
        <w:rPr>
          <w:i/>
          <w:szCs w:val="22"/>
          <w:lang w:val="en-US"/>
        </w:rPr>
        <w:t xml:space="preserve"> </w:t>
      </w:r>
      <w:bookmarkStart w:id="1" w:name="_Hlk206164735"/>
      <w:r w:rsidRPr="008E348A">
        <w:rPr>
          <w:i/>
          <w:iCs/>
          <w:szCs w:val="22"/>
          <w:lang w:val="en-US"/>
        </w:rPr>
        <w:t xml:space="preserve">proposes that the </w:t>
      </w:r>
      <w:r>
        <w:rPr>
          <w:i/>
          <w:iCs/>
          <w:szCs w:val="22"/>
          <w:lang w:val="en-US"/>
        </w:rPr>
        <w:t>annual general</w:t>
      </w:r>
      <w:r w:rsidRPr="008E348A">
        <w:rPr>
          <w:i/>
          <w:iCs/>
          <w:szCs w:val="22"/>
          <w:lang w:val="en-US"/>
        </w:rPr>
        <w:t xml:space="preserve"> meeting resolves to </w:t>
      </w:r>
      <w:r>
        <w:rPr>
          <w:i/>
          <w:iCs/>
          <w:szCs w:val="22"/>
          <w:lang w:val="en-US"/>
        </w:rPr>
        <w:t xml:space="preserve">implement </w:t>
      </w:r>
      <w:r w:rsidRPr="008E348A">
        <w:rPr>
          <w:i/>
          <w:iCs/>
          <w:szCs w:val="22"/>
          <w:lang w:val="en-US"/>
        </w:rPr>
        <w:t xml:space="preserve">Performance Share Program </w:t>
      </w:r>
      <w:r>
        <w:rPr>
          <w:i/>
          <w:iCs/>
          <w:szCs w:val="22"/>
          <w:lang w:val="en-US"/>
        </w:rPr>
        <w:t>2025/2028:3</w:t>
      </w:r>
      <w:r w:rsidRPr="008E348A">
        <w:rPr>
          <w:i/>
          <w:iCs/>
          <w:szCs w:val="22"/>
          <w:lang w:val="en-US"/>
        </w:rPr>
        <w:t xml:space="preserve"> </w:t>
      </w:r>
      <w:r>
        <w:rPr>
          <w:i/>
          <w:iCs/>
          <w:szCs w:val="22"/>
          <w:lang w:val="en-US"/>
        </w:rPr>
        <w:t xml:space="preserve">in accordance with </w:t>
      </w:r>
      <w:r w:rsidRPr="008E348A">
        <w:rPr>
          <w:i/>
          <w:iCs/>
          <w:szCs w:val="22"/>
          <w:lang w:val="en-US"/>
        </w:rPr>
        <w:t>the following guidelines</w:t>
      </w:r>
      <w:r>
        <w:rPr>
          <w:i/>
          <w:iCs/>
          <w:szCs w:val="22"/>
          <w:lang w:val="en-US"/>
        </w:rPr>
        <w:t>.</w:t>
      </w:r>
      <w:bookmarkEnd w:id="1"/>
    </w:p>
    <w:p w14:paraId="409699E7" w14:textId="77777777" w:rsidR="008C6575" w:rsidRPr="0015372C" w:rsidRDefault="008C6575" w:rsidP="008C6575">
      <w:pPr>
        <w:pStyle w:val="BodyText"/>
        <w:spacing w:after="0"/>
        <w:rPr>
          <w:i/>
          <w:iCs/>
          <w:szCs w:val="22"/>
          <w:lang w:val="en-US"/>
        </w:rPr>
      </w:pPr>
    </w:p>
    <w:p w14:paraId="6C9B0184" w14:textId="5627CF8F" w:rsidR="008C6575" w:rsidRPr="00F65E12" w:rsidRDefault="008C6575" w:rsidP="008C6575">
      <w:pPr>
        <w:pStyle w:val="BodyText"/>
        <w:spacing w:after="0"/>
        <w:rPr>
          <w:szCs w:val="22"/>
          <w:lang w:val="sv-SE"/>
        </w:rPr>
      </w:pPr>
      <w:bookmarkStart w:id="2" w:name="_Hlk206170329"/>
      <w:r w:rsidRPr="00F65E12">
        <w:rPr>
          <w:szCs w:val="22"/>
          <w:lang w:val="sv-SE"/>
        </w:rPr>
        <w:t xml:space="preserve">Prestationsaktieprogram </w:t>
      </w:r>
      <w:r>
        <w:rPr>
          <w:szCs w:val="22"/>
          <w:lang w:val="sv-SE"/>
        </w:rPr>
        <w:t>2025/2028:3</w:t>
      </w:r>
      <w:r w:rsidRPr="00F65E12">
        <w:rPr>
          <w:szCs w:val="22"/>
          <w:lang w:val="sv-SE"/>
        </w:rPr>
        <w:t xml:space="preserve"> ska erbjudas till samtliga nuvarande ledande befattningshavare, anställda och övriga nyckelpersoner i Bolaget och koncernen </w:t>
      </w:r>
      <w:r>
        <w:rPr>
          <w:szCs w:val="22"/>
          <w:lang w:val="sv-SE"/>
        </w:rPr>
        <w:t xml:space="preserve">verksamma i USA </w:t>
      </w:r>
      <w:r w:rsidRPr="00F65E12">
        <w:rPr>
          <w:szCs w:val="22"/>
          <w:lang w:val="sv-SE"/>
        </w:rPr>
        <w:t xml:space="preserve">fram till och med den </w:t>
      </w:r>
      <w:r>
        <w:rPr>
          <w:szCs w:val="22"/>
          <w:lang w:val="sv-SE"/>
        </w:rPr>
        <w:t>31</w:t>
      </w:r>
      <w:r w:rsidRPr="00F65E12">
        <w:rPr>
          <w:szCs w:val="22"/>
          <w:lang w:val="sv-SE"/>
        </w:rPr>
        <w:t xml:space="preserve"> </w:t>
      </w:r>
      <w:r>
        <w:rPr>
          <w:szCs w:val="22"/>
          <w:lang w:val="sv-SE"/>
        </w:rPr>
        <w:t>oktober</w:t>
      </w:r>
      <w:r w:rsidRPr="00F65E12">
        <w:rPr>
          <w:szCs w:val="22"/>
          <w:lang w:val="sv-SE"/>
        </w:rPr>
        <w:t xml:space="preserve"> 2025.</w:t>
      </w:r>
      <w:r w:rsidRPr="00F65E12">
        <w:rPr>
          <w:lang w:val="sv-SE"/>
        </w:rPr>
        <w:t xml:space="preserve"> Person som har träffat anställningsavtal i koncernen men inte tillträtt sin anställning per nämnda datum, ska inte betraktas som anställd. Anställd som har sagt upp sin anställning eller blivit uppsagd per nämnda datum men fortsatt är anställd, ska inte heller betraktas som anställd.</w:t>
      </w:r>
    </w:p>
    <w:p w14:paraId="1196138D" w14:textId="610109ED" w:rsidR="008C6575" w:rsidRPr="008E348A" w:rsidRDefault="008C6575" w:rsidP="008C6575">
      <w:pPr>
        <w:pStyle w:val="BodyText"/>
        <w:spacing w:after="0"/>
        <w:rPr>
          <w:i/>
          <w:iCs/>
          <w:szCs w:val="22"/>
          <w:lang w:val="en-US"/>
        </w:rPr>
      </w:pPr>
      <w:bookmarkStart w:id="3" w:name="_Hlk206164755"/>
      <w:r w:rsidRPr="008E348A">
        <w:rPr>
          <w:i/>
          <w:iCs/>
          <w:szCs w:val="22"/>
          <w:lang w:val="en-US"/>
        </w:rPr>
        <w:t xml:space="preserve">Performance Share Program </w:t>
      </w:r>
      <w:r>
        <w:rPr>
          <w:i/>
          <w:iCs/>
          <w:szCs w:val="22"/>
          <w:lang w:val="en-US"/>
        </w:rPr>
        <w:t>2025/2028:3</w:t>
      </w:r>
      <w:r w:rsidRPr="008E348A">
        <w:rPr>
          <w:i/>
          <w:iCs/>
          <w:szCs w:val="22"/>
          <w:lang w:val="en-US"/>
        </w:rPr>
        <w:t xml:space="preserve"> shall be offered to all current senior executives</w:t>
      </w:r>
      <w:r>
        <w:rPr>
          <w:i/>
          <w:iCs/>
          <w:szCs w:val="22"/>
          <w:lang w:val="en-US"/>
        </w:rPr>
        <w:t>, employees and</w:t>
      </w:r>
      <w:r w:rsidRPr="008E348A">
        <w:rPr>
          <w:i/>
          <w:iCs/>
          <w:szCs w:val="22"/>
          <w:lang w:val="en-US"/>
        </w:rPr>
        <w:t xml:space="preserve"> other key </w:t>
      </w:r>
      <w:r>
        <w:rPr>
          <w:i/>
          <w:iCs/>
          <w:szCs w:val="22"/>
          <w:lang w:val="en-US"/>
        </w:rPr>
        <w:t>individuals</w:t>
      </w:r>
      <w:r w:rsidRPr="008E348A">
        <w:rPr>
          <w:i/>
          <w:iCs/>
          <w:szCs w:val="22"/>
          <w:lang w:val="en-US"/>
        </w:rPr>
        <w:t xml:space="preserve"> in the </w:t>
      </w:r>
      <w:r>
        <w:rPr>
          <w:i/>
          <w:iCs/>
          <w:szCs w:val="22"/>
          <w:lang w:val="en-US"/>
        </w:rPr>
        <w:t xml:space="preserve">Company and the group operating in the US </w:t>
      </w:r>
      <w:r w:rsidRPr="008E348A">
        <w:rPr>
          <w:i/>
          <w:iCs/>
          <w:szCs w:val="22"/>
          <w:lang w:val="en-US"/>
        </w:rPr>
        <w:t xml:space="preserve">up to and including </w:t>
      </w:r>
      <w:r>
        <w:rPr>
          <w:i/>
          <w:iCs/>
          <w:szCs w:val="22"/>
          <w:lang w:val="en-US"/>
        </w:rPr>
        <w:t>31</w:t>
      </w:r>
      <w:r w:rsidR="0039134E">
        <w:rPr>
          <w:i/>
          <w:iCs/>
          <w:szCs w:val="22"/>
          <w:lang w:val="en-US"/>
        </w:rPr>
        <w:t> </w:t>
      </w:r>
      <w:r>
        <w:rPr>
          <w:i/>
          <w:iCs/>
          <w:szCs w:val="22"/>
          <w:lang w:val="en-US"/>
        </w:rPr>
        <w:t>October 2025</w:t>
      </w:r>
      <w:r w:rsidRPr="008E348A">
        <w:rPr>
          <w:i/>
          <w:iCs/>
          <w:szCs w:val="22"/>
          <w:lang w:val="en-US"/>
        </w:rPr>
        <w:t>.</w:t>
      </w:r>
      <w:r w:rsidRPr="00F65E12">
        <w:rPr>
          <w:i/>
          <w:lang w:val="en-US"/>
        </w:rPr>
        <w:t xml:space="preserve"> </w:t>
      </w:r>
      <w:r w:rsidRPr="00A67E33">
        <w:rPr>
          <w:i/>
          <w:lang w:val="en-US"/>
        </w:rPr>
        <w:t xml:space="preserve">A person who has entered into an employment agreement with the group but has not taken up his/her employment as of the </w:t>
      </w:r>
      <w:proofErr w:type="gramStart"/>
      <w:r w:rsidRPr="00A67E33">
        <w:rPr>
          <w:i/>
          <w:lang w:val="en-US"/>
        </w:rPr>
        <w:t>mentioned date</w:t>
      </w:r>
      <w:proofErr w:type="gramEnd"/>
      <w:r w:rsidRPr="00A67E33">
        <w:rPr>
          <w:i/>
          <w:lang w:val="en-US"/>
        </w:rPr>
        <w:t xml:space="preserve">, shall not be regarded as an employee. An employee who has terminated the </w:t>
      </w:r>
      <w:proofErr w:type="gramStart"/>
      <w:r w:rsidRPr="00A67E33">
        <w:rPr>
          <w:i/>
          <w:lang w:val="en-US"/>
        </w:rPr>
        <w:t>employment</w:t>
      </w:r>
      <w:proofErr w:type="gramEnd"/>
      <w:r w:rsidRPr="00A67E33">
        <w:rPr>
          <w:i/>
          <w:lang w:val="en-US"/>
        </w:rPr>
        <w:t xml:space="preserve"> or has been dismissed by the mentioned date but is still employed, shall not be regarded as an employee.</w:t>
      </w:r>
    </w:p>
    <w:p w14:paraId="4578BF98" w14:textId="77777777" w:rsidR="008C6575" w:rsidRDefault="008C6575" w:rsidP="008C6575">
      <w:pPr>
        <w:pStyle w:val="BodyText"/>
        <w:spacing w:after="0"/>
        <w:rPr>
          <w:szCs w:val="22"/>
          <w:lang w:val="en-US"/>
        </w:rPr>
      </w:pPr>
    </w:p>
    <w:p w14:paraId="445B0CF9" w14:textId="679E3012" w:rsidR="008C6575" w:rsidRPr="008E348A" w:rsidRDefault="008C6575" w:rsidP="008C6575">
      <w:pPr>
        <w:pStyle w:val="BodyText"/>
        <w:spacing w:after="0"/>
        <w:rPr>
          <w:szCs w:val="22"/>
          <w:lang w:val="sv-SE"/>
        </w:rPr>
      </w:pPr>
      <w:r w:rsidRPr="008E348A">
        <w:rPr>
          <w:szCs w:val="22"/>
          <w:lang w:val="sv-SE"/>
        </w:rPr>
        <w:t xml:space="preserve">Prestationsaktieprogram </w:t>
      </w:r>
      <w:r>
        <w:rPr>
          <w:szCs w:val="22"/>
          <w:lang w:val="sv-SE"/>
        </w:rPr>
        <w:t>2025/2028:3</w:t>
      </w:r>
      <w:r w:rsidRPr="008E348A">
        <w:rPr>
          <w:szCs w:val="22"/>
          <w:lang w:val="sv-SE"/>
        </w:rPr>
        <w:t xml:space="preserve"> ska omfatta högst </w:t>
      </w:r>
      <w:r w:rsidR="0039134E" w:rsidRPr="00EE396E">
        <w:rPr>
          <w:szCs w:val="22"/>
          <w:lang w:val="sv-SE"/>
        </w:rPr>
        <w:t>1 022 400</w:t>
      </w:r>
      <w:r>
        <w:rPr>
          <w:szCs w:val="22"/>
          <w:lang w:val="sv-SE"/>
        </w:rPr>
        <w:t xml:space="preserve"> aktierätter ("</w:t>
      </w:r>
      <w:r>
        <w:rPr>
          <w:b/>
          <w:bCs/>
          <w:szCs w:val="22"/>
          <w:lang w:val="sv-SE"/>
        </w:rPr>
        <w:t>Prestationsaktier</w:t>
      </w:r>
      <w:r>
        <w:rPr>
          <w:szCs w:val="22"/>
          <w:lang w:val="sv-SE"/>
        </w:rPr>
        <w:t xml:space="preserve">") vilka tilldelas deltagare vederlagsfritt. Varje </w:t>
      </w:r>
      <w:r w:rsidRPr="008E348A">
        <w:rPr>
          <w:szCs w:val="22"/>
          <w:lang w:val="sv-SE"/>
        </w:rPr>
        <w:t>Prestationsaktie</w:t>
      </w:r>
      <w:r>
        <w:rPr>
          <w:szCs w:val="22"/>
          <w:lang w:val="sv-SE"/>
        </w:rPr>
        <w:t xml:space="preserve"> kommer, om intjänad, ge innehavaren rätt till en (1) B-aktie i Bolaget.</w:t>
      </w:r>
    </w:p>
    <w:p w14:paraId="740D95BA" w14:textId="5A9DC1A4" w:rsidR="008C6575" w:rsidRDefault="008C6575" w:rsidP="008C6575">
      <w:pPr>
        <w:pStyle w:val="BodyText"/>
        <w:spacing w:after="0"/>
        <w:rPr>
          <w:i/>
          <w:iCs/>
          <w:szCs w:val="22"/>
          <w:lang w:val="en-US"/>
        </w:rPr>
      </w:pPr>
      <w:r w:rsidRPr="008E348A">
        <w:rPr>
          <w:i/>
          <w:iCs/>
          <w:szCs w:val="22"/>
          <w:lang w:val="en-US"/>
        </w:rPr>
        <w:t xml:space="preserve">Performance Share Program </w:t>
      </w:r>
      <w:r>
        <w:rPr>
          <w:i/>
          <w:iCs/>
          <w:szCs w:val="22"/>
          <w:lang w:val="en-US"/>
        </w:rPr>
        <w:t>2025/2028:3</w:t>
      </w:r>
      <w:r w:rsidRPr="008E348A">
        <w:rPr>
          <w:i/>
          <w:iCs/>
          <w:szCs w:val="22"/>
          <w:lang w:val="en-US"/>
        </w:rPr>
        <w:t xml:space="preserve"> shall include a maximum of </w:t>
      </w:r>
      <w:r w:rsidR="0039134E" w:rsidRPr="0039134E">
        <w:rPr>
          <w:i/>
          <w:iCs/>
          <w:szCs w:val="22"/>
          <w:lang w:val="en-US"/>
        </w:rPr>
        <w:t>1</w:t>
      </w:r>
      <w:r w:rsidR="0039134E">
        <w:rPr>
          <w:i/>
          <w:iCs/>
          <w:szCs w:val="22"/>
          <w:lang w:val="en-US"/>
        </w:rPr>
        <w:t>,</w:t>
      </w:r>
      <w:r w:rsidR="0039134E" w:rsidRPr="0039134E">
        <w:rPr>
          <w:i/>
          <w:iCs/>
          <w:szCs w:val="22"/>
          <w:lang w:val="en-US"/>
        </w:rPr>
        <w:t>022</w:t>
      </w:r>
      <w:r w:rsidR="0039134E">
        <w:rPr>
          <w:i/>
          <w:iCs/>
          <w:szCs w:val="22"/>
          <w:lang w:val="en-US"/>
        </w:rPr>
        <w:t>,</w:t>
      </w:r>
      <w:r w:rsidR="0039134E" w:rsidRPr="0039134E">
        <w:rPr>
          <w:i/>
          <w:iCs/>
          <w:szCs w:val="22"/>
          <w:lang w:val="en-US"/>
        </w:rPr>
        <w:t>400</w:t>
      </w:r>
      <w:r w:rsidR="0039134E">
        <w:rPr>
          <w:i/>
          <w:iCs/>
          <w:szCs w:val="22"/>
          <w:lang w:val="en-US"/>
        </w:rPr>
        <w:t xml:space="preserve"> </w:t>
      </w:r>
      <w:r>
        <w:rPr>
          <w:i/>
          <w:iCs/>
          <w:szCs w:val="22"/>
          <w:lang w:val="en-US"/>
        </w:rPr>
        <w:t>share rights ("</w:t>
      </w:r>
      <w:r w:rsidRPr="009E1234">
        <w:rPr>
          <w:b/>
          <w:bCs/>
          <w:i/>
          <w:iCs/>
          <w:szCs w:val="22"/>
          <w:lang w:val="en-US"/>
        </w:rPr>
        <w:t>Performance Shares</w:t>
      </w:r>
      <w:r>
        <w:rPr>
          <w:i/>
          <w:iCs/>
          <w:szCs w:val="22"/>
          <w:lang w:val="en-US"/>
        </w:rPr>
        <w:t>") which are allocated to participants free of charge. Each Performance Share, if vested, will entitle the holder to one (1) class B share in the Company.</w:t>
      </w:r>
    </w:p>
    <w:p w14:paraId="483608A4" w14:textId="77777777" w:rsidR="008C6575" w:rsidRPr="009E1234" w:rsidRDefault="008C6575" w:rsidP="008C6575">
      <w:pPr>
        <w:pStyle w:val="BodyText"/>
        <w:spacing w:after="0"/>
        <w:rPr>
          <w:szCs w:val="22"/>
          <w:lang w:val="en-US"/>
        </w:rPr>
      </w:pPr>
    </w:p>
    <w:p w14:paraId="5BF65005" w14:textId="452F97B4" w:rsidR="008C6575" w:rsidRPr="00EE396E" w:rsidRDefault="008C6575" w:rsidP="008C6575">
      <w:pPr>
        <w:pStyle w:val="BodyText"/>
        <w:spacing w:after="0"/>
        <w:rPr>
          <w:i/>
          <w:iCs/>
          <w:szCs w:val="22"/>
          <w:lang w:val="sv-SE"/>
        </w:rPr>
      </w:pPr>
      <w:r>
        <w:rPr>
          <w:szCs w:val="22"/>
          <w:lang w:val="sv-SE"/>
        </w:rPr>
        <w:t xml:space="preserve">Prestationsaktieprogram 2025/2028:3 ska omfatta ledande </w:t>
      </w:r>
      <w:r w:rsidRPr="008E348A">
        <w:rPr>
          <w:szCs w:val="22"/>
          <w:lang w:val="sv-SE"/>
        </w:rPr>
        <w:t>befattningshavare</w:t>
      </w:r>
      <w:r>
        <w:rPr>
          <w:szCs w:val="22"/>
          <w:lang w:val="sv-SE"/>
        </w:rPr>
        <w:t xml:space="preserve">, anställda </w:t>
      </w:r>
      <w:r w:rsidRPr="008E348A">
        <w:rPr>
          <w:szCs w:val="22"/>
          <w:lang w:val="sv-SE"/>
        </w:rPr>
        <w:t xml:space="preserve">och övriga </w:t>
      </w:r>
      <w:r>
        <w:rPr>
          <w:szCs w:val="22"/>
          <w:lang w:val="sv-SE"/>
        </w:rPr>
        <w:t>nyckelpersoner</w:t>
      </w:r>
      <w:r w:rsidRPr="008E348A">
        <w:rPr>
          <w:szCs w:val="22"/>
          <w:lang w:val="sv-SE"/>
        </w:rPr>
        <w:t xml:space="preserve"> inom Bolaget och koncernen</w:t>
      </w:r>
      <w:r>
        <w:rPr>
          <w:szCs w:val="22"/>
          <w:lang w:val="sv-SE"/>
        </w:rPr>
        <w:t xml:space="preserve"> verksamma i USA fördelat på </w:t>
      </w:r>
      <w:r w:rsidR="00522471">
        <w:rPr>
          <w:szCs w:val="22"/>
          <w:lang w:val="sv-SE"/>
        </w:rPr>
        <w:t>fyra</w:t>
      </w:r>
      <w:r>
        <w:rPr>
          <w:szCs w:val="22"/>
          <w:lang w:val="sv-SE"/>
        </w:rPr>
        <w:t xml:space="preserve"> olika kategorier enligt följande:</w:t>
      </w:r>
    </w:p>
    <w:p w14:paraId="5E71857C" w14:textId="00A67460" w:rsidR="008C6575" w:rsidRPr="00522471" w:rsidRDefault="008C6575" w:rsidP="00522471">
      <w:pPr>
        <w:pStyle w:val="BodyText"/>
        <w:spacing w:after="0"/>
        <w:rPr>
          <w:szCs w:val="22"/>
          <w:lang w:val="en-US"/>
        </w:rPr>
      </w:pPr>
      <w:r w:rsidRPr="008E348A">
        <w:rPr>
          <w:i/>
          <w:iCs/>
          <w:szCs w:val="22"/>
          <w:lang w:val="en-US"/>
        </w:rPr>
        <w:t xml:space="preserve">Performance Share Program </w:t>
      </w:r>
      <w:r>
        <w:rPr>
          <w:i/>
          <w:iCs/>
          <w:szCs w:val="22"/>
          <w:lang w:val="en-US"/>
        </w:rPr>
        <w:t>2025/2028:3 will be offered to s</w:t>
      </w:r>
      <w:r w:rsidRPr="008E348A">
        <w:rPr>
          <w:i/>
          <w:iCs/>
          <w:szCs w:val="22"/>
          <w:lang w:val="en-US"/>
        </w:rPr>
        <w:t>enior executives</w:t>
      </w:r>
      <w:r>
        <w:rPr>
          <w:i/>
          <w:iCs/>
          <w:szCs w:val="22"/>
          <w:lang w:val="en-US"/>
        </w:rPr>
        <w:t xml:space="preserve">, employees </w:t>
      </w:r>
      <w:r w:rsidRPr="008E348A">
        <w:rPr>
          <w:i/>
          <w:iCs/>
          <w:szCs w:val="22"/>
          <w:lang w:val="en-US"/>
        </w:rPr>
        <w:t xml:space="preserve">and other </w:t>
      </w:r>
      <w:r>
        <w:rPr>
          <w:i/>
          <w:iCs/>
          <w:szCs w:val="22"/>
          <w:lang w:val="en-US"/>
        </w:rPr>
        <w:t>key individuals</w:t>
      </w:r>
      <w:r w:rsidRPr="008E348A">
        <w:rPr>
          <w:i/>
          <w:iCs/>
          <w:szCs w:val="22"/>
          <w:lang w:val="en-US"/>
        </w:rPr>
        <w:t xml:space="preserve"> within the Company and the group</w:t>
      </w:r>
      <w:r>
        <w:rPr>
          <w:i/>
          <w:iCs/>
          <w:szCs w:val="22"/>
          <w:lang w:val="en-US"/>
        </w:rPr>
        <w:t xml:space="preserve"> operating in the US </w:t>
      </w:r>
      <w:proofErr w:type="gramStart"/>
      <w:r>
        <w:rPr>
          <w:i/>
          <w:iCs/>
          <w:szCs w:val="22"/>
          <w:lang w:val="en-US"/>
        </w:rPr>
        <w:t>divided</w:t>
      </w:r>
      <w:proofErr w:type="gramEnd"/>
      <w:r>
        <w:rPr>
          <w:i/>
          <w:iCs/>
          <w:szCs w:val="22"/>
          <w:lang w:val="en-US"/>
        </w:rPr>
        <w:t xml:space="preserve"> into </w:t>
      </w:r>
      <w:r w:rsidR="00522471">
        <w:rPr>
          <w:i/>
          <w:iCs/>
          <w:szCs w:val="22"/>
          <w:lang w:val="en-US"/>
        </w:rPr>
        <w:t>four</w:t>
      </w:r>
      <w:r>
        <w:rPr>
          <w:i/>
          <w:iCs/>
          <w:szCs w:val="22"/>
          <w:lang w:val="en-US"/>
        </w:rPr>
        <w:t xml:space="preserve"> different categories as follows:</w:t>
      </w:r>
    </w:p>
    <w:p w14:paraId="441ACBCD" w14:textId="77777777" w:rsidR="008C6575" w:rsidRPr="00EE396E" w:rsidRDefault="008C6575" w:rsidP="008C6575">
      <w:pPr>
        <w:pStyle w:val="BodyText"/>
        <w:spacing w:after="0"/>
        <w:ind w:left="720"/>
        <w:rPr>
          <w:i/>
          <w:iCs/>
          <w:szCs w:val="22"/>
          <w:lang w:val="en-US"/>
        </w:rPr>
      </w:pPr>
    </w:p>
    <w:p w14:paraId="53094493" w14:textId="192D8453" w:rsidR="008C6575" w:rsidRPr="008E348A" w:rsidRDefault="008C6575" w:rsidP="00F3012E">
      <w:pPr>
        <w:pStyle w:val="BodyText"/>
        <w:numPr>
          <w:ilvl w:val="0"/>
          <w:numId w:val="38"/>
        </w:numPr>
        <w:spacing w:after="0"/>
        <w:rPr>
          <w:szCs w:val="22"/>
          <w:lang w:val="sv-SE"/>
        </w:rPr>
      </w:pPr>
      <w:r>
        <w:rPr>
          <w:szCs w:val="22"/>
          <w:lang w:val="sv-SE"/>
        </w:rPr>
        <w:t>Ledande befattningshavare</w:t>
      </w:r>
      <w:r w:rsidRPr="008E348A">
        <w:rPr>
          <w:szCs w:val="22"/>
          <w:lang w:val="sv-SE"/>
        </w:rPr>
        <w:t xml:space="preserve"> bestående av </w:t>
      </w:r>
      <w:r>
        <w:rPr>
          <w:szCs w:val="22"/>
          <w:lang w:val="sv-SE"/>
        </w:rPr>
        <w:t xml:space="preserve">upp till </w:t>
      </w:r>
      <w:r w:rsidR="0039134E">
        <w:rPr>
          <w:szCs w:val="22"/>
          <w:lang w:val="sv-SE"/>
        </w:rPr>
        <w:t>en</w:t>
      </w:r>
      <w:r w:rsidRPr="008E348A">
        <w:rPr>
          <w:szCs w:val="22"/>
          <w:lang w:val="sv-SE"/>
        </w:rPr>
        <w:t xml:space="preserve"> (</w:t>
      </w:r>
      <w:r w:rsidR="0039134E">
        <w:rPr>
          <w:szCs w:val="22"/>
          <w:lang w:val="sv-SE"/>
        </w:rPr>
        <w:t>1</w:t>
      </w:r>
      <w:r w:rsidRPr="008E348A">
        <w:rPr>
          <w:szCs w:val="22"/>
          <w:lang w:val="sv-SE"/>
        </w:rPr>
        <w:t xml:space="preserve">) person </w:t>
      </w:r>
      <w:r>
        <w:rPr>
          <w:szCs w:val="22"/>
          <w:lang w:val="sv-SE"/>
        </w:rPr>
        <w:t xml:space="preserve">tilldelas högst </w:t>
      </w:r>
      <w:r w:rsidR="0039134E" w:rsidRPr="00EE396E">
        <w:rPr>
          <w:szCs w:val="22"/>
          <w:lang w:val="sv-SE"/>
        </w:rPr>
        <w:t>255 600</w:t>
      </w:r>
      <w:r>
        <w:rPr>
          <w:szCs w:val="22"/>
          <w:lang w:val="sv-SE"/>
        </w:rPr>
        <w:t xml:space="preserve"> </w:t>
      </w:r>
      <w:r w:rsidRPr="008E348A">
        <w:rPr>
          <w:szCs w:val="22"/>
          <w:lang w:val="sv-SE"/>
        </w:rPr>
        <w:t>Prestationsaktier</w:t>
      </w:r>
      <w:r>
        <w:rPr>
          <w:szCs w:val="22"/>
          <w:lang w:val="sv-SE"/>
        </w:rPr>
        <w:t>.</w:t>
      </w:r>
    </w:p>
    <w:p w14:paraId="259891B9" w14:textId="1E36C33F" w:rsidR="008C6575" w:rsidRPr="008E348A" w:rsidRDefault="008C6575" w:rsidP="008C6575">
      <w:pPr>
        <w:pStyle w:val="BodyText"/>
        <w:spacing w:after="0"/>
        <w:ind w:left="720"/>
        <w:rPr>
          <w:i/>
          <w:iCs/>
          <w:szCs w:val="22"/>
          <w:lang w:val="en-US"/>
        </w:rPr>
      </w:pPr>
      <w:r>
        <w:rPr>
          <w:i/>
          <w:iCs/>
          <w:szCs w:val="22"/>
          <w:lang w:val="en-US"/>
        </w:rPr>
        <w:t xml:space="preserve">Senior executives consisting of up to </w:t>
      </w:r>
      <w:r w:rsidR="0039134E">
        <w:rPr>
          <w:i/>
          <w:iCs/>
          <w:szCs w:val="22"/>
          <w:lang w:val="en-US"/>
        </w:rPr>
        <w:t xml:space="preserve">one </w:t>
      </w:r>
      <w:r>
        <w:rPr>
          <w:i/>
          <w:iCs/>
          <w:szCs w:val="22"/>
          <w:lang w:val="en-US"/>
        </w:rPr>
        <w:t>(</w:t>
      </w:r>
      <w:r w:rsidR="0039134E">
        <w:rPr>
          <w:i/>
          <w:iCs/>
          <w:szCs w:val="22"/>
          <w:lang w:val="en-US"/>
        </w:rPr>
        <w:t>1</w:t>
      </w:r>
      <w:r>
        <w:rPr>
          <w:i/>
          <w:iCs/>
          <w:szCs w:val="22"/>
          <w:lang w:val="en-US"/>
        </w:rPr>
        <w:t xml:space="preserve">) person may be offered up to </w:t>
      </w:r>
      <w:r w:rsidR="0039134E">
        <w:rPr>
          <w:i/>
          <w:iCs/>
          <w:szCs w:val="22"/>
          <w:lang w:val="en-US"/>
        </w:rPr>
        <w:t>255,600</w:t>
      </w:r>
      <w:r>
        <w:rPr>
          <w:i/>
          <w:iCs/>
          <w:szCs w:val="22"/>
          <w:lang w:val="en-US"/>
        </w:rPr>
        <w:t xml:space="preserve"> Performance Shares.</w:t>
      </w:r>
    </w:p>
    <w:p w14:paraId="691B2345" w14:textId="77777777" w:rsidR="008C6575" w:rsidRPr="008E348A" w:rsidRDefault="008C6575" w:rsidP="008C6575">
      <w:pPr>
        <w:pStyle w:val="BodyText"/>
        <w:spacing w:after="0"/>
        <w:ind w:left="720"/>
        <w:rPr>
          <w:i/>
          <w:iCs/>
          <w:szCs w:val="22"/>
          <w:lang w:val="en-US"/>
        </w:rPr>
      </w:pPr>
    </w:p>
    <w:p w14:paraId="51250FB1" w14:textId="393973B2" w:rsidR="008C6575" w:rsidRPr="008E348A" w:rsidRDefault="008C6575" w:rsidP="00F3012E">
      <w:pPr>
        <w:pStyle w:val="BodyText"/>
        <w:numPr>
          <w:ilvl w:val="0"/>
          <w:numId w:val="38"/>
        </w:numPr>
        <w:spacing w:after="0"/>
        <w:rPr>
          <w:szCs w:val="22"/>
          <w:lang w:val="sv-SE"/>
        </w:rPr>
      </w:pPr>
      <w:r>
        <w:rPr>
          <w:szCs w:val="22"/>
          <w:lang w:val="sv-SE"/>
        </w:rPr>
        <w:t xml:space="preserve">Övriga ledande befattningshavare bestående av upp till </w:t>
      </w:r>
      <w:r w:rsidR="0039134E">
        <w:rPr>
          <w:szCs w:val="22"/>
          <w:lang w:val="sv-SE"/>
        </w:rPr>
        <w:t xml:space="preserve">tre </w:t>
      </w:r>
      <w:r>
        <w:rPr>
          <w:szCs w:val="22"/>
          <w:lang w:val="sv-SE"/>
        </w:rPr>
        <w:t>(</w:t>
      </w:r>
      <w:r w:rsidR="0039134E">
        <w:rPr>
          <w:szCs w:val="22"/>
          <w:lang w:val="sv-SE"/>
        </w:rPr>
        <w:t>3</w:t>
      </w:r>
      <w:r>
        <w:rPr>
          <w:szCs w:val="22"/>
          <w:lang w:val="sv-SE"/>
        </w:rPr>
        <w:t xml:space="preserve">) personer kan vardera tilldelas högst </w:t>
      </w:r>
      <w:r w:rsidR="0039134E" w:rsidRPr="00EE396E">
        <w:rPr>
          <w:szCs w:val="22"/>
          <w:lang w:val="sv-SE"/>
        </w:rPr>
        <w:t xml:space="preserve">191 700 </w:t>
      </w:r>
      <w:r>
        <w:rPr>
          <w:szCs w:val="22"/>
          <w:lang w:val="sv-SE"/>
        </w:rPr>
        <w:t xml:space="preserve">Prestationsaktier och sammanlagt högst </w:t>
      </w:r>
      <w:r w:rsidR="0039134E">
        <w:rPr>
          <w:szCs w:val="22"/>
          <w:lang w:val="sv-SE"/>
        </w:rPr>
        <w:t xml:space="preserve">575 100 </w:t>
      </w:r>
      <w:r>
        <w:rPr>
          <w:szCs w:val="22"/>
          <w:lang w:val="sv-SE"/>
        </w:rPr>
        <w:t>Prestationsaktier.</w:t>
      </w:r>
    </w:p>
    <w:p w14:paraId="15D7DC49" w14:textId="59266C03" w:rsidR="008C6575" w:rsidRPr="00FC5A69" w:rsidRDefault="008C6575" w:rsidP="008C6575">
      <w:pPr>
        <w:pStyle w:val="BodyText"/>
        <w:spacing w:after="0"/>
        <w:ind w:left="720"/>
        <w:rPr>
          <w:i/>
          <w:iCs/>
          <w:szCs w:val="22"/>
          <w:lang w:val="en-US"/>
        </w:rPr>
      </w:pPr>
      <w:r>
        <w:rPr>
          <w:i/>
          <w:iCs/>
          <w:szCs w:val="22"/>
          <w:lang w:val="en-US"/>
        </w:rPr>
        <w:t xml:space="preserve">Other senior executives consisting of up to </w:t>
      </w:r>
      <w:r w:rsidR="0039134E">
        <w:rPr>
          <w:i/>
          <w:iCs/>
          <w:szCs w:val="22"/>
          <w:lang w:val="en-US"/>
        </w:rPr>
        <w:t xml:space="preserve">three </w:t>
      </w:r>
      <w:r>
        <w:rPr>
          <w:i/>
          <w:iCs/>
          <w:szCs w:val="22"/>
          <w:lang w:val="en-US"/>
        </w:rPr>
        <w:t>(</w:t>
      </w:r>
      <w:r w:rsidR="0039134E">
        <w:rPr>
          <w:i/>
          <w:iCs/>
          <w:szCs w:val="22"/>
          <w:lang w:val="en-US"/>
        </w:rPr>
        <w:t>3</w:t>
      </w:r>
      <w:r>
        <w:rPr>
          <w:i/>
          <w:iCs/>
          <w:szCs w:val="22"/>
          <w:lang w:val="en-US"/>
        </w:rPr>
        <w:t xml:space="preserve">) </w:t>
      </w:r>
      <w:proofErr w:type="gramStart"/>
      <w:r>
        <w:rPr>
          <w:i/>
          <w:iCs/>
          <w:szCs w:val="22"/>
          <w:lang w:val="en-US"/>
        </w:rPr>
        <w:t>persons</w:t>
      </w:r>
      <w:proofErr w:type="gramEnd"/>
      <w:r>
        <w:rPr>
          <w:i/>
          <w:iCs/>
          <w:szCs w:val="22"/>
          <w:lang w:val="en-US"/>
        </w:rPr>
        <w:t xml:space="preserve"> may be offered up to </w:t>
      </w:r>
      <w:r w:rsidR="0039134E">
        <w:rPr>
          <w:i/>
          <w:iCs/>
          <w:szCs w:val="22"/>
          <w:lang w:val="en-US"/>
        </w:rPr>
        <w:t>191,700</w:t>
      </w:r>
      <w:r>
        <w:rPr>
          <w:i/>
          <w:iCs/>
          <w:szCs w:val="22"/>
          <w:lang w:val="en-US"/>
        </w:rPr>
        <w:t xml:space="preserve"> Performance Shares each and up to </w:t>
      </w:r>
      <w:r w:rsidR="0039134E">
        <w:rPr>
          <w:i/>
          <w:iCs/>
          <w:szCs w:val="22"/>
          <w:lang w:val="en-US"/>
        </w:rPr>
        <w:t xml:space="preserve">575,100 </w:t>
      </w:r>
      <w:r>
        <w:rPr>
          <w:i/>
          <w:iCs/>
          <w:szCs w:val="22"/>
          <w:lang w:val="en-US"/>
        </w:rPr>
        <w:t>Performance Shares in total.</w:t>
      </w:r>
    </w:p>
    <w:p w14:paraId="152A8DFA" w14:textId="77777777" w:rsidR="008C6575" w:rsidRPr="008E348A" w:rsidRDefault="008C6575" w:rsidP="008C6575">
      <w:pPr>
        <w:pStyle w:val="BodyText"/>
        <w:spacing w:after="0"/>
        <w:ind w:left="720"/>
        <w:rPr>
          <w:szCs w:val="22"/>
          <w:lang w:val="en-US"/>
        </w:rPr>
      </w:pPr>
    </w:p>
    <w:p w14:paraId="1C955ECE" w14:textId="2CD09232" w:rsidR="008C6575" w:rsidRPr="008E348A" w:rsidRDefault="008C6575" w:rsidP="00F3012E">
      <w:pPr>
        <w:pStyle w:val="BodyText"/>
        <w:numPr>
          <w:ilvl w:val="0"/>
          <w:numId w:val="38"/>
        </w:numPr>
        <w:spacing w:after="0"/>
        <w:rPr>
          <w:szCs w:val="22"/>
          <w:lang w:val="sv-SE"/>
        </w:rPr>
      </w:pPr>
      <w:r>
        <w:rPr>
          <w:szCs w:val="22"/>
          <w:lang w:val="sv-SE"/>
        </w:rPr>
        <w:t xml:space="preserve">Nyckelpersoner bestående av upp till </w:t>
      </w:r>
      <w:r w:rsidR="0039134E">
        <w:rPr>
          <w:szCs w:val="22"/>
          <w:lang w:val="sv-SE"/>
        </w:rPr>
        <w:t xml:space="preserve">en </w:t>
      </w:r>
      <w:r>
        <w:rPr>
          <w:szCs w:val="22"/>
          <w:lang w:val="sv-SE"/>
        </w:rPr>
        <w:t>(</w:t>
      </w:r>
      <w:r w:rsidR="0039134E">
        <w:rPr>
          <w:szCs w:val="22"/>
          <w:lang w:val="sv-SE"/>
        </w:rPr>
        <w:t>1</w:t>
      </w:r>
      <w:r>
        <w:rPr>
          <w:szCs w:val="22"/>
          <w:lang w:val="sv-SE"/>
        </w:rPr>
        <w:t xml:space="preserve">) person tilldelas högst </w:t>
      </w:r>
      <w:r w:rsidR="0039134E">
        <w:rPr>
          <w:szCs w:val="22"/>
          <w:lang w:val="sv-SE"/>
        </w:rPr>
        <w:t xml:space="preserve">127 800 </w:t>
      </w:r>
      <w:r>
        <w:rPr>
          <w:szCs w:val="22"/>
          <w:lang w:val="sv-SE"/>
        </w:rPr>
        <w:t>Prestationsaktier.</w:t>
      </w:r>
    </w:p>
    <w:p w14:paraId="2962B40B" w14:textId="09429203" w:rsidR="008C6575" w:rsidRPr="008E348A" w:rsidRDefault="008C6575" w:rsidP="008C6575">
      <w:pPr>
        <w:pStyle w:val="BodyText"/>
        <w:spacing w:after="0"/>
        <w:ind w:left="720"/>
        <w:rPr>
          <w:i/>
          <w:iCs/>
          <w:szCs w:val="22"/>
          <w:lang w:val="en-US"/>
        </w:rPr>
      </w:pPr>
      <w:r>
        <w:rPr>
          <w:i/>
          <w:iCs/>
          <w:szCs w:val="22"/>
          <w:lang w:val="en-US"/>
        </w:rPr>
        <w:t xml:space="preserve">Key individuals consisting of up to </w:t>
      </w:r>
      <w:r w:rsidR="0039134E">
        <w:rPr>
          <w:i/>
          <w:iCs/>
          <w:szCs w:val="22"/>
          <w:lang w:val="en-US"/>
        </w:rPr>
        <w:t xml:space="preserve">one </w:t>
      </w:r>
      <w:r>
        <w:rPr>
          <w:i/>
          <w:iCs/>
          <w:szCs w:val="22"/>
          <w:lang w:val="en-US"/>
        </w:rPr>
        <w:t>(</w:t>
      </w:r>
      <w:r w:rsidR="0039134E">
        <w:rPr>
          <w:i/>
          <w:iCs/>
          <w:szCs w:val="22"/>
          <w:lang w:val="en-US"/>
        </w:rPr>
        <w:t>1</w:t>
      </w:r>
      <w:r>
        <w:rPr>
          <w:i/>
          <w:iCs/>
          <w:szCs w:val="22"/>
          <w:lang w:val="en-US"/>
        </w:rPr>
        <w:t xml:space="preserve">) person may be offered up to </w:t>
      </w:r>
      <w:r w:rsidR="0039134E">
        <w:rPr>
          <w:i/>
          <w:iCs/>
          <w:szCs w:val="22"/>
          <w:lang w:val="en-US"/>
        </w:rPr>
        <w:t xml:space="preserve">127,800 </w:t>
      </w:r>
      <w:r w:rsidRPr="008E348A">
        <w:rPr>
          <w:i/>
          <w:iCs/>
          <w:szCs w:val="22"/>
          <w:lang w:val="en-US"/>
        </w:rPr>
        <w:t>Performance Shares</w:t>
      </w:r>
      <w:r>
        <w:rPr>
          <w:i/>
          <w:iCs/>
          <w:szCs w:val="22"/>
          <w:lang w:val="en-US"/>
        </w:rPr>
        <w:t>.</w:t>
      </w:r>
    </w:p>
    <w:p w14:paraId="4AA1CE1B" w14:textId="77777777" w:rsidR="008C6575" w:rsidRPr="008E348A" w:rsidRDefault="008C6575" w:rsidP="008C6575">
      <w:pPr>
        <w:pStyle w:val="BodyText"/>
        <w:spacing w:after="0"/>
        <w:ind w:left="720"/>
        <w:rPr>
          <w:i/>
          <w:iCs/>
          <w:szCs w:val="22"/>
          <w:lang w:val="en-US"/>
        </w:rPr>
      </w:pPr>
    </w:p>
    <w:p w14:paraId="3C6CBFEB" w14:textId="2C4A5B39" w:rsidR="008C6575" w:rsidRPr="008E348A" w:rsidRDefault="008C6575" w:rsidP="00F3012E">
      <w:pPr>
        <w:pStyle w:val="BodyText"/>
        <w:numPr>
          <w:ilvl w:val="0"/>
          <w:numId w:val="38"/>
        </w:numPr>
        <w:spacing w:after="0"/>
        <w:rPr>
          <w:szCs w:val="22"/>
          <w:lang w:val="sv-SE"/>
        </w:rPr>
      </w:pPr>
      <w:r>
        <w:rPr>
          <w:szCs w:val="22"/>
          <w:lang w:val="sv-SE"/>
        </w:rPr>
        <w:t>Övriga</w:t>
      </w:r>
      <w:r w:rsidRPr="008E348A">
        <w:rPr>
          <w:szCs w:val="22"/>
          <w:lang w:val="sv-SE"/>
        </w:rPr>
        <w:t xml:space="preserve"> anställda bestående av upp till </w:t>
      </w:r>
      <w:r w:rsidR="0039134E">
        <w:rPr>
          <w:szCs w:val="22"/>
          <w:lang w:val="sv-SE"/>
        </w:rPr>
        <w:t>en (1)</w:t>
      </w:r>
      <w:r w:rsidRPr="008E348A">
        <w:rPr>
          <w:szCs w:val="22"/>
          <w:lang w:val="sv-SE"/>
        </w:rPr>
        <w:t xml:space="preserve"> person kan tilldelas högst </w:t>
      </w:r>
      <w:r w:rsidR="0039134E" w:rsidRPr="00EE396E">
        <w:rPr>
          <w:szCs w:val="22"/>
          <w:lang w:val="sv-SE"/>
        </w:rPr>
        <w:t>63 900</w:t>
      </w:r>
      <w:r w:rsidRPr="008E348A">
        <w:rPr>
          <w:szCs w:val="22"/>
          <w:lang w:val="sv-SE"/>
        </w:rPr>
        <w:t xml:space="preserve"> Prestationsaktier.</w:t>
      </w:r>
    </w:p>
    <w:p w14:paraId="330B799B" w14:textId="10EA73D1" w:rsidR="008C6575" w:rsidRPr="008E348A" w:rsidRDefault="008C6575" w:rsidP="008C6575">
      <w:pPr>
        <w:pStyle w:val="BodyText"/>
        <w:spacing w:after="0"/>
        <w:ind w:left="720"/>
        <w:rPr>
          <w:i/>
          <w:iCs/>
          <w:szCs w:val="22"/>
          <w:lang w:val="en-US"/>
        </w:rPr>
      </w:pPr>
      <w:r w:rsidRPr="008E348A">
        <w:rPr>
          <w:i/>
          <w:iCs/>
          <w:szCs w:val="22"/>
          <w:lang w:val="en-US"/>
        </w:rPr>
        <w:lastRenderedPageBreak/>
        <w:t xml:space="preserve">Other employees consisting of up to </w:t>
      </w:r>
      <w:r w:rsidR="0039134E">
        <w:rPr>
          <w:i/>
          <w:iCs/>
          <w:szCs w:val="22"/>
          <w:lang w:val="en-US"/>
        </w:rPr>
        <w:t xml:space="preserve">one (1) </w:t>
      </w:r>
      <w:r>
        <w:rPr>
          <w:i/>
          <w:iCs/>
          <w:szCs w:val="22"/>
          <w:lang w:val="en-US"/>
        </w:rPr>
        <w:t>person</w:t>
      </w:r>
      <w:r w:rsidRPr="008E348A">
        <w:rPr>
          <w:i/>
          <w:iCs/>
          <w:szCs w:val="22"/>
          <w:lang w:val="en-US"/>
        </w:rPr>
        <w:t xml:space="preserve"> may be offered </w:t>
      </w:r>
      <w:r>
        <w:rPr>
          <w:i/>
          <w:iCs/>
          <w:szCs w:val="22"/>
          <w:lang w:val="en-US"/>
        </w:rPr>
        <w:t>up to</w:t>
      </w:r>
      <w:r w:rsidRPr="008E348A">
        <w:rPr>
          <w:i/>
          <w:iCs/>
          <w:szCs w:val="22"/>
          <w:lang w:val="en-US"/>
        </w:rPr>
        <w:t xml:space="preserve"> </w:t>
      </w:r>
      <w:r w:rsidR="0039134E">
        <w:rPr>
          <w:i/>
          <w:iCs/>
          <w:szCs w:val="22"/>
          <w:lang w:val="en-US"/>
        </w:rPr>
        <w:t xml:space="preserve">63,900 </w:t>
      </w:r>
      <w:r w:rsidRPr="008E348A">
        <w:rPr>
          <w:i/>
          <w:iCs/>
          <w:szCs w:val="22"/>
          <w:lang w:val="en-US"/>
        </w:rPr>
        <w:t>Performance Shares.</w:t>
      </w:r>
    </w:p>
    <w:p w14:paraId="5A4503FA" w14:textId="77777777" w:rsidR="008C6575" w:rsidRPr="008E348A" w:rsidRDefault="008C6575" w:rsidP="008C6575">
      <w:pPr>
        <w:pStyle w:val="BodyText"/>
        <w:spacing w:after="0"/>
        <w:ind w:left="720"/>
        <w:rPr>
          <w:i/>
          <w:iCs/>
          <w:szCs w:val="22"/>
          <w:lang w:val="en-US"/>
        </w:rPr>
      </w:pPr>
    </w:p>
    <w:p w14:paraId="64D6F355" w14:textId="77777777" w:rsidR="00A97F2C" w:rsidRPr="008E348A" w:rsidRDefault="00A97F2C" w:rsidP="00A97F2C">
      <w:pPr>
        <w:pStyle w:val="BodyText"/>
        <w:spacing w:after="0"/>
        <w:rPr>
          <w:szCs w:val="22"/>
          <w:lang w:val="sv-SE"/>
        </w:rPr>
      </w:pPr>
      <w:bookmarkStart w:id="4" w:name="_Hlk206584122"/>
      <w:r w:rsidRPr="008E348A">
        <w:rPr>
          <w:szCs w:val="22"/>
          <w:lang w:val="sv-SE"/>
        </w:rPr>
        <w:t>Prestationsaktier som erbjuds till</w:t>
      </w:r>
      <w:r>
        <w:rPr>
          <w:szCs w:val="22"/>
          <w:lang w:val="sv-SE"/>
        </w:rPr>
        <w:t xml:space="preserve">, men inte accepteras av, personer i </w:t>
      </w:r>
      <w:r w:rsidRPr="008E348A">
        <w:rPr>
          <w:szCs w:val="22"/>
          <w:lang w:val="sv-SE"/>
        </w:rPr>
        <w:t xml:space="preserve">kategorierna ovan, kan erbjudas </w:t>
      </w:r>
      <w:r>
        <w:rPr>
          <w:szCs w:val="22"/>
          <w:lang w:val="sv-SE"/>
        </w:rPr>
        <w:t xml:space="preserve">till andra </w:t>
      </w:r>
      <w:r w:rsidRPr="008E348A">
        <w:rPr>
          <w:szCs w:val="22"/>
          <w:lang w:val="sv-SE"/>
        </w:rPr>
        <w:t>befintliga ledande befattningshavare</w:t>
      </w:r>
      <w:r>
        <w:rPr>
          <w:szCs w:val="22"/>
          <w:lang w:val="sv-SE"/>
        </w:rPr>
        <w:t>, anställda</w:t>
      </w:r>
      <w:r w:rsidRPr="008E348A">
        <w:rPr>
          <w:szCs w:val="22"/>
          <w:lang w:val="sv-SE"/>
        </w:rPr>
        <w:t xml:space="preserve"> eller </w:t>
      </w:r>
      <w:r>
        <w:rPr>
          <w:szCs w:val="22"/>
          <w:lang w:val="sv-SE"/>
        </w:rPr>
        <w:t>andra</w:t>
      </w:r>
      <w:r w:rsidRPr="008E348A">
        <w:rPr>
          <w:szCs w:val="22"/>
          <w:lang w:val="sv-SE"/>
        </w:rPr>
        <w:t xml:space="preserve"> nyckelpersoner </w:t>
      </w:r>
      <w:r>
        <w:rPr>
          <w:szCs w:val="22"/>
          <w:lang w:val="sv-SE"/>
        </w:rPr>
        <w:t>i Bolaget och koncernen</w:t>
      </w:r>
      <w:r w:rsidRPr="008E348A">
        <w:rPr>
          <w:szCs w:val="22"/>
          <w:lang w:val="sv-SE"/>
        </w:rPr>
        <w:t>. Överteckning kan inte ske. För det fall att någon person inom ovan nämnda kategorier inte tecknar sin fulla andel kan sådan andel överföras till någon annan kategori.</w:t>
      </w:r>
      <w:bookmarkEnd w:id="4"/>
    </w:p>
    <w:p w14:paraId="776C7B59" w14:textId="25420176" w:rsidR="008C6575" w:rsidRDefault="00A97F2C" w:rsidP="00A97F2C">
      <w:pPr>
        <w:pStyle w:val="BodyText"/>
        <w:spacing w:after="0"/>
        <w:rPr>
          <w:i/>
          <w:iCs/>
          <w:szCs w:val="22"/>
          <w:lang w:val="en-US"/>
        </w:rPr>
      </w:pPr>
      <w:bookmarkStart w:id="5" w:name="_Hlk206584127"/>
      <w:r w:rsidRPr="008E348A">
        <w:rPr>
          <w:i/>
          <w:iCs/>
          <w:szCs w:val="22"/>
          <w:lang w:val="en-US"/>
        </w:rPr>
        <w:t>Performance Shares offered to</w:t>
      </w:r>
      <w:r>
        <w:rPr>
          <w:i/>
          <w:iCs/>
          <w:szCs w:val="22"/>
          <w:lang w:val="en-US"/>
        </w:rPr>
        <w:t xml:space="preserve">, but are not accepted by, </w:t>
      </w:r>
      <w:proofErr w:type="gramStart"/>
      <w:r>
        <w:rPr>
          <w:i/>
          <w:iCs/>
          <w:szCs w:val="22"/>
          <w:lang w:val="en-US"/>
        </w:rPr>
        <w:t>persons</w:t>
      </w:r>
      <w:proofErr w:type="gramEnd"/>
      <w:r>
        <w:rPr>
          <w:i/>
          <w:iCs/>
          <w:szCs w:val="22"/>
          <w:lang w:val="en-US"/>
        </w:rPr>
        <w:t xml:space="preserve"> in </w:t>
      </w:r>
      <w:r w:rsidRPr="008E348A">
        <w:rPr>
          <w:i/>
          <w:iCs/>
          <w:szCs w:val="22"/>
          <w:lang w:val="en-US"/>
        </w:rPr>
        <w:t xml:space="preserve">the categories above, may be offered to </w:t>
      </w:r>
      <w:r>
        <w:rPr>
          <w:i/>
          <w:iCs/>
          <w:szCs w:val="22"/>
          <w:lang w:val="en-US"/>
        </w:rPr>
        <w:t xml:space="preserve">other </w:t>
      </w:r>
      <w:r w:rsidRPr="008E348A">
        <w:rPr>
          <w:i/>
          <w:iCs/>
          <w:szCs w:val="22"/>
          <w:lang w:val="en-US"/>
        </w:rPr>
        <w:t xml:space="preserve">existing </w:t>
      </w:r>
      <w:r>
        <w:rPr>
          <w:i/>
          <w:iCs/>
          <w:szCs w:val="22"/>
          <w:lang w:val="en-US"/>
        </w:rPr>
        <w:t xml:space="preserve">other </w:t>
      </w:r>
      <w:r w:rsidRPr="008E348A">
        <w:rPr>
          <w:i/>
          <w:iCs/>
          <w:szCs w:val="22"/>
          <w:lang w:val="en-US"/>
        </w:rPr>
        <w:t>senior executives</w:t>
      </w:r>
      <w:r>
        <w:rPr>
          <w:i/>
          <w:iCs/>
          <w:szCs w:val="22"/>
          <w:lang w:val="en-US"/>
        </w:rPr>
        <w:t>, employees</w:t>
      </w:r>
      <w:r w:rsidRPr="008E348A">
        <w:rPr>
          <w:i/>
          <w:iCs/>
          <w:szCs w:val="22"/>
          <w:lang w:val="en-US"/>
        </w:rPr>
        <w:t xml:space="preserve"> or other key </w:t>
      </w:r>
      <w:r>
        <w:rPr>
          <w:i/>
          <w:iCs/>
          <w:szCs w:val="22"/>
          <w:lang w:val="en-US"/>
        </w:rPr>
        <w:t>personnel</w:t>
      </w:r>
      <w:r w:rsidRPr="008E348A">
        <w:rPr>
          <w:i/>
          <w:iCs/>
          <w:szCs w:val="22"/>
          <w:lang w:val="en-US"/>
        </w:rPr>
        <w:t xml:space="preserve"> of the</w:t>
      </w:r>
      <w:r>
        <w:rPr>
          <w:i/>
          <w:iCs/>
          <w:szCs w:val="22"/>
          <w:lang w:val="en-US"/>
        </w:rPr>
        <w:t xml:space="preserve"> Company and the group</w:t>
      </w:r>
      <w:r w:rsidRPr="008E348A">
        <w:rPr>
          <w:i/>
          <w:iCs/>
          <w:szCs w:val="22"/>
          <w:lang w:val="en-US"/>
        </w:rPr>
        <w:t>. Oversubscription cannot take place. If any person within the above-mentioned categories does not subscribe for their full number of Performance Shares, such Performance Share may be granted to an employee within another category.</w:t>
      </w:r>
      <w:bookmarkEnd w:id="5"/>
    </w:p>
    <w:p w14:paraId="7BAD461C" w14:textId="77777777" w:rsidR="00AA711C" w:rsidRPr="008E348A" w:rsidRDefault="00AA711C" w:rsidP="00AA711C">
      <w:pPr>
        <w:pStyle w:val="BodyText"/>
        <w:spacing w:after="0"/>
        <w:rPr>
          <w:i/>
          <w:iCs/>
          <w:szCs w:val="22"/>
          <w:lang w:val="en-US"/>
        </w:rPr>
      </w:pPr>
    </w:p>
    <w:p w14:paraId="17C50443" w14:textId="4FA3DE7F" w:rsidR="008C6575" w:rsidRPr="008E348A" w:rsidRDefault="008C6575" w:rsidP="008C6575">
      <w:pPr>
        <w:pStyle w:val="BodyText"/>
        <w:spacing w:after="0"/>
        <w:rPr>
          <w:szCs w:val="22"/>
          <w:lang w:val="sv-SE"/>
        </w:rPr>
      </w:pPr>
      <w:r w:rsidRPr="008E348A">
        <w:rPr>
          <w:szCs w:val="22"/>
          <w:lang w:val="sv-SE"/>
        </w:rPr>
        <w:t xml:space="preserve">Bolagets styrelseledamöter ska inte omfattas av Prestationsaktieprogram </w:t>
      </w:r>
      <w:r>
        <w:rPr>
          <w:szCs w:val="22"/>
          <w:lang w:val="sv-SE"/>
        </w:rPr>
        <w:t>2025/2028:3</w:t>
      </w:r>
      <w:r w:rsidRPr="008E348A">
        <w:rPr>
          <w:szCs w:val="22"/>
          <w:lang w:val="sv-SE"/>
        </w:rPr>
        <w:t>.</w:t>
      </w:r>
    </w:p>
    <w:p w14:paraId="7C414CC9" w14:textId="56071021" w:rsidR="008C6575" w:rsidRDefault="008C6575" w:rsidP="008C6575">
      <w:pPr>
        <w:pStyle w:val="BodyText"/>
        <w:spacing w:after="0"/>
        <w:rPr>
          <w:szCs w:val="22"/>
          <w:lang w:val="en-US"/>
        </w:rPr>
      </w:pPr>
      <w:r w:rsidRPr="008E348A">
        <w:rPr>
          <w:i/>
          <w:iCs/>
          <w:szCs w:val="22"/>
          <w:lang w:val="en-US"/>
        </w:rPr>
        <w:t xml:space="preserve">The Company's board of directors shall not be covered by the Performance Share Program </w:t>
      </w:r>
      <w:r>
        <w:rPr>
          <w:i/>
          <w:iCs/>
          <w:szCs w:val="22"/>
          <w:lang w:val="en-US"/>
        </w:rPr>
        <w:t>2025/2028:3</w:t>
      </w:r>
      <w:r w:rsidRPr="008E348A">
        <w:rPr>
          <w:i/>
          <w:iCs/>
          <w:szCs w:val="22"/>
          <w:lang w:val="en-US"/>
        </w:rPr>
        <w:t>.</w:t>
      </w:r>
    </w:p>
    <w:p w14:paraId="702BC20A" w14:textId="77777777" w:rsidR="008C6575" w:rsidRDefault="008C6575" w:rsidP="008C6575">
      <w:pPr>
        <w:pStyle w:val="BodyText"/>
        <w:spacing w:after="0"/>
        <w:rPr>
          <w:szCs w:val="22"/>
          <w:lang w:val="en-US"/>
        </w:rPr>
      </w:pPr>
    </w:p>
    <w:p w14:paraId="59BFDFC2" w14:textId="484058C1" w:rsidR="008C6575" w:rsidRPr="00EE396E" w:rsidRDefault="008C6575" w:rsidP="008C6575">
      <w:pPr>
        <w:pStyle w:val="BodyText"/>
        <w:spacing w:after="0"/>
        <w:rPr>
          <w:szCs w:val="22"/>
          <w:lang w:val="en-US"/>
        </w:rPr>
      </w:pPr>
      <w:r w:rsidRPr="008E348A">
        <w:rPr>
          <w:szCs w:val="22"/>
          <w:lang w:val="sv-SE"/>
        </w:rPr>
        <w:t xml:space="preserve">Anmälan om att delta i Prestationsaktieprogram </w:t>
      </w:r>
      <w:r>
        <w:rPr>
          <w:szCs w:val="22"/>
          <w:lang w:val="sv-SE"/>
        </w:rPr>
        <w:t>2025/2028:3</w:t>
      </w:r>
      <w:r w:rsidRPr="008E348A">
        <w:rPr>
          <w:szCs w:val="22"/>
          <w:lang w:val="sv-SE"/>
        </w:rPr>
        <w:t xml:space="preserve"> ska ha inkommit till Bolaget senast den </w:t>
      </w:r>
      <w:r>
        <w:rPr>
          <w:szCs w:val="22"/>
          <w:lang w:val="sv-SE"/>
        </w:rPr>
        <w:t>31</w:t>
      </w:r>
      <w:r>
        <w:rPr>
          <w:bCs/>
          <w:szCs w:val="22"/>
          <w:lang w:val="sv-SE"/>
        </w:rPr>
        <w:t> oktober 2025</w:t>
      </w:r>
      <w:r w:rsidRPr="008E348A">
        <w:rPr>
          <w:szCs w:val="22"/>
          <w:lang w:val="sv-SE"/>
        </w:rPr>
        <w:t xml:space="preserve">. </w:t>
      </w:r>
      <w:proofErr w:type="spellStart"/>
      <w:r w:rsidRPr="00EE396E">
        <w:rPr>
          <w:szCs w:val="22"/>
          <w:lang w:val="en-US"/>
        </w:rPr>
        <w:t>Styrelsen</w:t>
      </w:r>
      <w:proofErr w:type="spellEnd"/>
      <w:r w:rsidRPr="00EE396E">
        <w:rPr>
          <w:szCs w:val="22"/>
          <w:lang w:val="en-US"/>
        </w:rPr>
        <w:t xml:space="preserve"> </w:t>
      </w:r>
      <w:proofErr w:type="spellStart"/>
      <w:r w:rsidRPr="00EE396E">
        <w:rPr>
          <w:szCs w:val="22"/>
          <w:lang w:val="en-US"/>
        </w:rPr>
        <w:t>har</w:t>
      </w:r>
      <w:proofErr w:type="spellEnd"/>
      <w:r w:rsidRPr="00EE396E">
        <w:rPr>
          <w:szCs w:val="22"/>
          <w:lang w:val="en-US"/>
        </w:rPr>
        <w:t xml:space="preserve"> </w:t>
      </w:r>
      <w:proofErr w:type="spellStart"/>
      <w:r w:rsidRPr="00EE396E">
        <w:rPr>
          <w:szCs w:val="22"/>
          <w:lang w:val="en-US"/>
        </w:rPr>
        <w:t>rätt</w:t>
      </w:r>
      <w:proofErr w:type="spellEnd"/>
      <w:r w:rsidRPr="00EE396E">
        <w:rPr>
          <w:szCs w:val="22"/>
          <w:lang w:val="en-US"/>
        </w:rPr>
        <w:t xml:space="preserve"> </w:t>
      </w:r>
      <w:proofErr w:type="spellStart"/>
      <w:r w:rsidRPr="00EE396E">
        <w:rPr>
          <w:szCs w:val="22"/>
          <w:lang w:val="en-US"/>
        </w:rPr>
        <w:t>att</w:t>
      </w:r>
      <w:proofErr w:type="spellEnd"/>
      <w:r w:rsidRPr="00EE396E">
        <w:rPr>
          <w:szCs w:val="22"/>
          <w:lang w:val="en-US"/>
        </w:rPr>
        <w:t xml:space="preserve"> </w:t>
      </w:r>
      <w:proofErr w:type="spellStart"/>
      <w:r w:rsidRPr="00EE396E">
        <w:rPr>
          <w:szCs w:val="22"/>
          <w:lang w:val="en-US"/>
        </w:rPr>
        <w:t>förlänga</w:t>
      </w:r>
      <w:proofErr w:type="spellEnd"/>
      <w:r w:rsidRPr="00EE396E">
        <w:rPr>
          <w:szCs w:val="22"/>
          <w:lang w:val="en-US"/>
        </w:rPr>
        <w:t xml:space="preserve"> </w:t>
      </w:r>
      <w:proofErr w:type="spellStart"/>
      <w:r w:rsidRPr="00EE396E">
        <w:rPr>
          <w:szCs w:val="22"/>
          <w:lang w:val="en-US"/>
        </w:rPr>
        <w:t>anmälningsperioden</w:t>
      </w:r>
      <w:proofErr w:type="spellEnd"/>
      <w:r w:rsidRPr="00EE396E">
        <w:rPr>
          <w:szCs w:val="22"/>
          <w:lang w:val="en-US"/>
        </w:rPr>
        <w:t>.</w:t>
      </w:r>
    </w:p>
    <w:p w14:paraId="30F8057F" w14:textId="11833B05" w:rsidR="008C6575" w:rsidRDefault="008C6575" w:rsidP="008C6575">
      <w:pPr>
        <w:pStyle w:val="BodyText"/>
        <w:spacing w:after="0"/>
        <w:rPr>
          <w:szCs w:val="22"/>
          <w:lang w:val="en-US"/>
        </w:rPr>
      </w:pPr>
      <w:r>
        <w:rPr>
          <w:i/>
          <w:iCs/>
          <w:szCs w:val="22"/>
          <w:lang w:val="en-US"/>
        </w:rPr>
        <w:t xml:space="preserve">Notice of participation </w:t>
      </w:r>
      <w:r w:rsidRPr="008E348A">
        <w:rPr>
          <w:i/>
          <w:iCs/>
          <w:szCs w:val="22"/>
          <w:lang w:val="en-US"/>
        </w:rPr>
        <w:t xml:space="preserve">in Performance Share Program </w:t>
      </w:r>
      <w:r>
        <w:rPr>
          <w:i/>
          <w:iCs/>
          <w:szCs w:val="22"/>
          <w:lang w:val="en-US"/>
        </w:rPr>
        <w:t>2025/2028:3</w:t>
      </w:r>
      <w:r w:rsidRPr="008E348A">
        <w:rPr>
          <w:i/>
          <w:iCs/>
          <w:szCs w:val="22"/>
          <w:lang w:val="en-US"/>
        </w:rPr>
        <w:t xml:space="preserve"> must have been received by the Company no later than </w:t>
      </w:r>
      <w:r>
        <w:rPr>
          <w:i/>
          <w:iCs/>
          <w:szCs w:val="22"/>
          <w:lang w:val="en-US"/>
        </w:rPr>
        <w:t>on 31 October 2025</w:t>
      </w:r>
      <w:r w:rsidRPr="008E348A">
        <w:rPr>
          <w:i/>
          <w:iCs/>
          <w:szCs w:val="22"/>
          <w:lang w:val="en-US"/>
        </w:rPr>
        <w:t>.</w:t>
      </w:r>
      <w:r w:rsidRPr="00A31307">
        <w:rPr>
          <w:i/>
          <w:iCs/>
          <w:szCs w:val="22"/>
          <w:lang w:val="en-US"/>
        </w:rPr>
        <w:t xml:space="preserve"> </w:t>
      </w:r>
      <w:r w:rsidRPr="008E348A">
        <w:rPr>
          <w:i/>
          <w:iCs/>
          <w:szCs w:val="22"/>
          <w:lang w:val="en-US"/>
        </w:rPr>
        <w:t xml:space="preserve">The board of </w:t>
      </w:r>
      <w:proofErr w:type="gramStart"/>
      <w:r w:rsidRPr="008E348A">
        <w:rPr>
          <w:i/>
          <w:iCs/>
          <w:szCs w:val="22"/>
          <w:lang w:val="en-US"/>
        </w:rPr>
        <w:t>directors shall</w:t>
      </w:r>
      <w:proofErr w:type="gramEnd"/>
      <w:r w:rsidRPr="008E348A">
        <w:rPr>
          <w:i/>
          <w:iCs/>
          <w:szCs w:val="22"/>
          <w:lang w:val="en-US"/>
        </w:rPr>
        <w:t xml:space="preserve"> have the right to extend the notification period</w:t>
      </w:r>
      <w:r>
        <w:rPr>
          <w:i/>
          <w:iCs/>
          <w:szCs w:val="22"/>
          <w:lang w:val="en-US"/>
        </w:rPr>
        <w:t>.</w:t>
      </w:r>
    </w:p>
    <w:p w14:paraId="35F7A1D1" w14:textId="77777777" w:rsidR="008C6575" w:rsidRPr="0015372C" w:rsidRDefault="008C6575" w:rsidP="008C6575">
      <w:pPr>
        <w:pStyle w:val="BodyText"/>
        <w:spacing w:after="0"/>
        <w:rPr>
          <w:i/>
          <w:iCs/>
          <w:szCs w:val="22"/>
          <w:lang w:val="en-US"/>
        </w:rPr>
      </w:pPr>
    </w:p>
    <w:p w14:paraId="7807B01B" w14:textId="0214387E" w:rsidR="008C6575" w:rsidRPr="00A71A00" w:rsidRDefault="008C6575" w:rsidP="008C6575">
      <w:pPr>
        <w:rPr>
          <w:rFonts w:cstheme="minorHAnsi"/>
          <w:szCs w:val="22"/>
        </w:rPr>
      </w:pPr>
      <w:bookmarkStart w:id="6" w:name="_Hlk206584145"/>
      <w:r>
        <w:rPr>
          <w:rFonts w:cstheme="minorHAnsi"/>
          <w:szCs w:val="22"/>
        </w:rPr>
        <w:t>Prestationsaktierna</w:t>
      </w:r>
      <w:r w:rsidRPr="00A71A00">
        <w:rPr>
          <w:rFonts w:cstheme="minorHAnsi"/>
          <w:szCs w:val="22"/>
        </w:rPr>
        <w:t xml:space="preserve"> delas </w:t>
      </w:r>
      <w:r w:rsidR="0094600D">
        <w:rPr>
          <w:rFonts w:cstheme="minorHAnsi"/>
          <w:szCs w:val="22"/>
        </w:rPr>
        <w:t xml:space="preserve">lika </w:t>
      </w:r>
      <w:r w:rsidRPr="00A71A00">
        <w:rPr>
          <w:rFonts w:cstheme="minorHAnsi"/>
          <w:szCs w:val="22"/>
        </w:rPr>
        <w:t xml:space="preserve">in i Serie </w:t>
      </w:r>
      <w:r>
        <w:rPr>
          <w:rFonts w:cstheme="minorHAnsi"/>
          <w:szCs w:val="22"/>
        </w:rPr>
        <w:t>1,</w:t>
      </w:r>
      <w:r w:rsidRPr="00A71A00">
        <w:rPr>
          <w:rFonts w:cstheme="minorHAnsi"/>
          <w:szCs w:val="22"/>
        </w:rPr>
        <w:t xml:space="preserve"> Serie </w:t>
      </w:r>
      <w:r>
        <w:rPr>
          <w:rFonts w:cstheme="minorHAnsi"/>
          <w:szCs w:val="22"/>
        </w:rPr>
        <w:t xml:space="preserve">2 och </w:t>
      </w:r>
      <w:r w:rsidRPr="00A71A00">
        <w:rPr>
          <w:rFonts w:cstheme="minorHAnsi"/>
          <w:szCs w:val="22"/>
        </w:rPr>
        <w:t xml:space="preserve">Serie </w:t>
      </w:r>
      <w:r>
        <w:rPr>
          <w:rFonts w:cstheme="minorHAnsi"/>
          <w:szCs w:val="22"/>
        </w:rPr>
        <w:t>3</w:t>
      </w:r>
      <w:r w:rsidR="00CE0CFB">
        <w:rPr>
          <w:rFonts w:cstheme="minorHAnsi"/>
          <w:szCs w:val="22"/>
        </w:rPr>
        <w:t xml:space="preserve"> för varje deltagare</w:t>
      </w:r>
      <w:r w:rsidRPr="00A71A00">
        <w:rPr>
          <w:rFonts w:cstheme="minorHAnsi"/>
          <w:szCs w:val="22"/>
        </w:rPr>
        <w:t xml:space="preserve">. Intjänandet av </w:t>
      </w:r>
      <w:r>
        <w:rPr>
          <w:rFonts w:cstheme="minorHAnsi"/>
          <w:szCs w:val="22"/>
        </w:rPr>
        <w:t>Prestationsaktier</w:t>
      </w:r>
      <w:r w:rsidRPr="00A71A00">
        <w:rPr>
          <w:rFonts w:cstheme="minorHAnsi"/>
          <w:szCs w:val="22"/>
        </w:rPr>
        <w:t xml:space="preserve"> är beroende av uppfyllnadsgraden av </w:t>
      </w:r>
      <w:r>
        <w:rPr>
          <w:rFonts w:cstheme="minorHAnsi"/>
          <w:szCs w:val="22"/>
        </w:rPr>
        <w:t>prestationsmål avseende totalavkastningen på Bolagets aktie ("</w:t>
      </w:r>
      <w:r>
        <w:rPr>
          <w:rFonts w:cstheme="minorHAnsi"/>
          <w:b/>
          <w:bCs/>
          <w:szCs w:val="22"/>
        </w:rPr>
        <w:t>TSR</w:t>
      </w:r>
      <w:r>
        <w:rPr>
          <w:rFonts w:cstheme="minorHAnsi"/>
          <w:szCs w:val="22"/>
        </w:rPr>
        <w:t xml:space="preserve">") räknat </w:t>
      </w:r>
      <w:r w:rsidRPr="00A71A00">
        <w:rPr>
          <w:rFonts w:cstheme="minorHAnsi"/>
          <w:szCs w:val="22"/>
        </w:rPr>
        <w:t xml:space="preserve">från datum för årsstämman </w:t>
      </w:r>
      <w:r>
        <w:rPr>
          <w:bCs/>
          <w:szCs w:val="22"/>
        </w:rPr>
        <w:t>2025</w:t>
      </w:r>
      <w:r w:rsidRPr="00A71A00">
        <w:rPr>
          <w:rFonts w:cstheme="minorHAnsi"/>
          <w:szCs w:val="22"/>
        </w:rPr>
        <w:t xml:space="preserve"> till datum för årsstämman </w:t>
      </w:r>
      <w:r>
        <w:rPr>
          <w:bCs/>
          <w:szCs w:val="22"/>
        </w:rPr>
        <w:t>2028</w:t>
      </w:r>
      <w:r w:rsidRPr="00A71A00">
        <w:rPr>
          <w:rFonts w:cstheme="minorHAnsi"/>
          <w:szCs w:val="22"/>
        </w:rPr>
        <w:t xml:space="preserve"> ("</w:t>
      </w:r>
      <w:r w:rsidRPr="00A71A00">
        <w:rPr>
          <w:rFonts w:cstheme="minorHAnsi"/>
          <w:b/>
          <w:szCs w:val="22"/>
        </w:rPr>
        <w:t>Mätperioden</w:t>
      </w:r>
      <w:r w:rsidRPr="00A71A00">
        <w:rPr>
          <w:rFonts w:cstheme="minorHAnsi"/>
          <w:szCs w:val="22"/>
        </w:rPr>
        <w:t>").</w:t>
      </w:r>
      <w:bookmarkEnd w:id="6"/>
    </w:p>
    <w:p w14:paraId="59FBEC33" w14:textId="6B18FB25" w:rsidR="008C6575" w:rsidRPr="00B630B6" w:rsidRDefault="008C6575" w:rsidP="008C6575">
      <w:pPr>
        <w:rPr>
          <w:rFonts w:cstheme="minorHAnsi"/>
          <w:i/>
          <w:szCs w:val="22"/>
          <w:lang w:val="en-US"/>
        </w:rPr>
      </w:pPr>
      <w:bookmarkStart w:id="7" w:name="_Hlk206584151"/>
      <w:r w:rsidRPr="00A71A00">
        <w:rPr>
          <w:rFonts w:cstheme="minorHAnsi"/>
          <w:i/>
          <w:szCs w:val="22"/>
          <w:lang w:val="en-US"/>
        </w:rPr>
        <w:t xml:space="preserve">The </w:t>
      </w:r>
      <w:r w:rsidR="0039134E">
        <w:rPr>
          <w:rFonts w:cstheme="minorHAnsi"/>
          <w:i/>
          <w:szCs w:val="22"/>
          <w:lang w:val="en-US"/>
        </w:rPr>
        <w:t xml:space="preserve">Performance Shares </w:t>
      </w:r>
      <w:r w:rsidRPr="00A71A00">
        <w:rPr>
          <w:rFonts w:cstheme="minorHAnsi"/>
          <w:i/>
          <w:szCs w:val="22"/>
          <w:lang w:val="en-US"/>
        </w:rPr>
        <w:t>are</w:t>
      </w:r>
      <w:r w:rsidR="0094600D">
        <w:rPr>
          <w:rFonts w:cstheme="minorHAnsi"/>
          <w:i/>
          <w:szCs w:val="22"/>
          <w:lang w:val="en-US"/>
        </w:rPr>
        <w:t xml:space="preserve"> equally</w:t>
      </w:r>
      <w:r w:rsidRPr="00A71A00">
        <w:rPr>
          <w:rFonts w:cstheme="minorHAnsi"/>
          <w:i/>
          <w:szCs w:val="22"/>
          <w:lang w:val="en-US"/>
        </w:rPr>
        <w:t xml:space="preserve"> divided into </w:t>
      </w:r>
      <w:r>
        <w:rPr>
          <w:rFonts w:cstheme="minorHAnsi"/>
          <w:i/>
          <w:szCs w:val="22"/>
          <w:lang w:val="en-US"/>
        </w:rPr>
        <w:t>Series 1, Series 2 and Series 3</w:t>
      </w:r>
      <w:r w:rsidR="00CE0CFB">
        <w:rPr>
          <w:rFonts w:cstheme="minorHAnsi"/>
          <w:i/>
          <w:szCs w:val="22"/>
          <w:lang w:val="en-US"/>
        </w:rPr>
        <w:t xml:space="preserve"> for each participant</w:t>
      </w:r>
      <w:r w:rsidRPr="00A71A00">
        <w:rPr>
          <w:rFonts w:cstheme="minorHAnsi"/>
          <w:i/>
          <w:szCs w:val="22"/>
          <w:lang w:val="en-US"/>
        </w:rPr>
        <w:t xml:space="preserve">. Vesting of </w:t>
      </w:r>
      <w:r>
        <w:rPr>
          <w:rFonts w:cstheme="minorHAnsi"/>
          <w:i/>
          <w:szCs w:val="22"/>
          <w:lang w:val="en-US"/>
        </w:rPr>
        <w:t>Performance Shares</w:t>
      </w:r>
      <w:r w:rsidRPr="00A71A00">
        <w:rPr>
          <w:rFonts w:cstheme="minorHAnsi"/>
          <w:i/>
          <w:szCs w:val="22"/>
          <w:lang w:val="en-US"/>
        </w:rPr>
        <w:t xml:space="preserve"> is dependent on the degree of fulfillment of performance conditions </w:t>
      </w:r>
      <w:r>
        <w:rPr>
          <w:rFonts w:cstheme="minorHAnsi"/>
          <w:i/>
          <w:szCs w:val="22"/>
          <w:lang w:val="en-US"/>
        </w:rPr>
        <w:t>relating to the total shareholder return of the Company's share ("</w:t>
      </w:r>
      <w:r>
        <w:rPr>
          <w:rFonts w:cstheme="minorHAnsi"/>
          <w:b/>
          <w:bCs/>
          <w:i/>
          <w:szCs w:val="22"/>
          <w:lang w:val="en-US"/>
        </w:rPr>
        <w:t>TSR</w:t>
      </w:r>
      <w:r>
        <w:rPr>
          <w:rFonts w:cstheme="minorHAnsi"/>
          <w:i/>
          <w:szCs w:val="22"/>
          <w:lang w:val="en-US"/>
        </w:rPr>
        <w:t xml:space="preserve">") </w:t>
      </w:r>
      <w:r w:rsidRPr="00A71A00">
        <w:rPr>
          <w:rFonts w:cstheme="minorHAnsi"/>
          <w:i/>
          <w:szCs w:val="22"/>
          <w:lang w:val="en-US"/>
        </w:rPr>
        <w:t xml:space="preserve">during the measurement period from the date of the annual general meeting </w:t>
      </w:r>
      <w:r>
        <w:rPr>
          <w:i/>
          <w:szCs w:val="22"/>
          <w:lang w:val="en-US"/>
        </w:rPr>
        <w:t>2025</w:t>
      </w:r>
      <w:r w:rsidRPr="00A71A00">
        <w:rPr>
          <w:rFonts w:cstheme="minorHAnsi"/>
          <w:i/>
          <w:szCs w:val="22"/>
          <w:lang w:val="en-US"/>
        </w:rPr>
        <w:t xml:space="preserve"> until the date of the annual general meeting </w:t>
      </w:r>
      <w:r>
        <w:rPr>
          <w:i/>
          <w:szCs w:val="22"/>
          <w:lang w:val="en-US"/>
        </w:rPr>
        <w:t>2028</w:t>
      </w:r>
      <w:r w:rsidRPr="00A71A00">
        <w:rPr>
          <w:rFonts w:cstheme="minorHAnsi"/>
          <w:i/>
          <w:szCs w:val="22"/>
          <w:lang w:val="en-US"/>
        </w:rPr>
        <w:t xml:space="preserve"> (the "</w:t>
      </w:r>
      <w:r w:rsidRPr="00A71A00">
        <w:rPr>
          <w:rFonts w:cstheme="minorHAnsi"/>
          <w:b/>
          <w:i/>
          <w:szCs w:val="22"/>
          <w:lang w:val="en-US"/>
        </w:rPr>
        <w:t>Measurement Period</w:t>
      </w:r>
      <w:r w:rsidRPr="00A71A00">
        <w:rPr>
          <w:rFonts w:cstheme="minorHAnsi"/>
          <w:i/>
          <w:szCs w:val="22"/>
          <w:lang w:val="en-US"/>
        </w:rPr>
        <w:t>").</w:t>
      </w:r>
      <w:bookmarkEnd w:id="7"/>
    </w:p>
    <w:p w14:paraId="30A14C0D" w14:textId="77777777" w:rsidR="008C6575" w:rsidRPr="00EE396E" w:rsidRDefault="008C6575" w:rsidP="008C6575">
      <w:pPr>
        <w:pStyle w:val="BodyText"/>
        <w:spacing w:after="0"/>
        <w:rPr>
          <w:szCs w:val="22"/>
          <w:lang w:val="en-US"/>
        </w:rPr>
      </w:pPr>
    </w:p>
    <w:p w14:paraId="36EF5B4D" w14:textId="77777777" w:rsidR="008C6575" w:rsidRDefault="008C6575" w:rsidP="008C6575">
      <w:pPr>
        <w:pStyle w:val="BodyText"/>
        <w:spacing w:after="0"/>
        <w:rPr>
          <w:szCs w:val="22"/>
          <w:lang w:val="sv-SE"/>
        </w:rPr>
      </w:pPr>
      <w:r>
        <w:rPr>
          <w:szCs w:val="22"/>
          <w:lang w:val="sv-SE"/>
        </w:rPr>
        <w:t>Prestationsaktier av respektive serie intjänas enligt följande:</w:t>
      </w:r>
    </w:p>
    <w:p w14:paraId="178E64E1" w14:textId="77777777" w:rsidR="008C6575" w:rsidRPr="00C441A8" w:rsidRDefault="008C6575" w:rsidP="008C6575">
      <w:pPr>
        <w:pStyle w:val="BodyText"/>
        <w:spacing w:after="0"/>
        <w:rPr>
          <w:i/>
          <w:iCs/>
          <w:szCs w:val="22"/>
          <w:lang w:val="en-US"/>
        </w:rPr>
      </w:pPr>
      <w:r w:rsidRPr="00C441A8">
        <w:rPr>
          <w:i/>
          <w:iCs/>
          <w:szCs w:val="22"/>
          <w:lang w:val="en-US"/>
        </w:rPr>
        <w:t xml:space="preserve">Performance Shares of each series </w:t>
      </w:r>
      <w:proofErr w:type="gramStart"/>
      <w:r w:rsidRPr="00C441A8">
        <w:rPr>
          <w:i/>
          <w:iCs/>
          <w:szCs w:val="22"/>
          <w:lang w:val="en-US"/>
        </w:rPr>
        <w:t>are vested</w:t>
      </w:r>
      <w:proofErr w:type="gramEnd"/>
      <w:r w:rsidRPr="00C441A8">
        <w:rPr>
          <w:i/>
          <w:iCs/>
          <w:szCs w:val="22"/>
          <w:lang w:val="en-US"/>
        </w:rPr>
        <w:t xml:space="preserve"> as follows:</w:t>
      </w:r>
    </w:p>
    <w:p w14:paraId="4CC0BF4A" w14:textId="77777777" w:rsidR="008C6575" w:rsidRDefault="008C6575" w:rsidP="008C6575">
      <w:pPr>
        <w:pStyle w:val="BodyText"/>
        <w:spacing w:after="0"/>
        <w:rPr>
          <w:szCs w:val="22"/>
          <w:lang w:val="en-US"/>
        </w:rPr>
      </w:pPr>
    </w:p>
    <w:p w14:paraId="19775287" w14:textId="77777777" w:rsidR="008C6575" w:rsidRPr="005D5226" w:rsidRDefault="008C6575" w:rsidP="008C6575">
      <w:pPr>
        <w:ind w:left="1412" w:hanging="1412"/>
        <w:rPr>
          <w:rFonts w:cstheme="minorHAnsi"/>
          <w:szCs w:val="22"/>
        </w:rPr>
      </w:pPr>
      <w:r w:rsidRPr="00144DA4">
        <w:rPr>
          <w:rFonts w:cstheme="minorHAnsi"/>
          <w:szCs w:val="22"/>
        </w:rPr>
        <w:t xml:space="preserve">Serie </w:t>
      </w:r>
      <w:r>
        <w:rPr>
          <w:rFonts w:cstheme="minorHAnsi"/>
          <w:szCs w:val="22"/>
        </w:rPr>
        <w:t>1</w:t>
      </w:r>
      <w:r w:rsidRPr="00144DA4">
        <w:rPr>
          <w:rFonts w:cstheme="minorHAnsi"/>
          <w:szCs w:val="22"/>
        </w:rPr>
        <w:t>:</w:t>
      </w:r>
      <w:r w:rsidRPr="00144DA4">
        <w:rPr>
          <w:rFonts w:cstheme="minorHAnsi"/>
          <w:szCs w:val="22"/>
        </w:rPr>
        <w:tab/>
      </w:r>
      <w:r>
        <w:rPr>
          <w:rFonts w:cstheme="minorHAnsi"/>
          <w:szCs w:val="22"/>
        </w:rPr>
        <w:t>Intjänas om TSR</w:t>
      </w:r>
      <w:r w:rsidRPr="00144DA4">
        <w:rPr>
          <w:rFonts w:cstheme="minorHAnsi"/>
          <w:szCs w:val="22"/>
        </w:rPr>
        <w:t xml:space="preserve"> under Mätperioden </w:t>
      </w:r>
      <w:r>
        <w:rPr>
          <w:rFonts w:cstheme="minorHAnsi"/>
          <w:szCs w:val="22"/>
        </w:rPr>
        <w:t>uppgår till eller överstiger</w:t>
      </w:r>
      <w:r w:rsidRPr="00144DA4">
        <w:rPr>
          <w:rFonts w:cstheme="minorHAnsi"/>
          <w:szCs w:val="22"/>
        </w:rPr>
        <w:t xml:space="preserve"> </w:t>
      </w:r>
      <w:r>
        <w:rPr>
          <w:rFonts w:cstheme="minorHAnsi"/>
          <w:szCs w:val="22"/>
        </w:rPr>
        <w:t>120</w:t>
      </w:r>
      <w:r w:rsidRPr="00144DA4">
        <w:rPr>
          <w:rFonts w:cstheme="minorHAnsi"/>
          <w:szCs w:val="22"/>
        </w:rPr>
        <w:t xml:space="preserve"> procent</w:t>
      </w:r>
      <w:r>
        <w:rPr>
          <w:rFonts w:cstheme="minorHAnsi"/>
          <w:szCs w:val="22"/>
        </w:rPr>
        <w:t>.</w:t>
      </w:r>
    </w:p>
    <w:p w14:paraId="11A5B3F4" w14:textId="77777777" w:rsidR="008C6575" w:rsidRDefault="008C6575" w:rsidP="008C6575">
      <w:pPr>
        <w:ind w:left="1412" w:hanging="1412"/>
        <w:rPr>
          <w:rFonts w:cstheme="minorHAnsi"/>
          <w:i/>
          <w:szCs w:val="22"/>
          <w:lang w:val="en-US"/>
        </w:rPr>
      </w:pPr>
      <w:r w:rsidRPr="00A71A00">
        <w:rPr>
          <w:rFonts w:cstheme="minorHAnsi"/>
          <w:i/>
          <w:szCs w:val="22"/>
          <w:lang w:val="en-US"/>
        </w:rPr>
        <w:t xml:space="preserve">Series </w:t>
      </w:r>
      <w:r>
        <w:rPr>
          <w:rFonts w:cstheme="minorHAnsi"/>
          <w:i/>
          <w:szCs w:val="22"/>
          <w:lang w:val="en-US"/>
        </w:rPr>
        <w:t>1</w:t>
      </w:r>
      <w:proofErr w:type="gramStart"/>
      <w:r w:rsidRPr="00A71A00">
        <w:rPr>
          <w:rFonts w:cstheme="minorHAnsi"/>
          <w:i/>
          <w:szCs w:val="22"/>
          <w:lang w:val="en-US"/>
        </w:rPr>
        <w:t xml:space="preserve">: </w:t>
      </w:r>
      <w:r w:rsidRPr="00A71A00">
        <w:rPr>
          <w:rFonts w:cstheme="minorHAnsi"/>
          <w:i/>
          <w:szCs w:val="22"/>
          <w:lang w:val="en-US"/>
        </w:rPr>
        <w:tab/>
      </w:r>
      <w:r>
        <w:rPr>
          <w:rFonts w:cstheme="minorHAnsi"/>
          <w:i/>
          <w:szCs w:val="22"/>
          <w:lang w:val="en-US"/>
        </w:rPr>
        <w:t>Vested</w:t>
      </w:r>
      <w:proofErr w:type="gramEnd"/>
      <w:r>
        <w:rPr>
          <w:rFonts w:cstheme="minorHAnsi"/>
          <w:i/>
          <w:szCs w:val="22"/>
          <w:lang w:val="en-US"/>
        </w:rPr>
        <w:t xml:space="preserve"> if the TSR during the Measurement Period amounts to or exceeds 120 percent.</w:t>
      </w:r>
    </w:p>
    <w:p w14:paraId="1CF53FE1" w14:textId="77777777" w:rsidR="008C6575" w:rsidRPr="00A71A00" w:rsidRDefault="008C6575" w:rsidP="008C6575">
      <w:pPr>
        <w:ind w:left="1412" w:hanging="1412"/>
        <w:rPr>
          <w:rFonts w:cstheme="minorHAnsi"/>
          <w:i/>
          <w:szCs w:val="22"/>
          <w:lang w:val="en-US"/>
        </w:rPr>
      </w:pPr>
    </w:p>
    <w:p w14:paraId="07A062F9" w14:textId="77777777" w:rsidR="008C6575" w:rsidRPr="005D5226" w:rsidRDefault="008C6575" w:rsidP="008C6575">
      <w:pPr>
        <w:ind w:left="1412" w:hanging="1412"/>
        <w:rPr>
          <w:rFonts w:cstheme="minorHAnsi"/>
          <w:szCs w:val="22"/>
        </w:rPr>
      </w:pPr>
      <w:r w:rsidRPr="00144DA4">
        <w:rPr>
          <w:rFonts w:cstheme="minorHAnsi"/>
          <w:szCs w:val="22"/>
        </w:rPr>
        <w:t xml:space="preserve">Serie </w:t>
      </w:r>
      <w:r>
        <w:rPr>
          <w:rFonts w:cstheme="minorHAnsi"/>
          <w:szCs w:val="22"/>
        </w:rPr>
        <w:t>2</w:t>
      </w:r>
      <w:r w:rsidRPr="00144DA4">
        <w:rPr>
          <w:rFonts w:cstheme="minorHAnsi"/>
          <w:szCs w:val="22"/>
        </w:rPr>
        <w:t>:</w:t>
      </w:r>
      <w:r w:rsidRPr="00144DA4">
        <w:rPr>
          <w:rFonts w:cstheme="minorHAnsi"/>
          <w:szCs w:val="22"/>
        </w:rPr>
        <w:tab/>
      </w:r>
      <w:r>
        <w:rPr>
          <w:rFonts w:cstheme="minorHAnsi"/>
          <w:szCs w:val="22"/>
        </w:rPr>
        <w:t>Intjänas om TSR</w:t>
      </w:r>
      <w:r w:rsidRPr="00144DA4">
        <w:rPr>
          <w:rFonts w:cstheme="minorHAnsi"/>
          <w:szCs w:val="22"/>
        </w:rPr>
        <w:t xml:space="preserve"> under Mätperioden </w:t>
      </w:r>
      <w:r>
        <w:rPr>
          <w:rFonts w:cstheme="minorHAnsi"/>
          <w:szCs w:val="22"/>
        </w:rPr>
        <w:t>uppgår till eller överstiger</w:t>
      </w:r>
      <w:r w:rsidRPr="00144DA4">
        <w:rPr>
          <w:rFonts w:cstheme="minorHAnsi"/>
          <w:szCs w:val="22"/>
        </w:rPr>
        <w:t xml:space="preserve"> </w:t>
      </w:r>
      <w:r>
        <w:rPr>
          <w:rFonts w:cstheme="minorHAnsi"/>
          <w:szCs w:val="22"/>
        </w:rPr>
        <w:t>150</w:t>
      </w:r>
      <w:r w:rsidRPr="00144DA4">
        <w:rPr>
          <w:rFonts w:cstheme="minorHAnsi"/>
          <w:szCs w:val="22"/>
        </w:rPr>
        <w:t xml:space="preserve"> procent</w:t>
      </w:r>
      <w:r>
        <w:rPr>
          <w:rFonts w:cstheme="minorHAnsi"/>
          <w:szCs w:val="22"/>
        </w:rPr>
        <w:t>.</w:t>
      </w:r>
    </w:p>
    <w:p w14:paraId="2F01A1D5" w14:textId="77777777" w:rsidR="008C6575" w:rsidRDefault="008C6575" w:rsidP="008C6575">
      <w:pPr>
        <w:ind w:left="1412" w:hanging="1412"/>
        <w:rPr>
          <w:rFonts w:cstheme="minorHAnsi"/>
          <w:i/>
          <w:szCs w:val="22"/>
          <w:lang w:val="en-US"/>
        </w:rPr>
      </w:pPr>
      <w:r w:rsidRPr="00A71A00">
        <w:rPr>
          <w:rFonts w:cstheme="minorHAnsi"/>
          <w:i/>
          <w:szCs w:val="22"/>
          <w:lang w:val="en-US"/>
        </w:rPr>
        <w:t xml:space="preserve">Series </w:t>
      </w:r>
      <w:r>
        <w:rPr>
          <w:rFonts w:cstheme="minorHAnsi"/>
          <w:i/>
          <w:szCs w:val="22"/>
          <w:lang w:val="en-US"/>
        </w:rPr>
        <w:t>2</w:t>
      </w:r>
      <w:proofErr w:type="gramStart"/>
      <w:r w:rsidRPr="00A71A00">
        <w:rPr>
          <w:rFonts w:cstheme="minorHAnsi"/>
          <w:i/>
          <w:szCs w:val="22"/>
          <w:lang w:val="en-US"/>
        </w:rPr>
        <w:t xml:space="preserve">: </w:t>
      </w:r>
      <w:r w:rsidRPr="00A71A00">
        <w:rPr>
          <w:rFonts w:cstheme="minorHAnsi"/>
          <w:i/>
          <w:szCs w:val="22"/>
          <w:lang w:val="en-US"/>
        </w:rPr>
        <w:tab/>
      </w:r>
      <w:r>
        <w:rPr>
          <w:rFonts w:cstheme="minorHAnsi"/>
          <w:i/>
          <w:szCs w:val="22"/>
          <w:lang w:val="en-US"/>
        </w:rPr>
        <w:t>Vested</w:t>
      </w:r>
      <w:proofErr w:type="gramEnd"/>
      <w:r>
        <w:rPr>
          <w:rFonts w:cstheme="minorHAnsi"/>
          <w:i/>
          <w:szCs w:val="22"/>
          <w:lang w:val="en-US"/>
        </w:rPr>
        <w:t xml:space="preserve"> if the TSR during the Measurement Period amounts to or exceeds 150 percent.</w:t>
      </w:r>
    </w:p>
    <w:p w14:paraId="6CAA24C5" w14:textId="77777777" w:rsidR="008C6575" w:rsidRPr="00A71A00" w:rsidRDefault="008C6575" w:rsidP="008C6575">
      <w:pPr>
        <w:ind w:left="1412" w:hanging="1412"/>
        <w:rPr>
          <w:rFonts w:cstheme="minorHAnsi"/>
          <w:i/>
          <w:szCs w:val="22"/>
          <w:lang w:val="en-US"/>
        </w:rPr>
      </w:pPr>
    </w:p>
    <w:p w14:paraId="565182D7" w14:textId="77777777" w:rsidR="008C6575" w:rsidRPr="005D5226" w:rsidRDefault="008C6575" w:rsidP="008C6575">
      <w:pPr>
        <w:ind w:left="1412" w:hanging="1412"/>
        <w:rPr>
          <w:rFonts w:cstheme="minorHAnsi"/>
          <w:szCs w:val="22"/>
        </w:rPr>
      </w:pPr>
      <w:r w:rsidRPr="00144DA4">
        <w:rPr>
          <w:rFonts w:cstheme="minorHAnsi"/>
          <w:szCs w:val="22"/>
        </w:rPr>
        <w:t xml:space="preserve">Serie </w:t>
      </w:r>
      <w:r>
        <w:rPr>
          <w:rFonts w:cstheme="minorHAnsi"/>
          <w:szCs w:val="22"/>
        </w:rPr>
        <w:t>3</w:t>
      </w:r>
      <w:r w:rsidRPr="00144DA4">
        <w:rPr>
          <w:rFonts w:cstheme="minorHAnsi"/>
          <w:szCs w:val="22"/>
        </w:rPr>
        <w:t>:</w:t>
      </w:r>
      <w:r w:rsidRPr="00144DA4">
        <w:rPr>
          <w:rFonts w:cstheme="minorHAnsi"/>
          <w:szCs w:val="22"/>
        </w:rPr>
        <w:tab/>
      </w:r>
      <w:r>
        <w:rPr>
          <w:rFonts w:cstheme="minorHAnsi"/>
          <w:szCs w:val="22"/>
        </w:rPr>
        <w:t>Intjänas om TSR</w:t>
      </w:r>
      <w:r w:rsidRPr="00144DA4">
        <w:rPr>
          <w:rFonts w:cstheme="minorHAnsi"/>
          <w:szCs w:val="22"/>
        </w:rPr>
        <w:t xml:space="preserve"> under Mätperioden </w:t>
      </w:r>
      <w:r>
        <w:rPr>
          <w:rFonts w:cstheme="minorHAnsi"/>
          <w:szCs w:val="22"/>
        </w:rPr>
        <w:t>uppgår till eller överstiger</w:t>
      </w:r>
      <w:r w:rsidRPr="00144DA4">
        <w:rPr>
          <w:rFonts w:cstheme="minorHAnsi"/>
          <w:szCs w:val="22"/>
        </w:rPr>
        <w:t xml:space="preserve"> </w:t>
      </w:r>
      <w:r>
        <w:rPr>
          <w:rFonts w:cstheme="minorHAnsi"/>
          <w:szCs w:val="22"/>
        </w:rPr>
        <w:t>170</w:t>
      </w:r>
      <w:r w:rsidRPr="00144DA4">
        <w:rPr>
          <w:rFonts w:cstheme="minorHAnsi"/>
          <w:szCs w:val="22"/>
        </w:rPr>
        <w:t xml:space="preserve"> procent</w:t>
      </w:r>
      <w:r>
        <w:rPr>
          <w:rFonts w:cstheme="minorHAnsi"/>
          <w:szCs w:val="22"/>
        </w:rPr>
        <w:t>.</w:t>
      </w:r>
    </w:p>
    <w:p w14:paraId="101553E4" w14:textId="77777777" w:rsidR="008C6575" w:rsidRPr="00101F8B" w:rsidRDefault="008C6575" w:rsidP="008C6575">
      <w:pPr>
        <w:ind w:left="1412" w:hanging="1412"/>
        <w:rPr>
          <w:rFonts w:cstheme="minorHAnsi"/>
          <w:i/>
          <w:szCs w:val="22"/>
          <w:lang w:val="en-US"/>
        </w:rPr>
      </w:pPr>
      <w:r w:rsidRPr="00A71A00">
        <w:rPr>
          <w:rFonts w:cstheme="minorHAnsi"/>
          <w:i/>
          <w:szCs w:val="22"/>
          <w:lang w:val="en-US"/>
        </w:rPr>
        <w:t xml:space="preserve">Series </w:t>
      </w:r>
      <w:r>
        <w:rPr>
          <w:rFonts w:cstheme="minorHAnsi"/>
          <w:i/>
          <w:szCs w:val="22"/>
          <w:lang w:val="en-US"/>
        </w:rPr>
        <w:t>3</w:t>
      </w:r>
      <w:proofErr w:type="gramStart"/>
      <w:r w:rsidRPr="00A71A00">
        <w:rPr>
          <w:rFonts w:cstheme="minorHAnsi"/>
          <w:i/>
          <w:szCs w:val="22"/>
          <w:lang w:val="en-US"/>
        </w:rPr>
        <w:t xml:space="preserve">: </w:t>
      </w:r>
      <w:r w:rsidRPr="00A71A00">
        <w:rPr>
          <w:rFonts w:cstheme="minorHAnsi"/>
          <w:i/>
          <w:szCs w:val="22"/>
          <w:lang w:val="en-US"/>
        </w:rPr>
        <w:tab/>
      </w:r>
      <w:r>
        <w:rPr>
          <w:rFonts w:cstheme="minorHAnsi"/>
          <w:i/>
          <w:szCs w:val="22"/>
          <w:lang w:val="en-US"/>
        </w:rPr>
        <w:t>Vested</w:t>
      </w:r>
      <w:proofErr w:type="gramEnd"/>
      <w:r>
        <w:rPr>
          <w:rFonts w:cstheme="minorHAnsi"/>
          <w:i/>
          <w:szCs w:val="22"/>
          <w:lang w:val="en-US"/>
        </w:rPr>
        <w:t xml:space="preserve"> if the TSR during the Measurement Period amounts to or exceeds 170 percent.</w:t>
      </w:r>
    </w:p>
    <w:p w14:paraId="1D4006E1" w14:textId="77777777" w:rsidR="008C6575" w:rsidRPr="00EE396E" w:rsidRDefault="008C6575" w:rsidP="008C6575">
      <w:pPr>
        <w:pStyle w:val="BodyText"/>
        <w:spacing w:after="0"/>
        <w:rPr>
          <w:szCs w:val="22"/>
          <w:lang w:val="en-US"/>
        </w:rPr>
      </w:pPr>
    </w:p>
    <w:p w14:paraId="3C54B04B" w14:textId="31E3522C" w:rsidR="008C6575" w:rsidRPr="0031785B" w:rsidRDefault="008C6575" w:rsidP="008C6575">
      <w:pPr>
        <w:pStyle w:val="BodyText"/>
        <w:spacing w:after="0"/>
        <w:rPr>
          <w:szCs w:val="22"/>
          <w:lang w:val="sv-SE"/>
        </w:rPr>
      </w:pPr>
      <w:r>
        <w:rPr>
          <w:szCs w:val="22"/>
          <w:lang w:val="sv-SE"/>
        </w:rPr>
        <w:t xml:space="preserve">Varje intjänad </w:t>
      </w:r>
      <w:r w:rsidRPr="008E348A">
        <w:rPr>
          <w:szCs w:val="22"/>
          <w:lang w:val="sv-SE"/>
        </w:rPr>
        <w:t>Prestationsaktie berättigar innehavaren att antingen (a) förvärva en (1) B-aktie till ett pris motsvarande kvotvärdet på aktien eller (b) vederlagsfritt erhålla en teckningsoption som berättigar till teckning av en (1) B-aktie i Bolaget till en teckningskurs motsvarande kvotvärdet på aktien.</w:t>
      </w:r>
      <w:r w:rsidRPr="00826666">
        <w:rPr>
          <w:rFonts w:cstheme="minorHAnsi"/>
          <w:szCs w:val="22"/>
          <w:lang w:val="sv-SE"/>
        </w:rPr>
        <w:t xml:space="preserve"> </w:t>
      </w:r>
      <w:r>
        <w:rPr>
          <w:rFonts w:cstheme="minorHAnsi"/>
          <w:szCs w:val="22"/>
          <w:lang w:val="sv-SE"/>
        </w:rPr>
        <w:t>Teckning</w:t>
      </w:r>
      <w:r w:rsidRPr="00A71A00">
        <w:rPr>
          <w:rFonts w:cstheme="minorHAnsi"/>
          <w:szCs w:val="22"/>
          <w:lang w:val="sv-SE"/>
        </w:rPr>
        <w:t xml:space="preserve"> av </w:t>
      </w:r>
      <w:r>
        <w:rPr>
          <w:rFonts w:cstheme="minorHAnsi"/>
          <w:szCs w:val="22"/>
          <w:lang w:val="sv-SE"/>
        </w:rPr>
        <w:t xml:space="preserve">och betalning för B-aktier genom utnyttjande av Prestationsaktier </w:t>
      </w:r>
      <w:r w:rsidRPr="00A71A00">
        <w:rPr>
          <w:rFonts w:cstheme="minorHAnsi"/>
          <w:szCs w:val="22"/>
          <w:lang w:val="sv-SE"/>
        </w:rPr>
        <w:t xml:space="preserve">ska ske </w:t>
      </w:r>
      <w:r>
        <w:rPr>
          <w:rFonts w:cstheme="minorHAnsi"/>
          <w:szCs w:val="22"/>
          <w:lang w:val="sv-SE"/>
        </w:rPr>
        <w:t xml:space="preserve">senast en månad </w:t>
      </w:r>
      <w:r w:rsidRPr="00A71A00">
        <w:rPr>
          <w:rFonts w:cstheme="minorHAnsi"/>
          <w:szCs w:val="22"/>
          <w:lang w:val="sv-SE"/>
        </w:rPr>
        <w:t>efter att årsstämman</w:t>
      </w:r>
      <w:r>
        <w:rPr>
          <w:rFonts w:cstheme="minorHAnsi"/>
          <w:szCs w:val="22"/>
          <w:lang w:val="sv-SE"/>
        </w:rPr>
        <w:t xml:space="preserve"> </w:t>
      </w:r>
      <w:r>
        <w:rPr>
          <w:bCs/>
          <w:szCs w:val="22"/>
          <w:lang w:val="sv-SE"/>
        </w:rPr>
        <w:t>2028</w:t>
      </w:r>
      <w:r w:rsidRPr="00A71A00">
        <w:rPr>
          <w:rFonts w:cstheme="minorHAnsi"/>
          <w:szCs w:val="22"/>
          <w:lang w:val="sv-SE"/>
        </w:rPr>
        <w:t xml:space="preserve"> har hållits</w:t>
      </w:r>
      <w:r>
        <w:rPr>
          <w:rFonts w:cstheme="minorHAnsi"/>
          <w:szCs w:val="22"/>
          <w:lang w:val="sv-SE"/>
        </w:rPr>
        <w:t>, med rätt för styrelsen att förlänga denna tidsfrist</w:t>
      </w:r>
      <w:r w:rsidRPr="00253161">
        <w:rPr>
          <w:rFonts w:cstheme="minorHAnsi"/>
          <w:szCs w:val="22"/>
          <w:lang w:val="sv-SE"/>
        </w:rPr>
        <w:t xml:space="preserve"> </w:t>
      </w:r>
      <w:r w:rsidRPr="00A71A00">
        <w:rPr>
          <w:rFonts w:cstheme="minorHAnsi"/>
          <w:szCs w:val="22"/>
          <w:lang w:val="sv-SE"/>
        </w:rPr>
        <w:t>Perioden som löper från datumet för incitamentsprogramavtalets ingående till</w:t>
      </w:r>
      <w:r>
        <w:rPr>
          <w:rFonts w:cstheme="minorHAnsi"/>
          <w:szCs w:val="22"/>
          <w:lang w:val="sv-SE"/>
        </w:rPr>
        <w:t xml:space="preserve"> och med</w:t>
      </w:r>
      <w:r w:rsidRPr="00A71A00">
        <w:rPr>
          <w:rFonts w:cstheme="minorHAnsi"/>
          <w:szCs w:val="22"/>
          <w:lang w:val="sv-SE"/>
        </w:rPr>
        <w:t xml:space="preserve"> </w:t>
      </w:r>
      <w:r>
        <w:rPr>
          <w:rFonts w:cstheme="minorHAnsi"/>
          <w:szCs w:val="22"/>
          <w:lang w:val="sv-SE"/>
        </w:rPr>
        <w:t>slutet av dagen för årsstämman 2028</w:t>
      </w:r>
      <w:r w:rsidRPr="00A71A00">
        <w:rPr>
          <w:rFonts w:cstheme="minorHAnsi"/>
          <w:szCs w:val="22"/>
          <w:lang w:val="sv-SE"/>
        </w:rPr>
        <w:t xml:space="preserve"> benämns "</w:t>
      </w:r>
      <w:r w:rsidRPr="00A71A00">
        <w:rPr>
          <w:rFonts w:cstheme="minorHAnsi"/>
          <w:b/>
          <w:szCs w:val="22"/>
          <w:lang w:val="sv-SE"/>
        </w:rPr>
        <w:t>Intjänandeperioden</w:t>
      </w:r>
      <w:r w:rsidRPr="00A71A00">
        <w:rPr>
          <w:rFonts w:cstheme="minorHAnsi"/>
          <w:szCs w:val="22"/>
          <w:lang w:val="sv-SE"/>
        </w:rPr>
        <w:t>".</w:t>
      </w:r>
      <w:r>
        <w:rPr>
          <w:szCs w:val="22"/>
          <w:lang w:val="sv-SE"/>
        </w:rPr>
        <w:t xml:space="preserve"> Prestationsaktierna är föremål för omräkning i enlighet med omräkningsvillkoren i villkoren för teckningsoptioner av serie 2025/2028:3, </w:t>
      </w:r>
      <w:r>
        <w:rPr>
          <w:szCs w:val="22"/>
          <w:u w:val="single"/>
          <w:lang w:val="sv-SE"/>
        </w:rPr>
        <w:t>Bilaga 5c</w:t>
      </w:r>
      <w:r>
        <w:rPr>
          <w:szCs w:val="22"/>
          <w:lang w:val="sv-SE"/>
        </w:rPr>
        <w:t>.</w:t>
      </w:r>
    </w:p>
    <w:p w14:paraId="17FBFCD3" w14:textId="6A93C52A" w:rsidR="008C6575" w:rsidRDefault="008C6575" w:rsidP="008C6575">
      <w:pPr>
        <w:pStyle w:val="BodyText"/>
        <w:spacing w:after="0"/>
        <w:rPr>
          <w:i/>
          <w:iCs/>
          <w:szCs w:val="22"/>
          <w:lang w:val="en-US"/>
        </w:rPr>
      </w:pPr>
      <w:r w:rsidRPr="008E348A">
        <w:rPr>
          <w:i/>
          <w:iCs/>
          <w:szCs w:val="22"/>
          <w:lang w:val="en-US"/>
        </w:rPr>
        <w:lastRenderedPageBreak/>
        <w:t xml:space="preserve">Provided that Performance Shares have vested and that the performance target has been achieved, each Performance Share entitles the holder to either (a) acquire one (1) </w:t>
      </w:r>
      <w:r>
        <w:rPr>
          <w:i/>
          <w:iCs/>
          <w:szCs w:val="22"/>
          <w:lang w:val="en-US"/>
        </w:rPr>
        <w:t xml:space="preserve">class </w:t>
      </w:r>
      <w:r w:rsidRPr="008E348A">
        <w:rPr>
          <w:i/>
          <w:iCs/>
          <w:szCs w:val="22"/>
          <w:lang w:val="en-US"/>
        </w:rPr>
        <w:t xml:space="preserve">B share at a </w:t>
      </w:r>
      <w:r>
        <w:rPr>
          <w:i/>
          <w:iCs/>
          <w:szCs w:val="22"/>
          <w:lang w:val="en-US"/>
        </w:rPr>
        <w:t xml:space="preserve">subscription </w:t>
      </w:r>
      <w:r w:rsidRPr="008E348A">
        <w:rPr>
          <w:i/>
          <w:iCs/>
          <w:szCs w:val="22"/>
          <w:lang w:val="en-US"/>
        </w:rPr>
        <w:t xml:space="preserve">price corresponding to the quota value of the share or (b) obtain free of charge a warrant that entitles the subscription of one (1) </w:t>
      </w:r>
      <w:r>
        <w:rPr>
          <w:i/>
          <w:iCs/>
          <w:szCs w:val="22"/>
          <w:lang w:val="en-US"/>
        </w:rPr>
        <w:t xml:space="preserve">class </w:t>
      </w:r>
      <w:r w:rsidRPr="008E348A">
        <w:rPr>
          <w:i/>
          <w:iCs/>
          <w:szCs w:val="22"/>
          <w:lang w:val="en-US"/>
        </w:rPr>
        <w:t xml:space="preserve">B share in the Company </w:t>
      </w:r>
      <w:r>
        <w:rPr>
          <w:i/>
          <w:iCs/>
          <w:szCs w:val="22"/>
          <w:lang w:val="en-US"/>
        </w:rPr>
        <w:t xml:space="preserve">at </w:t>
      </w:r>
      <w:r w:rsidRPr="008E348A">
        <w:rPr>
          <w:i/>
          <w:iCs/>
          <w:szCs w:val="22"/>
          <w:lang w:val="en-US"/>
        </w:rPr>
        <w:t>a subscription price corresponding to the quota value of the share.</w:t>
      </w:r>
      <w:r>
        <w:rPr>
          <w:i/>
          <w:iCs/>
          <w:szCs w:val="22"/>
          <w:lang w:val="en-US"/>
        </w:rPr>
        <w:t xml:space="preserve"> </w:t>
      </w:r>
      <w:r>
        <w:rPr>
          <w:rFonts w:cstheme="minorHAnsi"/>
          <w:i/>
          <w:szCs w:val="22"/>
          <w:lang w:val="en-US"/>
        </w:rPr>
        <w:t>Subscription and a</w:t>
      </w:r>
      <w:r w:rsidRPr="00A71A00">
        <w:rPr>
          <w:rFonts w:cstheme="minorHAnsi"/>
          <w:i/>
          <w:szCs w:val="22"/>
          <w:lang w:val="en-US"/>
        </w:rPr>
        <w:t xml:space="preserve">llotment of </w:t>
      </w:r>
      <w:r>
        <w:rPr>
          <w:rFonts w:cstheme="minorHAnsi"/>
          <w:i/>
          <w:szCs w:val="22"/>
          <w:lang w:val="en-US"/>
        </w:rPr>
        <w:t xml:space="preserve">class B </w:t>
      </w:r>
      <w:r w:rsidRPr="00A71A00">
        <w:rPr>
          <w:rFonts w:cstheme="minorHAnsi"/>
          <w:i/>
          <w:szCs w:val="22"/>
          <w:lang w:val="en-US"/>
        </w:rPr>
        <w:t xml:space="preserve">shares </w:t>
      </w:r>
      <w:r>
        <w:rPr>
          <w:rFonts w:cstheme="minorHAnsi"/>
          <w:i/>
          <w:szCs w:val="22"/>
          <w:lang w:val="en-US"/>
        </w:rPr>
        <w:t xml:space="preserve">through exercise of Performance Shares </w:t>
      </w:r>
      <w:r w:rsidRPr="00A71A00">
        <w:rPr>
          <w:rFonts w:cstheme="minorHAnsi"/>
          <w:i/>
          <w:szCs w:val="22"/>
          <w:lang w:val="en-US"/>
        </w:rPr>
        <w:t xml:space="preserve">shall be made </w:t>
      </w:r>
      <w:r>
        <w:rPr>
          <w:rFonts w:cstheme="minorHAnsi"/>
          <w:i/>
          <w:szCs w:val="22"/>
          <w:lang w:val="en-US"/>
        </w:rPr>
        <w:t xml:space="preserve">no later than one month </w:t>
      </w:r>
      <w:r w:rsidRPr="00A71A00">
        <w:rPr>
          <w:rFonts w:cstheme="minorHAnsi"/>
          <w:i/>
          <w:szCs w:val="22"/>
          <w:lang w:val="en-US"/>
        </w:rPr>
        <w:t xml:space="preserve">following the annual general meeting held in </w:t>
      </w:r>
      <w:r>
        <w:rPr>
          <w:i/>
          <w:szCs w:val="22"/>
          <w:lang w:val="en-US"/>
        </w:rPr>
        <w:t>2028</w:t>
      </w:r>
      <w:r>
        <w:rPr>
          <w:rFonts w:cstheme="minorHAnsi"/>
          <w:i/>
          <w:szCs w:val="22"/>
          <w:lang w:val="en-US"/>
        </w:rPr>
        <w:t xml:space="preserve">, with the right for the board of directors to extend the </w:t>
      </w:r>
      <w:r w:rsidRPr="00A67E33">
        <w:rPr>
          <w:i/>
          <w:lang w:val="en-US"/>
        </w:rPr>
        <w:t>time limit.</w:t>
      </w:r>
      <w:r>
        <w:rPr>
          <w:i/>
          <w:lang w:val="en-US"/>
        </w:rPr>
        <w:t xml:space="preserve"> </w:t>
      </w:r>
      <w:r w:rsidRPr="00A71A00">
        <w:rPr>
          <w:rFonts w:cstheme="minorHAnsi"/>
          <w:i/>
          <w:szCs w:val="22"/>
          <w:lang w:val="en-US"/>
        </w:rPr>
        <w:t xml:space="preserve">The </w:t>
      </w:r>
      <w:proofErr w:type="gramStart"/>
      <w:r w:rsidRPr="00A71A00">
        <w:rPr>
          <w:rFonts w:cstheme="minorHAnsi"/>
          <w:i/>
          <w:szCs w:val="22"/>
          <w:lang w:val="en-US"/>
        </w:rPr>
        <w:t>time period</w:t>
      </w:r>
      <w:proofErr w:type="gramEnd"/>
      <w:r w:rsidRPr="00A71A00">
        <w:rPr>
          <w:rFonts w:cstheme="minorHAnsi"/>
          <w:i/>
          <w:szCs w:val="22"/>
          <w:lang w:val="en-US"/>
        </w:rPr>
        <w:t xml:space="preserve"> that runs from the date the incentive plan agreement is entered into</w:t>
      </w:r>
      <w:r>
        <w:rPr>
          <w:rFonts w:cstheme="minorHAnsi"/>
          <w:i/>
          <w:szCs w:val="22"/>
          <w:lang w:val="en-US"/>
        </w:rPr>
        <w:t xml:space="preserve"> up to and including the end of the day of the annual general meeting 2028 </w:t>
      </w:r>
      <w:r w:rsidRPr="00A71A00">
        <w:rPr>
          <w:rFonts w:cstheme="minorHAnsi"/>
          <w:i/>
          <w:szCs w:val="22"/>
          <w:lang w:val="en-US"/>
        </w:rPr>
        <w:t>is referred to as the "</w:t>
      </w:r>
      <w:r w:rsidRPr="00A71A00">
        <w:rPr>
          <w:rFonts w:cstheme="minorHAnsi"/>
          <w:b/>
          <w:i/>
          <w:szCs w:val="22"/>
          <w:lang w:val="en-US"/>
        </w:rPr>
        <w:t>Vesting Period</w:t>
      </w:r>
      <w:r w:rsidRPr="00A71A00">
        <w:rPr>
          <w:rFonts w:cstheme="minorHAnsi"/>
          <w:i/>
          <w:szCs w:val="22"/>
          <w:lang w:val="en-US"/>
        </w:rPr>
        <w:t>".</w:t>
      </w:r>
      <w:r>
        <w:rPr>
          <w:rFonts w:cstheme="minorHAnsi"/>
          <w:i/>
          <w:szCs w:val="22"/>
          <w:lang w:val="en-US"/>
        </w:rPr>
        <w:t xml:space="preserve"> </w:t>
      </w:r>
      <w:r>
        <w:rPr>
          <w:i/>
          <w:iCs/>
          <w:szCs w:val="22"/>
          <w:lang w:val="en-US"/>
        </w:rPr>
        <w:t xml:space="preserve">The Performance Shares are subject to recalculation in accordance with the recalculation terms in </w:t>
      </w:r>
      <w:proofErr w:type="gramStart"/>
      <w:r>
        <w:rPr>
          <w:i/>
          <w:iCs/>
          <w:szCs w:val="22"/>
          <w:lang w:val="en-US"/>
        </w:rPr>
        <w:t>the terms</w:t>
      </w:r>
      <w:proofErr w:type="gramEnd"/>
      <w:r>
        <w:rPr>
          <w:i/>
          <w:iCs/>
          <w:szCs w:val="22"/>
          <w:lang w:val="en-US"/>
        </w:rPr>
        <w:t xml:space="preserve"> and conditions for the warrants of series 2025/2028:3, </w:t>
      </w:r>
      <w:r>
        <w:rPr>
          <w:i/>
          <w:iCs/>
          <w:szCs w:val="22"/>
          <w:u w:val="single"/>
          <w:lang w:val="en-US"/>
        </w:rPr>
        <w:t>Exhibit 5c</w:t>
      </w:r>
      <w:r>
        <w:rPr>
          <w:i/>
          <w:iCs/>
          <w:szCs w:val="22"/>
          <w:lang w:val="en-US"/>
        </w:rPr>
        <w:t>.</w:t>
      </w:r>
    </w:p>
    <w:p w14:paraId="391EDA62" w14:textId="77777777" w:rsidR="008C6575" w:rsidRPr="008E348A" w:rsidRDefault="008C6575" w:rsidP="008C6575">
      <w:pPr>
        <w:pStyle w:val="BodyText"/>
        <w:spacing w:after="0"/>
        <w:rPr>
          <w:bCs/>
          <w:szCs w:val="22"/>
          <w:lang w:val="en-US"/>
        </w:rPr>
      </w:pPr>
    </w:p>
    <w:p w14:paraId="2F1B91CA" w14:textId="77777777" w:rsidR="00AA711C" w:rsidRPr="00253161" w:rsidRDefault="00AA711C" w:rsidP="00AA711C">
      <w:bookmarkStart w:id="8" w:name="_Hlk206584187"/>
      <w:r w:rsidRPr="008E348A">
        <w:rPr>
          <w:szCs w:val="22"/>
        </w:rPr>
        <w:t>Intjäning förutsätter att deltagaren är fortsatt aktiv inom koncernen och inte har sagt upp sin anställning eller sitt konsultavtal per dagen då intjäning sker.</w:t>
      </w:r>
      <w:r w:rsidRPr="00253161">
        <w:t xml:space="preserve"> </w:t>
      </w:r>
      <w:r w:rsidRPr="0079031F">
        <w:t xml:space="preserve">För det </w:t>
      </w:r>
      <w:proofErr w:type="gramStart"/>
      <w:r w:rsidRPr="0079031F">
        <w:t>fall deltagare</w:t>
      </w:r>
      <w:proofErr w:type="gramEnd"/>
      <w:r w:rsidRPr="0079031F">
        <w:t xml:space="preserve"> upphör att vara anställd i koncernen före</w:t>
      </w:r>
      <w:r>
        <w:t xml:space="preserve"> Intjänandeperiodens slut</w:t>
      </w:r>
      <w:r w:rsidRPr="0079031F">
        <w:t xml:space="preserve">, förfaller </w:t>
      </w:r>
      <w:r>
        <w:t xml:space="preserve">rätten till tilldelning av B-aktier, </w:t>
      </w:r>
      <w:r w:rsidRPr="002F08AC">
        <w:t xml:space="preserve">med undantag för vissa sedvanliga </w:t>
      </w:r>
      <w:r>
        <w:t>"</w:t>
      </w:r>
      <w:proofErr w:type="spellStart"/>
      <w:r w:rsidRPr="002F08AC">
        <w:t>good</w:t>
      </w:r>
      <w:proofErr w:type="spellEnd"/>
      <w:r w:rsidRPr="002F08AC">
        <w:t xml:space="preserve"> </w:t>
      </w:r>
      <w:proofErr w:type="spellStart"/>
      <w:r w:rsidRPr="002F08AC">
        <w:t>leaver</w:t>
      </w:r>
      <w:proofErr w:type="spellEnd"/>
      <w:r>
        <w:t>"</w:t>
      </w:r>
      <w:r w:rsidRPr="002F08AC">
        <w:t>-situationer (dödsfall och bestående oförmåga att utföra uppdraget till följd av olyckshändelse eller sjukdom)</w:t>
      </w:r>
      <w:r w:rsidRPr="0079031F">
        <w:t>.</w:t>
      </w:r>
      <w:bookmarkEnd w:id="8"/>
    </w:p>
    <w:p w14:paraId="4EEDA340" w14:textId="4FB4C81A" w:rsidR="008C6575" w:rsidRPr="008E348A" w:rsidRDefault="00AA711C" w:rsidP="00AA711C">
      <w:pPr>
        <w:rPr>
          <w:i/>
          <w:iCs/>
          <w:szCs w:val="22"/>
          <w:lang w:val="en-US"/>
        </w:rPr>
      </w:pPr>
      <w:bookmarkStart w:id="9" w:name="_Hlk206584194"/>
      <w:r w:rsidRPr="008E348A">
        <w:rPr>
          <w:i/>
          <w:iCs/>
          <w:szCs w:val="22"/>
          <w:lang w:val="en-US"/>
        </w:rPr>
        <w:t xml:space="preserve">Vesting requires that the participant is still active within the group and that the employment has not been terminated their employment or consulting agreement as of the date when the vesting occurs. </w:t>
      </w:r>
      <w:r w:rsidRPr="0020572B">
        <w:rPr>
          <w:i/>
          <w:lang w:val="en-US"/>
        </w:rPr>
        <w:t xml:space="preserve">If a participant ceases to be an employee with the group </w:t>
      </w:r>
      <w:r>
        <w:rPr>
          <w:i/>
          <w:lang w:val="en-US"/>
        </w:rPr>
        <w:t>prior to the end of the Vesting Period</w:t>
      </w:r>
      <w:r w:rsidRPr="0020572B">
        <w:rPr>
          <w:i/>
          <w:lang w:val="en-US"/>
        </w:rPr>
        <w:t xml:space="preserve">, </w:t>
      </w:r>
      <w:r>
        <w:rPr>
          <w:i/>
          <w:lang w:val="en-US"/>
        </w:rPr>
        <w:t xml:space="preserve">the right to allocation of class B shares expires, </w:t>
      </w:r>
      <w:r w:rsidRPr="002F08AC">
        <w:rPr>
          <w:i/>
          <w:lang w:val="en-US"/>
        </w:rPr>
        <w:t xml:space="preserve">except for certain customary </w:t>
      </w:r>
      <w:r>
        <w:rPr>
          <w:i/>
          <w:lang w:val="en-US"/>
        </w:rPr>
        <w:t>"</w:t>
      </w:r>
      <w:r w:rsidRPr="002F08AC">
        <w:rPr>
          <w:i/>
          <w:lang w:val="en-US"/>
        </w:rPr>
        <w:t>good leaver</w:t>
      </w:r>
      <w:r>
        <w:rPr>
          <w:i/>
          <w:lang w:val="en-US"/>
        </w:rPr>
        <w:t>"</w:t>
      </w:r>
      <w:r w:rsidRPr="002F08AC">
        <w:rPr>
          <w:i/>
          <w:lang w:val="en-US"/>
        </w:rPr>
        <w:t xml:space="preserve"> situations (death and permanent incapacity to fulfil the mission due to accident or illness)</w:t>
      </w:r>
      <w:r>
        <w:rPr>
          <w:i/>
          <w:lang w:val="en-US"/>
        </w:rPr>
        <w:t>.</w:t>
      </w:r>
      <w:bookmarkEnd w:id="9"/>
    </w:p>
    <w:p w14:paraId="0D9CB02F" w14:textId="77777777" w:rsidR="008C6575" w:rsidRPr="008E348A" w:rsidRDefault="008C6575" w:rsidP="008C6575">
      <w:pPr>
        <w:pStyle w:val="BodyText"/>
        <w:spacing w:after="0"/>
        <w:rPr>
          <w:i/>
          <w:iCs/>
          <w:szCs w:val="22"/>
          <w:lang w:val="en-US"/>
        </w:rPr>
      </w:pPr>
    </w:p>
    <w:p w14:paraId="4F1FBE0F" w14:textId="77777777" w:rsidR="008C6575" w:rsidRPr="008E348A" w:rsidRDefault="008C6575" w:rsidP="008C6575">
      <w:pPr>
        <w:pStyle w:val="BodyText"/>
        <w:spacing w:after="0"/>
        <w:rPr>
          <w:szCs w:val="22"/>
          <w:lang w:val="sv-SE"/>
        </w:rPr>
      </w:pPr>
      <w:r w:rsidRPr="008E348A">
        <w:rPr>
          <w:szCs w:val="22"/>
          <w:lang w:val="sv-SE"/>
        </w:rPr>
        <w:t>Prestationsaktierna ska inte utgöra värdepapper och ska inte kunna överlåtas eller pantsättas. Dock gäller att rättigheterna enligt intjänade Prestationsaktier övergår på dödsboet i händelse av deltagarens dödsfall.</w:t>
      </w:r>
    </w:p>
    <w:p w14:paraId="0FCB2E21" w14:textId="77777777" w:rsidR="008C6575" w:rsidRPr="008E348A" w:rsidRDefault="008C6575" w:rsidP="008C6575">
      <w:pPr>
        <w:pStyle w:val="BodyText"/>
        <w:spacing w:after="0"/>
        <w:rPr>
          <w:i/>
          <w:iCs/>
          <w:szCs w:val="22"/>
          <w:lang w:val="en-US"/>
        </w:rPr>
      </w:pPr>
      <w:r w:rsidRPr="008E348A">
        <w:rPr>
          <w:i/>
          <w:iCs/>
          <w:szCs w:val="22"/>
          <w:lang w:val="en-US"/>
        </w:rPr>
        <w:t>The Performance Shares must not constitute securities and cannot be transferred or pledged. However, the rights according to vested Performance Shares may be transferred to the estate in the event of the participant</w:t>
      </w:r>
      <w:r>
        <w:rPr>
          <w:i/>
          <w:iCs/>
          <w:szCs w:val="22"/>
          <w:lang w:val="en-US"/>
        </w:rPr>
        <w:t>'</w:t>
      </w:r>
      <w:r w:rsidRPr="008E348A">
        <w:rPr>
          <w:i/>
          <w:iCs/>
          <w:szCs w:val="22"/>
          <w:lang w:val="en-US"/>
        </w:rPr>
        <w:t>s death.</w:t>
      </w:r>
    </w:p>
    <w:p w14:paraId="00B551F4" w14:textId="77777777" w:rsidR="008C6575" w:rsidRPr="008E348A" w:rsidRDefault="008C6575" w:rsidP="008C6575">
      <w:pPr>
        <w:pStyle w:val="BodyText"/>
        <w:spacing w:after="0"/>
        <w:rPr>
          <w:i/>
          <w:iCs/>
          <w:szCs w:val="22"/>
          <w:lang w:val="en-US"/>
        </w:rPr>
      </w:pPr>
    </w:p>
    <w:p w14:paraId="4715A654" w14:textId="51808AE1" w:rsidR="008C6575" w:rsidRPr="008E348A" w:rsidRDefault="008C6575" w:rsidP="008C6575">
      <w:pPr>
        <w:pStyle w:val="BodyText"/>
        <w:spacing w:after="0"/>
        <w:rPr>
          <w:szCs w:val="22"/>
          <w:lang w:val="sv-SE"/>
        </w:rPr>
      </w:pPr>
      <w:r w:rsidRPr="008E348A">
        <w:rPr>
          <w:szCs w:val="22"/>
          <w:lang w:val="sv-SE"/>
        </w:rPr>
        <w:t xml:space="preserve">Deltagande i Prestationsaktieprogram </w:t>
      </w:r>
      <w:r>
        <w:rPr>
          <w:szCs w:val="22"/>
          <w:lang w:val="sv-SE"/>
        </w:rPr>
        <w:t>2025/2028:3</w:t>
      </w:r>
      <w:r w:rsidRPr="008E348A">
        <w:rPr>
          <w:szCs w:val="22"/>
          <w:lang w:val="sv-SE"/>
        </w:rPr>
        <w:t xml:space="preserve"> förutsätter dels att sådant deltagande lagligen kan ske, dels att sådant deltagande enligt Bolagets bedömning kan ske med rimliga administrativa kostnader och ekonomiska insatser.</w:t>
      </w:r>
    </w:p>
    <w:p w14:paraId="249AB032" w14:textId="3F08BEF0" w:rsidR="008C6575" w:rsidRPr="008E348A" w:rsidRDefault="008C6575" w:rsidP="008C6575">
      <w:pPr>
        <w:pStyle w:val="BodyText"/>
        <w:spacing w:after="0"/>
        <w:rPr>
          <w:i/>
          <w:iCs/>
          <w:szCs w:val="22"/>
          <w:lang w:val="en-US"/>
        </w:rPr>
      </w:pPr>
      <w:r w:rsidRPr="008E348A">
        <w:rPr>
          <w:i/>
          <w:iCs/>
          <w:szCs w:val="22"/>
          <w:lang w:val="en-US"/>
        </w:rPr>
        <w:t xml:space="preserve">Participation in the Performance Share Program </w:t>
      </w:r>
      <w:r>
        <w:rPr>
          <w:i/>
          <w:iCs/>
          <w:szCs w:val="22"/>
          <w:lang w:val="en-US"/>
        </w:rPr>
        <w:t>2025/2028:3</w:t>
      </w:r>
      <w:r w:rsidRPr="008E348A">
        <w:rPr>
          <w:i/>
          <w:iCs/>
          <w:szCs w:val="22"/>
          <w:lang w:val="en-US"/>
        </w:rPr>
        <w:t xml:space="preserve"> presupposes that such participation can </w:t>
      </w:r>
      <w:r w:rsidRPr="008E348A">
        <w:rPr>
          <w:bCs/>
          <w:i/>
          <w:iCs/>
          <w:szCs w:val="22"/>
          <w:lang w:val="en-US"/>
        </w:rPr>
        <w:t>legally</w:t>
      </w:r>
      <w:r w:rsidRPr="008E348A">
        <w:rPr>
          <w:i/>
          <w:iCs/>
          <w:szCs w:val="22"/>
          <w:lang w:val="en-US"/>
        </w:rPr>
        <w:t xml:space="preserve"> take place, and that, according to the Company's assessment, such participation can take place with reasonable administrative costs and financial contributions.</w:t>
      </w:r>
    </w:p>
    <w:p w14:paraId="5D663EA3" w14:textId="77777777" w:rsidR="008C6575" w:rsidRPr="008E348A" w:rsidRDefault="008C6575" w:rsidP="008C6575">
      <w:pPr>
        <w:pStyle w:val="BodyText"/>
        <w:spacing w:after="0"/>
        <w:rPr>
          <w:i/>
          <w:iCs/>
          <w:szCs w:val="22"/>
          <w:lang w:val="en-US"/>
        </w:rPr>
      </w:pPr>
    </w:p>
    <w:p w14:paraId="79664D81" w14:textId="0FBCD3F2" w:rsidR="003F3015" w:rsidRPr="008E348A" w:rsidRDefault="003F3015" w:rsidP="003F3015">
      <w:pPr>
        <w:pStyle w:val="BodyText"/>
        <w:spacing w:after="0"/>
        <w:rPr>
          <w:szCs w:val="22"/>
          <w:lang w:val="sv-SE"/>
        </w:rPr>
      </w:pPr>
      <w:bookmarkStart w:id="10" w:name="_Hlk206584208"/>
      <w:r w:rsidRPr="008E348A">
        <w:rPr>
          <w:szCs w:val="22"/>
          <w:lang w:val="sv-SE"/>
        </w:rPr>
        <w:t xml:space="preserve">Prestationsaktierna ska regleras i särskilda avtal med respektive deltagare. Styrelsen ska ansvara för utformningen och hanteringen av Prestationsaktieprogram </w:t>
      </w:r>
      <w:r>
        <w:rPr>
          <w:szCs w:val="22"/>
          <w:lang w:val="sv-SE"/>
        </w:rPr>
        <w:t>2025/2028:3</w:t>
      </w:r>
      <w:r w:rsidRPr="008E348A">
        <w:rPr>
          <w:szCs w:val="22"/>
          <w:lang w:val="sv-SE"/>
        </w:rPr>
        <w:t xml:space="preserve"> inom ramen för ovan angivna huvudsakliga villkor och riktlinjer. Styrelsen äger rätt att, inom ramen för avtalet med respektive deltagare, göra de rimliga ändringar och anpassningar av villkoren för Prestationsaktierna som bedöms lämpliga eller ändamålsenliga till följd av lokala arbetsrättsliga eller skatterättsliga regler eller administrativa förhållanden. Det kan </w:t>
      </w:r>
      <w:proofErr w:type="gramStart"/>
      <w:r w:rsidRPr="008E348A">
        <w:rPr>
          <w:szCs w:val="22"/>
          <w:lang w:val="sv-SE"/>
        </w:rPr>
        <w:t>bl.a.</w:t>
      </w:r>
      <w:proofErr w:type="gramEnd"/>
      <w:r w:rsidRPr="008E348A">
        <w:rPr>
          <w:szCs w:val="22"/>
          <w:lang w:val="sv-SE"/>
        </w:rPr>
        <w:t xml:space="preserve"> innebära att fortsatt intjäning av Prestationsaktier kan komma att ske i vissa fall då så annars inte hade varit fallet. </w:t>
      </w:r>
      <w:r>
        <w:rPr>
          <w:szCs w:val="22"/>
          <w:lang w:val="sv-SE"/>
        </w:rPr>
        <w:t>Om styrelsen inte beslutar om annat ska</w:t>
      </w:r>
      <w:r w:rsidRPr="008E348A">
        <w:rPr>
          <w:szCs w:val="22"/>
          <w:lang w:val="sv-SE"/>
        </w:rPr>
        <w:t xml:space="preserve"> intjäning och tidpunkten för utnyttjande av Prestationsaktier </w:t>
      </w:r>
      <w:r>
        <w:rPr>
          <w:szCs w:val="22"/>
          <w:lang w:val="sv-SE"/>
        </w:rPr>
        <w:t>tidigareläggas vid händelse av</w:t>
      </w:r>
      <w:r w:rsidRPr="008E348A">
        <w:rPr>
          <w:szCs w:val="22"/>
          <w:lang w:val="sv-SE"/>
        </w:rPr>
        <w:t xml:space="preserve"> offentligt uppköpserbjudande, </w:t>
      </w:r>
      <w:r>
        <w:rPr>
          <w:szCs w:val="22"/>
          <w:lang w:val="sv-SE"/>
        </w:rPr>
        <w:t>försäljning av Bolagets verksamhet</w:t>
      </w:r>
      <w:r w:rsidRPr="008E348A">
        <w:rPr>
          <w:szCs w:val="22"/>
          <w:lang w:val="sv-SE"/>
        </w:rPr>
        <w:t xml:space="preserve">, likvidation, fusion och liknande åtgärder. Styrelsen äger avslutningsvis rätt att i extraordinära fall begränsa omfattningen av eller i förtid avsluta Prestationsaktieprogram </w:t>
      </w:r>
      <w:r>
        <w:rPr>
          <w:szCs w:val="22"/>
          <w:lang w:val="sv-SE"/>
        </w:rPr>
        <w:t>2025/2028:3</w:t>
      </w:r>
      <w:r w:rsidRPr="008E348A">
        <w:rPr>
          <w:szCs w:val="22"/>
          <w:lang w:val="sv-SE"/>
        </w:rPr>
        <w:t>, helt eller delvis.</w:t>
      </w:r>
      <w:bookmarkEnd w:id="10"/>
    </w:p>
    <w:p w14:paraId="13A91E54" w14:textId="7E88B686" w:rsidR="008C6575" w:rsidRPr="008E348A" w:rsidRDefault="003F3015" w:rsidP="003F3015">
      <w:pPr>
        <w:pStyle w:val="BodyText"/>
        <w:spacing w:after="0"/>
        <w:rPr>
          <w:bCs/>
          <w:i/>
          <w:iCs/>
          <w:szCs w:val="22"/>
          <w:lang w:val="en-US"/>
        </w:rPr>
      </w:pPr>
      <w:bookmarkStart w:id="11" w:name="_Hlk206584216"/>
      <w:r w:rsidRPr="008E348A">
        <w:rPr>
          <w:bCs/>
          <w:i/>
          <w:iCs/>
          <w:szCs w:val="22"/>
          <w:lang w:val="en-US"/>
        </w:rPr>
        <w:t xml:space="preserve">The Performance Shares shall be regulated in agreements with the respective participants. The board shall be responsible for the design and management of the Performance Share Program </w:t>
      </w:r>
      <w:r>
        <w:rPr>
          <w:bCs/>
          <w:i/>
          <w:iCs/>
          <w:szCs w:val="22"/>
          <w:lang w:val="en-US"/>
        </w:rPr>
        <w:t>2025/2028:3</w:t>
      </w:r>
      <w:r w:rsidRPr="008E348A">
        <w:rPr>
          <w:bCs/>
          <w:i/>
          <w:iCs/>
          <w:szCs w:val="22"/>
          <w:lang w:val="en-US"/>
        </w:rPr>
        <w:t xml:space="preserve"> within the framework of the main conditions and guidelines stated above. The board has the right, within the framework of the agreement with respective participants, to make the reasonable changes and adjustments to the terms of Performance Shares that are deemed appropriate or expedient </w:t>
      </w:r>
      <w:proofErr w:type="gramStart"/>
      <w:r w:rsidRPr="008E348A">
        <w:rPr>
          <w:bCs/>
          <w:i/>
          <w:iCs/>
          <w:szCs w:val="22"/>
          <w:lang w:val="en-US"/>
        </w:rPr>
        <w:t xml:space="preserve">as a </w:t>
      </w:r>
      <w:r w:rsidRPr="008E348A">
        <w:rPr>
          <w:bCs/>
          <w:i/>
          <w:iCs/>
          <w:szCs w:val="22"/>
          <w:lang w:val="en-US"/>
        </w:rPr>
        <w:lastRenderedPageBreak/>
        <w:t>result of</w:t>
      </w:r>
      <w:proofErr w:type="gramEnd"/>
      <w:r w:rsidRPr="008E348A">
        <w:rPr>
          <w:bCs/>
          <w:i/>
          <w:iCs/>
          <w:szCs w:val="22"/>
          <w:lang w:val="en-US"/>
        </w:rPr>
        <w:t xml:space="preserve"> local labor law or tax law rules or administrative conditions. It </w:t>
      </w:r>
      <w:proofErr w:type="gramStart"/>
      <w:r w:rsidRPr="008E348A">
        <w:rPr>
          <w:bCs/>
          <w:i/>
          <w:iCs/>
          <w:szCs w:val="22"/>
          <w:lang w:val="en-US"/>
        </w:rPr>
        <w:t>can</w:t>
      </w:r>
      <w:proofErr w:type="gramEnd"/>
      <w:r w:rsidRPr="008E348A">
        <w:rPr>
          <w:bCs/>
          <w:i/>
          <w:iCs/>
          <w:szCs w:val="22"/>
          <w:lang w:val="en-US"/>
        </w:rPr>
        <w:t xml:space="preserve"> i.e., mean that continued </w:t>
      </w:r>
      <w:proofErr w:type="gramStart"/>
      <w:r w:rsidRPr="008E348A">
        <w:rPr>
          <w:bCs/>
          <w:i/>
          <w:iCs/>
          <w:szCs w:val="22"/>
          <w:lang w:val="en-US"/>
        </w:rPr>
        <w:t>earning</w:t>
      </w:r>
      <w:proofErr w:type="gramEnd"/>
      <w:r w:rsidRPr="008E348A">
        <w:rPr>
          <w:bCs/>
          <w:i/>
          <w:iCs/>
          <w:szCs w:val="22"/>
          <w:lang w:val="en-US"/>
        </w:rPr>
        <w:t xml:space="preserve"> of Performance Shares may take place in certain cases where this would not otherwise have been the case. </w:t>
      </w:r>
      <w:r>
        <w:rPr>
          <w:bCs/>
          <w:i/>
          <w:iCs/>
          <w:szCs w:val="22"/>
          <w:lang w:val="en-US"/>
        </w:rPr>
        <w:t>Unless otherwise decided by the board, the</w:t>
      </w:r>
      <w:r w:rsidRPr="008E348A">
        <w:rPr>
          <w:bCs/>
          <w:i/>
          <w:iCs/>
          <w:szCs w:val="22"/>
          <w:lang w:val="en-US"/>
        </w:rPr>
        <w:t xml:space="preserve"> vesting and the timing of exercise of Performance Shares </w:t>
      </w:r>
      <w:r>
        <w:rPr>
          <w:bCs/>
          <w:i/>
          <w:iCs/>
          <w:szCs w:val="22"/>
          <w:lang w:val="en-US"/>
        </w:rPr>
        <w:t>shall be accelerated in the event of</w:t>
      </w:r>
      <w:r w:rsidRPr="008E348A">
        <w:rPr>
          <w:bCs/>
          <w:i/>
          <w:iCs/>
          <w:szCs w:val="22"/>
          <w:lang w:val="en-US"/>
        </w:rPr>
        <w:t xml:space="preserve"> a public takeover offer, </w:t>
      </w:r>
      <w:r>
        <w:rPr>
          <w:bCs/>
          <w:i/>
          <w:iCs/>
          <w:szCs w:val="22"/>
          <w:lang w:val="en-US"/>
        </w:rPr>
        <w:t xml:space="preserve">sale of the Company's business, </w:t>
      </w:r>
      <w:r w:rsidRPr="008E348A">
        <w:rPr>
          <w:bCs/>
          <w:i/>
          <w:iCs/>
          <w:szCs w:val="22"/>
          <w:lang w:val="en-US"/>
        </w:rPr>
        <w:t xml:space="preserve">liquidation, merger and similar measures. Finally, the board has the right to, in extraordinary cases, limit the scope of or prematurely terminate Performance Share Program </w:t>
      </w:r>
      <w:r>
        <w:rPr>
          <w:bCs/>
          <w:i/>
          <w:iCs/>
          <w:szCs w:val="22"/>
          <w:lang w:val="en-US"/>
        </w:rPr>
        <w:t>2025/2028:3</w:t>
      </w:r>
      <w:r w:rsidRPr="008E348A">
        <w:rPr>
          <w:bCs/>
          <w:i/>
          <w:iCs/>
          <w:szCs w:val="22"/>
          <w:lang w:val="en-US"/>
        </w:rPr>
        <w:t xml:space="preserve"> in whole or in part.</w:t>
      </w:r>
      <w:bookmarkEnd w:id="11"/>
    </w:p>
    <w:bookmarkEnd w:id="2"/>
    <w:bookmarkEnd w:id="3"/>
    <w:p w14:paraId="59FD4246" w14:textId="77777777" w:rsidR="008C6575" w:rsidRPr="008E348A" w:rsidRDefault="008C6575" w:rsidP="008C6575">
      <w:pPr>
        <w:pStyle w:val="BodyText"/>
        <w:spacing w:after="0"/>
        <w:rPr>
          <w:bCs/>
          <w:i/>
          <w:iCs/>
          <w:szCs w:val="22"/>
          <w:lang w:val="en-US"/>
        </w:rPr>
      </w:pPr>
    </w:p>
    <w:p w14:paraId="63E45563" w14:textId="77777777" w:rsidR="008C6575" w:rsidRPr="008E348A" w:rsidRDefault="008C6575" w:rsidP="008C6575">
      <w:pPr>
        <w:pStyle w:val="BodyText"/>
        <w:jc w:val="center"/>
        <w:rPr>
          <w:bCs/>
          <w:szCs w:val="22"/>
          <w:lang w:val="en-US"/>
        </w:rPr>
      </w:pPr>
      <w:r w:rsidRPr="008E348A">
        <w:rPr>
          <w:bCs/>
          <w:szCs w:val="22"/>
          <w:lang w:val="en-US"/>
        </w:rPr>
        <w:t>* * * * *</w:t>
      </w:r>
    </w:p>
    <w:p w14:paraId="49ACAEA0" w14:textId="77777777" w:rsidR="008C6575" w:rsidRPr="008E348A" w:rsidRDefault="008C6575" w:rsidP="008C6575">
      <w:pPr>
        <w:pStyle w:val="BodyText"/>
        <w:rPr>
          <w:b/>
          <w:szCs w:val="22"/>
          <w:lang w:val="en-US"/>
        </w:rPr>
      </w:pPr>
      <w:r w:rsidRPr="008E348A">
        <w:rPr>
          <w:b/>
          <w:szCs w:val="22"/>
          <w:lang w:val="en-US"/>
        </w:rPr>
        <w:br w:type="page"/>
      </w:r>
    </w:p>
    <w:p w14:paraId="00B40D0A" w14:textId="0E469D3A" w:rsidR="008C6575" w:rsidRPr="008E348A" w:rsidRDefault="008C6575" w:rsidP="008C6575">
      <w:pPr>
        <w:pStyle w:val="BodyText"/>
        <w:jc w:val="right"/>
        <w:rPr>
          <w:b/>
          <w:szCs w:val="22"/>
          <w:lang w:val="sv-SE"/>
        </w:rPr>
      </w:pPr>
      <w:r>
        <w:rPr>
          <w:b/>
          <w:szCs w:val="22"/>
          <w:lang w:val="sv-SE"/>
        </w:rPr>
        <w:lastRenderedPageBreak/>
        <w:t>Bilaga 5</w:t>
      </w:r>
      <w:r w:rsidRPr="008E348A">
        <w:rPr>
          <w:b/>
          <w:szCs w:val="22"/>
          <w:lang w:val="sv-SE"/>
        </w:rPr>
        <w:t>b/</w:t>
      </w:r>
      <w:proofErr w:type="spellStart"/>
      <w:r>
        <w:rPr>
          <w:b/>
          <w:i/>
          <w:szCs w:val="22"/>
          <w:lang w:val="sv-SE"/>
        </w:rPr>
        <w:t>Exhibit</w:t>
      </w:r>
      <w:proofErr w:type="spellEnd"/>
      <w:r>
        <w:rPr>
          <w:b/>
          <w:i/>
          <w:szCs w:val="22"/>
          <w:lang w:val="sv-SE"/>
        </w:rPr>
        <w:t xml:space="preserve"> 5</w:t>
      </w:r>
      <w:r w:rsidRPr="008E348A">
        <w:rPr>
          <w:b/>
          <w:i/>
          <w:szCs w:val="22"/>
          <w:lang w:val="sv-SE"/>
        </w:rPr>
        <w:t>b</w:t>
      </w:r>
    </w:p>
    <w:p w14:paraId="1664F51A" w14:textId="77777777" w:rsidR="008C6575" w:rsidRPr="008E348A" w:rsidRDefault="008C6575" w:rsidP="008C6575">
      <w:pPr>
        <w:pStyle w:val="Heading1"/>
        <w:pBdr>
          <w:bottom w:val="single" w:sz="12" w:space="1" w:color="auto"/>
        </w:pBdr>
        <w:spacing w:after="0" w:line="240" w:lineRule="auto"/>
        <w:rPr>
          <w:rFonts w:ascii="Times New Roman" w:hAnsi="Times New Roman"/>
          <w:szCs w:val="22"/>
          <w:lang w:val="sv-SE"/>
        </w:rPr>
      </w:pPr>
      <w:r>
        <w:rPr>
          <w:rFonts w:ascii="Times New Roman" w:hAnsi="Times New Roman"/>
          <w:szCs w:val="22"/>
          <w:lang w:val="sv-SE"/>
        </w:rPr>
        <w:t>Förslag till b</w:t>
      </w:r>
      <w:r w:rsidRPr="008E348A">
        <w:rPr>
          <w:rFonts w:ascii="Times New Roman" w:hAnsi="Times New Roman"/>
          <w:szCs w:val="22"/>
          <w:lang w:val="sv-SE"/>
        </w:rPr>
        <w:t xml:space="preserve">eslut om emission </w:t>
      </w:r>
      <w:r>
        <w:rPr>
          <w:rFonts w:ascii="Times New Roman" w:hAnsi="Times New Roman"/>
          <w:szCs w:val="22"/>
          <w:lang w:val="sv-SE"/>
        </w:rPr>
        <w:t xml:space="preserve">samt </w:t>
      </w:r>
      <w:r w:rsidRPr="008E348A">
        <w:rPr>
          <w:rFonts w:ascii="Times New Roman" w:hAnsi="Times New Roman"/>
          <w:szCs w:val="22"/>
          <w:lang w:val="sv-SE"/>
        </w:rPr>
        <w:t>godkännande av överlåtelse av teckningsoptioner</w:t>
      </w:r>
    </w:p>
    <w:p w14:paraId="3A1BB054" w14:textId="77777777" w:rsidR="008C6575" w:rsidRPr="008E348A" w:rsidRDefault="008C6575" w:rsidP="008C6575">
      <w:pPr>
        <w:pStyle w:val="Heading1"/>
        <w:pBdr>
          <w:bottom w:val="single" w:sz="12" w:space="1" w:color="auto"/>
        </w:pBdr>
        <w:spacing w:after="0" w:line="240" w:lineRule="auto"/>
        <w:rPr>
          <w:rFonts w:ascii="Times New Roman" w:hAnsi="Times New Roman"/>
          <w:i/>
          <w:szCs w:val="22"/>
        </w:rPr>
      </w:pPr>
      <w:r w:rsidRPr="008E348A">
        <w:rPr>
          <w:rFonts w:ascii="Times New Roman" w:hAnsi="Times New Roman"/>
          <w:i/>
          <w:szCs w:val="22"/>
        </w:rPr>
        <w:t>Proposal for resolution regarding issue and approval of transfer of warrants</w:t>
      </w:r>
    </w:p>
    <w:p w14:paraId="5348493D" w14:textId="0D76258D" w:rsidR="008C6575" w:rsidRPr="008E348A" w:rsidRDefault="008C6575" w:rsidP="008C6575">
      <w:pPr>
        <w:spacing w:before="100" w:beforeAutospacing="1"/>
        <w:rPr>
          <w:szCs w:val="22"/>
        </w:rPr>
      </w:pPr>
      <w:r w:rsidRPr="008E348A">
        <w:rPr>
          <w:szCs w:val="22"/>
        </w:rPr>
        <w:t xml:space="preserve">För att möjliggöra leverans av B-aktier </w:t>
      </w:r>
      <w:r>
        <w:rPr>
          <w:szCs w:val="22"/>
        </w:rPr>
        <w:t xml:space="preserve">under </w:t>
      </w:r>
      <w:r w:rsidRPr="008E348A">
        <w:rPr>
          <w:szCs w:val="22"/>
        </w:rPr>
        <w:t xml:space="preserve">Prestationsaktieprogram </w:t>
      </w:r>
      <w:r>
        <w:rPr>
          <w:szCs w:val="22"/>
        </w:rPr>
        <w:t>2025/2028:3</w:t>
      </w:r>
      <w:r w:rsidRPr="008E348A">
        <w:rPr>
          <w:szCs w:val="22"/>
        </w:rPr>
        <w:t xml:space="preserve"> föreslår styrelsen för </w:t>
      </w:r>
      <w:r w:rsidRPr="008E348A">
        <w:rPr>
          <w:bCs/>
          <w:iCs/>
          <w:szCs w:val="22"/>
        </w:rPr>
        <w:t xml:space="preserve">Biovica International AB, org.nr </w:t>
      </w:r>
      <w:proofErr w:type="gramStart"/>
      <w:r w:rsidRPr="008E348A">
        <w:rPr>
          <w:bCs/>
          <w:iCs/>
          <w:szCs w:val="22"/>
        </w:rPr>
        <w:t>556774-6150</w:t>
      </w:r>
      <w:proofErr w:type="gramEnd"/>
      <w:r w:rsidRPr="008E348A">
        <w:rPr>
          <w:bCs/>
          <w:iCs/>
          <w:szCs w:val="22"/>
        </w:rPr>
        <w:t xml:space="preserve"> ("</w:t>
      </w:r>
      <w:r w:rsidRPr="008E348A">
        <w:rPr>
          <w:b/>
          <w:bCs/>
          <w:iCs/>
          <w:szCs w:val="22"/>
        </w:rPr>
        <w:t>Bolaget</w:t>
      </w:r>
      <w:r w:rsidRPr="008E348A">
        <w:rPr>
          <w:bCs/>
          <w:iCs/>
          <w:szCs w:val="22"/>
        </w:rPr>
        <w:t>")</w:t>
      </w:r>
      <w:r>
        <w:rPr>
          <w:bCs/>
          <w:iCs/>
          <w:szCs w:val="22"/>
        </w:rPr>
        <w:t>,</w:t>
      </w:r>
      <w:r w:rsidRPr="008E348A">
        <w:rPr>
          <w:szCs w:val="22"/>
        </w:rPr>
        <w:t xml:space="preserve"> att </w:t>
      </w:r>
      <w:r>
        <w:rPr>
          <w:szCs w:val="22"/>
        </w:rPr>
        <w:t>årsstämman</w:t>
      </w:r>
      <w:r w:rsidRPr="008E348A">
        <w:rPr>
          <w:szCs w:val="22"/>
        </w:rPr>
        <w:t xml:space="preserve"> beslutar om en emission av teckningsoptioner av serie </w:t>
      </w:r>
      <w:r>
        <w:rPr>
          <w:szCs w:val="22"/>
        </w:rPr>
        <w:t>2025/2028:3</w:t>
      </w:r>
      <w:r w:rsidRPr="008E348A">
        <w:rPr>
          <w:szCs w:val="22"/>
        </w:rPr>
        <w:t xml:space="preserve"> samt godkännande av överlåtelse av teckningsoptioner av serie </w:t>
      </w:r>
      <w:r>
        <w:rPr>
          <w:szCs w:val="22"/>
        </w:rPr>
        <w:t>2025/2028:3 i enlighet med nedan</w:t>
      </w:r>
      <w:r w:rsidRPr="008E348A">
        <w:rPr>
          <w:szCs w:val="22"/>
        </w:rPr>
        <w:t>.</w:t>
      </w:r>
    </w:p>
    <w:p w14:paraId="172E8CAB" w14:textId="350BCD4F" w:rsidR="008C6575" w:rsidRPr="008E348A" w:rsidRDefault="008C6575" w:rsidP="008C6575">
      <w:pPr>
        <w:autoSpaceDE w:val="0"/>
        <w:autoSpaceDN w:val="0"/>
        <w:adjustRightInd w:val="0"/>
        <w:rPr>
          <w:bCs/>
          <w:i/>
          <w:iCs/>
          <w:szCs w:val="22"/>
          <w:lang w:val="en-US"/>
        </w:rPr>
      </w:pPr>
      <w:bookmarkStart w:id="12" w:name="_Hlk206164882"/>
      <w:proofErr w:type="gramStart"/>
      <w:r w:rsidRPr="008E348A">
        <w:rPr>
          <w:bCs/>
          <w:i/>
          <w:iCs/>
          <w:szCs w:val="22"/>
          <w:lang w:val="en-US"/>
        </w:rPr>
        <w:t>In order to</w:t>
      </w:r>
      <w:proofErr w:type="gramEnd"/>
      <w:r w:rsidRPr="008E348A">
        <w:rPr>
          <w:bCs/>
          <w:i/>
          <w:iCs/>
          <w:szCs w:val="22"/>
          <w:lang w:val="en-US"/>
        </w:rPr>
        <w:t xml:space="preserve"> enable the delivery of </w:t>
      </w:r>
      <w:r>
        <w:rPr>
          <w:bCs/>
          <w:i/>
          <w:iCs/>
          <w:szCs w:val="22"/>
          <w:lang w:val="en-US"/>
        </w:rPr>
        <w:t xml:space="preserve">class </w:t>
      </w:r>
      <w:r w:rsidRPr="008E348A">
        <w:rPr>
          <w:bCs/>
          <w:i/>
          <w:iCs/>
          <w:szCs w:val="22"/>
          <w:lang w:val="en-US"/>
        </w:rPr>
        <w:t xml:space="preserve">B shares </w:t>
      </w:r>
      <w:r>
        <w:rPr>
          <w:bCs/>
          <w:i/>
          <w:iCs/>
          <w:szCs w:val="22"/>
          <w:lang w:val="en-US"/>
        </w:rPr>
        <w:t xml:space="preserve">under </w:t>
      </w:r>
      <w:r w:rsidRPr="008E348A">
        <w:rPr>
          <w:bCs/>
          <w:i/>
          <w:iCs/>
          <w:szCs w:val="22"/>
          <w:lang w:val="en-US"/>
        </w:rPr>
        <w:t xml:space="preserve">the Performance Share Program </w:t>
      </w:r>
      <w:r>
        <w:rPr>
          <w:bCs/>
          <w:i/>
          <w:iCs/>
          <w:szCs w:val="22"/>
          <w:lang w:val="en-US"/>
        </w:rPr>
        <w:t>2025/2028:3,</w:t>
      </w:r>
      <w:bookmarkEnd w:id="12"/>
      <w:r w:rsidRPr="008E348A">
        <w:rPr>
          <w:bCs/>
          <w:i/>
          <w:iCs/>
          <w:szCs w:val="22"/>
          <w:lang w:val="en-US"/>
        </w:rPr>
        <w:t xml:space="preserve"> the board of directors for Biovica International AB (the “</w:t>
      </w:r>
      <w:r w:rsidRPr="008E348A">
        <w:rPr>
          <w:b/>
          <w:i/>
          <w:iCs/>
          <w:szCs w:val="22"/>
          <w:lang w:val="en-US"/>
        </w:rPr>
        <w:t>Company</w:t>
      </w:r>
      <w:r w:rsidRPr="008E348A">
        <w:rPr>
          <w:bCs/>
          <w:i/>
          <w:iCs/>
          <w:szCs w:val="22"/>
          <w:lang w:val="en-US"/>
        </w:rPr>
        <w:t xml:space="preserve">”) proposes that </w:t>
      </w:r>
      <w:bookmarkStart w:id="13" w:name="_Hlk206164871"/>
      <w:r w:rsidRPr="008E348A">
        <w:rPr>
          <w:bCs/>
          <w:i/>
          <w:iCs/>
          <w:szCs w:val="22"/>
          <w:lang w:val="en-US"/>
        </w:rPr>
        <w:t xml:space="preserve">the </w:t>
      </w:r>
      <w:r>
        <w:rPr>
          <w:bCs/>
          <w:i/>
          <w:iCs/>
          <w:szCs w:val="22"/>
          <w:lang w:val="en-US"/>
        </w:rPr>
        <w:t>annual general</w:t>
      </w:r>
      <w:r w:rsidRPr="008E348A">
        <w:rPr>
          <w:bCs/>
          <w:i/>
          <w:iCs/>
          <w:szCs w:val="22"/>
          <w:lang w:val="en-US"/>
        </w:rPr>
        <w:t xml:space="preserve"> meeting resolves on a directed issue of warrants of series </w:t>
      </w:r>
      <w:r>
        <w:rPr>
          <w:bCs/>
          <w:i/>
          <w:iCs/>
          <w:szCs w:val="22"/>
          <w:lang w:val="en-US"/>
        </w:rPr>
        <w:t>2025/2028:3</w:t>
      </w:r>
      <w:r w:rsidRPr="008E348A">
        <w:rPr>
          <w:bCs/>
          <w:i/>
          <w:iCs/>
          <w:szCs w:val="22"/>
          <w:lang w:val="en-US"/>
        </w:rPr>
        <w:t xml:space="preserve"> and </w:t>
      </w:r>
      <w:r>
        <w:rPr>
          <w:bCs/>
          <w:i/>
          <w:iCs/>
          <w:szCs w:val="22"/>
          <w:lang w:val="en-US"/>
        </w:rPr>
        <w:t>to approve</w:t>
      </w:r>
      <w:r w:rsidRPr="008E348A">
        <w:rPr>
          <w:bCs/>
          <w:i/>
          <w:iCs/>
          <w:szCs w:val="22"/>
          <w:lang w:val="en-US"/>
        </w:rPr>
        <w:t xml:space="preserve"> the transfer of warrants of series </w:t>
      </w:r>
      <w:r>
        <w:rPr>
          <w:bCs/>
          <w:i/>
          <w:iCs/>
          <w:szCs w:val="22"/>
          <w:lang w:val="en-US"/>
        </w:rPr>
        <w:t>2025/2028:3 in accordance with the following</w:t>
      </w:r>
      <w:r w:rsidRPr="008E348A">
        <w:rPr>
          <w:bCs/>
          <w:i/>
          <w:iCs/>
          <w:szCs w:val="22"/>
          <w:lang w:val="en-US"/>
        </w:rPr>
        <w:t>.</w:t>
      </w:r>
      <w:bookmarkEnd w:id="13"/>
    </w:p>
    <w:p w14:paraId="6FD737FC" w14:textId="77777777" w:rsidR="008C6575" w:rsidRPr="008E348A" w:rsidRDefault="008C6575" w:rsidP="008C6575">
      <w:pPr>
        <w:rPr>
          <w:szCs w:val="22"/>
          <w:lang w:val="en-US"/>
        </w:rPr>
      </w:pPr>
    </w:p>
    <w:p w14:paraId="2E8BC3C5" w14:textId="587838A3" w:rsidR="008C6575" w:rsidRPr="008E348A" w:rsidRDefault="008C6575" w:rsidP="008C6575">
      <w:pPr>
        <w:rPr>
          <w:szCs w:val="22"/>
        </w:rPr>
      </w:pPr>
      <w:bookmarkStart w:id="14" w:name="_Hlk206170432"/>
      <w:r w:rsidRPr="008E348A">
        <w:rPr>
          <w:szCs w:val="22"/>
        </w:rPr>
        <w:t xml:space="preserve">Styrelsen föreslår att </w:t>
      </w:r>
      <w:r>
        <w:rPr>
          <w:szCs w:val="22"/>
        </w:rPr>
        <w:t>årsstämman</w:t>
      </w:r>
      <w:r w:rsidRPr="008E348A">
        <w:rPr>
          <w:szCs w:val="22"/>
        </w:rPr>
        <w:t xml:space="preserve"> beslutar om emission av högst </w:t>
      </w:r>
      <w:r w:rsidR="0039134E" w:rsidRPr="0039134E">
        <w:rPr>
          <w:szCs w:val="22"/>
        </w:rPr>
        <w:t>1 022 400</w:t>
      </w:r>
      <w:r w:rsidRPr="008E348A">
        <w:rPr>
          <w:szCs w:val="22"/>
        </w:rPr>
        <w:t xml:space="preserve"> teckningsoptioner, till följd varav Bolagets aktiekapital kan komma att öka med högst </w:t>
      </w:r>
      <w:r w:rsidR="0039134E" w:rsidRPr="0039134E">
        <w:rPr>
          <w:szCs w:val="22"/>
        </w:rPr>
        <w:t>68 160,000048</w:t>
      </w:r>
      <w:r w:rsidRPr="008E348A">
        <w:rPr>
          <w:szCs w:val="22"/>
        </w:rPr>
        <w:t> kronor.</w:t>
      </w:r>
      <w:r w:rsidRPr="00211621">
        <w:rPr>
          <w:szCs w:val="22"/>
        </w:rPr>
        <w:t xml:space="preserve"> </w:t>
      </w:r>
      <w:r w:rsidRPr="008E348A">
        <w:rPr>
          <w:szCs w:val="22"/>
        </w:rPr>
        <w:t>Teckningsoptionerna ska medföra rätt till nyteckning av B-aktier Bolaget.</w:t>
      </w:r>
    </w:p>
    <w:p w14:paraId="42E234E8" w14:textId="002CC4EA" w:rsidR="008C6575" w:rsidRPr="008E348A" w:rsidRDefault="008C6575" w:rsidP="008C6575">
      <w:pPr>
        <w:rPr>
          <w:bCs/>
          <w:i/>
          <w:iCs/>
          <w:szCs w:val="22"/>
          <w:lang w:val="en-US"/>
        </w:rPr>
      </w:pPr>
      <w:bookmarkStart w:id="15" w:name="_Hlk206164968"/>
      <w:r w:rsidRPr="008E348A">
        <w:rPr>
          <w:i/>
          <w:iCs/>
          <w:szCs w:val="22"/>
          <w:lang w:val="en-US"/>
        </w:rPr>
        <w:t xml:space="preserve">The board of directors proposes that the </w:t>
      </w:r>
      <w:r>
        <w:rPr>
          <w:i/>
          <w:iCs/>
          <w:szCs w:val="22"/>
          <w:lang w:val="en-US"/>
        </w:rPr>
        <w:t>annual general</w:t>
      </w:r>
      <w:r w:rsidRPr="008E348A">
        <w:rPr>
          <w:i/>
          <w:iCs/>
          <w:szCs w:val="22"/>
          <w:lang w:val="en-US"/>
        </w:rPr>
        <w:t xml:space="preserve"> meeting resolves to issue a maximum of </w:t>
      </w:r>
      <w:r w:rsidR="0039134E" w:rsidRPr="0039134E">
        <w:rPr>
          <w:i/>
          <w:iCs/>
          <w:szCs w:val="22"/>
          <w:lang w:val="en-US"/>
        </w:rPr>
        <w:t>1</w:t>
      </w:r>
      <w:r w:rsidR="0039134E">
        <w:rPr>
          <w:i/>
          <w:iCs/>
          <w:szCs w:val="22"/>
          <w:lang w:val="en-US"/>
        </w:rPr>
        <w:t>,</w:t>
      </w:r>
      <w:r w:rsidR="0039134E" w:rsidRPr="0039134E">
        <w:rPr>
          <w:i/>
          <w:iCs/>
          <w:szCs w:val="22"/>
          <w:lang w:val="en-US"/>
        </w:rPr>
        <w:t>022</w:t>
      </w:r>
      <w:r w:rsidR="0039134E">
        <w:rPr>
          <w:i/>
          <w:iCs/>
          <w:szCs w:val="22"/>
          <w:lang w:val="en-US"/>
        </w:rPr>
        <w:t>,</w:t>
      </w:r>
      <w:r w:rsidR="0039134E" w:rsidRPr="0039134E">
        <w:rPr>
          <w:i/>
          <w:iCs/>
          <w:szCs w:val="22"/>
          <w:lang w:val="en-US"/>
        </w:rPr>
        <w:t>400</w:t>
      </w:r>
      <w:r w:rsidRPr="008E348A">
        <w:rPr>
          <w:i/>
          <w:iCs/>
          <w:szCs w:val="22"/>
          <w:lang w:val="en-US"/>
        </w:rPr>
        <w:t xml:space="preserve"> warrants, </w:t>
      </w:r>
      <w:proofErr w:type="gramStart"/>
      <w:r w:rsidRPr="008E348A">
        <w:rPr>
          <w:i/>
          <w:iCs/>
          <w:szCs w:val="22"/>
          <w:lang w:val="en-US"/>
        </w:rPr>
        <w:t>as a result of</w:t>
      </w:r>
      <w:proofErr w:type="gramEnd"/>
      <w:r w:rsidRPr="008E348A">
        <w:rPr>
          <w:i/>
          <w:iCs/>
          <w:szCs w:val="22"/>
          <w:lang w:val="en-US"/>
        </w:rPr>
        <w:t xml:space="preserve"> which the company's share capital may increase by a maximum of SEK</w:t>
      </w:r>
      <w:r w:rsidR="0039134E">
        <w:rPr>
          <w:i/>
          <w:iCs/>
          <w:szCs w:val="22"/>
          <w:lang w:val="en-US"/>
        </w:rPr>
        <w:t xml:space="preserve"> </w:t>
      </w:r>
      <w:proofErr w:type="gramStart"/>
      <w:r w:rsidR="0039134E" w:rsidRPr="0039134E">
        <w:rPr>
          <w:i/>
          <w:iCs/>
          <w:szCs w:val="22"/>
          <w:lang w:val="en-US"/>
        </w:rPr>
        <w:t>68</w:t>
      </w:r>
      <w:r w:rsidR="0039134E">
        <w:rPr>
          <w:i/>
          <w:iCs/>
          <w:szCs w:val="22"/>
          <w:lang w:val="en-US"/>
        </w:rPr>
        <w:t>,</w:t>
      </w:r>
      <w:r w:rsidR="0039134E" w:rsidRPr="0039134E">
        <w:rPr>
          <w:i/>
          <w:iCs/>
          <w:szCs w:val="22"/>
          <w:lang w:val="en-US"/>
        </w:rPr>
        <w:t>160</w:t>
      </w:r>
      <w:r w:rsidR="0039134E">
        <w:rPr>
          <w:i/>
          <w:iCs/>
          <w:szCs w:val="22"/>
          <w:lang w:val="en-US"/>
        </w:rPr>
        <w:t>.</w:t>
      </w:r>
      <w:r w:rsidR="0039134E" w:rsidRPr="0039134E">
        <w:rPr>
          <w:i/>
          <w:iCs/>
          <w:szCs w:val="22"/>
          <w:lang w:val="en-US"/>
        </w:rPr>
        <w:t>000048</w:t>
      </w:r>
      <w:r w:rsidRPr="008E348A">
        <w:rPr>
          <w:i/>
          <w:iCs/>
          <w:szCs w:val="22"/>
          <w:lang w:val="en-US"/>
        </w:rPr>
        <w:t>.</w:t>
      </w:r>
      <w:r w:rsidRPr="008E348A">
        <w:rPr>
          <w:bCs/>
          <w:i/>
          <w:iCs/>
          <w:szCs w:val="22"/>
          <w:lang w:val="en-US"/>
        </w:rPr>
        <w:t>The</w:t>
      </w:r>
      <w:proofErr w:type="gramEnd"/>
      <w:r w:rsidRPr="008E348A">
        <w:rPr>
          <w:bCs/>
          <w:i/>
          <w:iCs/>
          <w:szCs w:val="22"/>
          <w:lang w:val="en-US"/>
        </w:rPr>
        <w:t xml:space="preserve"> warrants shall entail the right to subscribe for new </w:t>
      </w:r>
      <w:r>
        <w:rPr>
          <w:bCs/>
          <w:i/>
          <w:iCs/>
          <w:szCs w:val="22"/>
          <w:lang w:val="en-US"/>
        </w:rPr>
        <w:t xml:space="preserve">class </w:t>
      </w:r>
      <w:r w:rsidRPr="008E348A">
        <w:rPr>
          <w:bCs/>
          <w:i/>
          <w:iCs/>
          <w:szCs w:val="22"/>
          <w:lang w:val="en-US"/>
        </w:rPr>
        <w:t xml:space="preserve">B shares in the </w:t>
      </w:r>
      <w:r>
        <w:rPr>
          <w:bCs/>
          <w:i/>
          <w:iCs/>
          <w:szCs w:val="22"/>
          <w:lang w:val="en-US"/>
        </w:rPr>
        <w:t>C</w:t>
      </w:r>
      <w:r w:rsidRPr="008E348A">
        <w:rPr>
          <w:bCs/>
          <w:i/>
          <w:iCs/>
          <w:szCs w:val="22"/>
          <w:lang w:val="en-US"/>
        </w:rPr>
        <w:t>ompany.</w:t>
      </w:r>
    </w:p>
    <w:p w14:paraId="7B148809" w14:textId="77777777" w:rsidR="008C6575" w:rsidRPr="008E348A" w:rsidRDefault="008C6575" w:rsidP="008C6575">
      <w:pPr>
        <w:rPr>
          <w:szCs w:val="22"/>
          <w:lang w:val="en-US"/>
        </w:rPr>
      </w:pPr>
    </w:p>
    <w:p w14:paraId="5DB3C6B7" w14:textId="77777777" w:rsidR="008C6575" w:rsidRPr="008E348A" w:rsidRDefault="008C6575" w:rsidP="008C6575">
      <w:pPr>
        <w:rPr>
          <w:szCs w:val="22"/>
        </w:rPr>
      </w:pPr>
      <w:r w:rsidRPr="008E348A">
        <w:rPr>
          <w:szCs w:val="22"/>
        </w:rPr>
        <w:t>För emissionen ska följande villkor gälla:</w:t>
      </w:r>
    </w:p>
    <w:p w14:paraId="54DB47A6" w14:textId="77777777" w:rsidR="008C6575" w:rsidRPr="008E348A" w:rsidRDefault="008C6575" w:rsidP="008C6575">
      <w:pPr>
        <w:autoSpaceDE w:val="0"/>
        <w:autoSpaceDN w:val="0"/>
        <w:adjustRightInd w:val="0"/>
        <w:rPr>
          <w:bCs/>
          <w:i/>
          <w:iCs/>
          <w:szCs w:val="22"/>
          <w:lang w:val="en-US"/>
        </w:rPr>
      </w:pPr>
      <w:r w:rsidRPr="008E348A">
        <w:rPr>
          <w:bCs/>
          <w:i/>
          <w:iCs/>
          <w:szCs w:val="22"/>
          <w:lang w:val="en-US"/>
        </w:rPr>
        <w:t>For the issue, the following conditions shall apply:</w:t>
      </w:r>
    </w:p>
    <w:p w14:paraId="7B589E17" w14:textId="77777777" w:rsidR="008C6575" w:rsidRPr="008E348A" w:rsidRDefault="008C6575" w:rsidP="008C6575">
      <w:pPr>
        <w:rPr>
          <w:szCs w:val="22"/>
          <w:lang w:val="en-US"/>
        </w:rPr>
      </w:pPr>
    </w:p>
    <w:p w14:paraId="11B5E30D" w14:textId="77777777" w:rsidR="008C6575" w:rsidRPr="008E348A" w:rsidRDefault="008C6575" w:rsidP="00F3012E">
      <w:pPr>
        <w:pStyle w:val="ListParagraph"/>
        <w:widowControl w:val="0"/>
        <w:numPr>
          <w:ilvl w:val="0"/>
          <w:numId w:val="37"/>
        </w:numPr>
        <w:ind w:hanging="720"/>
        <w:contextualSpacing w:val="0"/>
        <w:rPr>
          <w:i/>
          <w:iCs/>
          <w:szCs w:val="22"/>
          <w:lang w:val="sv-SE"/>
        </w:rPr>
      </w:pPr>
      <w:r w:rsidRPr="008E348A">
        <w:rPr>
          <w:szCs w:val="22"/>
          <w:lang w:val="sv-SE"/>
        </w:rPr>
        <w:t>Rätt att teckna teckningsoptionerna ska, med avvikelse från aktieägarnas företrädesrätt, tillkomma Bolaget och annat koncernbolag.</w:t>
      </w:r>
    </w:p>
    <w:p w14:paraId="09D42598" w14:textId="77777777" w:rsidR="008C6575" w:rsidRPr="008E348A" w:rsidRDefault="008C6575" w:rsidP="008C6575">
      <w:pPr>
        <w:pStyle w:val="ListParagraph"/>
        <w:widowControl w:val="0"/>
        <w:contextualSpacing w:val="0"/>
        <w:rPr>
          <w:i/>
          <w:iCs/>
          <w:szCs w:val="22"/>
          <w:lang w:val="en-US"/>
        </w:rPr>
      </w:pPr>
      <w:r w:rsidRPr="008E348A">
        <w:rPr>
          <w:bCs/>
          <w:i/>
          <w:iCs/>
          <w:szCs w:val="22"/>
          <w:lang w:val="en-US"/>
        </w:rPr>
        <w:t xml:space="preserve">The right to subscribe </w:t>
      </w:r>
      <w:proofErr w:type="gramStart"/>
      <w:r w:rsidRPr="008E348A">
        <w:rPr>
          <w:bCs/>
          <w:i/>
          <w:iCs/>
          <w:szCs w:val="22"/>
          <w:lang w:val="en-US"/>
        </w:rPr>
        <w:t>for</w:t>
      </w:r>
      <w:proofErr w:type="gramEnd"/>
      <w:r w:rsidRPr="008E348A">
        <w:rPr>
          <w:bCs/>
          <w:i/>
          <w:iCs/>
          <w:szCs w:val="22"/>
          <w:lang w:val="en-US"/>
        </w:rPr>
        <w:t xml:space="preserve"> the warrants shall, with deviation from the shareholders' preferential right, accrue to the Company and other group companies.</w:t>
      </w:r>
    </w:p>
    <w:p w14:paraId="2AB2F0B7" w14:textId="77777777" w:rsidR="008C6575" w:rsidRPr="008E348A" w:rsidRDefault="008C6575" w:rsidP="008C6575">
      <w:pPr>
        <w:pStyle w:val="ListParagraph"/>
        <w:widowControl w:val="0"/>
        <w:contextualSpacing w:val="0"/>
        <w:rPr>
          <w:szCs w:val="22"/>
          <w:lang w:val="en-US"/>
        </w:rPr>
      </w:pPr>
    </w:p>
    <w:p w14:paraId="2DC974AC" w14:textId="77777777" w:rsidR="008C6575" w:rsidRPr="008E348A" w:rsidRDefault="008C6575" w:rsidP="00F3012E">
      <w:pPr>
        <w:pStyle w:val="ListParagraph"/>
        <w:widowControl w:val="0"/>
        <w:numPr>
          <w:ilvl w:val="0"/>
          <w:numId w:val="37"/>
        </w:numPr>
        <w:ind w:hanging="720"/>
        <w:contextualSpacing w:val="0"/>
        <w:rPr>
          <w:i/>
          <w:iCs/>
          <w:szCs w:val="22"/>
          <w:lang w:val="sv-SE"/>
        </w:rPr>
      </w:pPr>
      <w:r w:rsidRPr="008E348A">
        <w:rPr>
          <w:szCs w:val="22"/>
          <w:lang w:val="sv-SE"/>
        </w:rPr>
        <w:t xml:space="preserve">Teckningsoptionerna emitteras vederlagsfritt och ska tecknas på särskild teckningslista senast den </w:t>
      </w:r>
      <w:r w:rsidRPr="008E348A">
        <w:rPr>
          <w:iCs/>
          <w:szCs w:val="22"/>
          <w:lang w:val="sv-SE"/>
        </w:rPr>
        <w:t>1 </w:t>
      </w:r>
      <w:r>
        <w:rPr>
          <w:iCs/>
          <w:szCs w:val="22"/>
          <w:lang w:val="sv-SE"/>
        </w:rPr>
        <w:t>november</w:t>
      </w:r>
      <w:r w:rsidRPr="008E348A">
        <w:rPr>
          <w:iCs/>
          <w:szCs w:val="22"/>
          <w:lang w:val="sv-SE"/>
        </w:rPr>
        <w:t xml:space="preserve"> 202</w:t>
      </w:r>
      <w:r>
        <w:rPr>
          <w:iCs/>
          <w:szCs w:val="22"/>
          <w:lang w:val="sv-SE"/>
        </w:rPr>
        <w:t>5</w:t>
      </w:r>
      <w:r w:rsidRPr="008E348A">
        <w:rPr>
          <w:szCs w:val="22"/>
          <w:lang w:val="sv-SE"/>
        </w:rPr>
        <w:t>. Styrelsen ska äga rätt att förlänga tiden för teckning.</w:t>
      </w:r>
    </w:p>
    <w:p w14:paraId="248DBC4F" w14:textId="65773C59" w:rsidR="008C6575" w:rsidRPr="008E348A" w:rsidRDefault="008C6575" w:rsidP="008C6575">
      <w:pPr>
        <w:pStyle w:val="ListParagraph"/>
        <w:widowControl w:val="0"/>
        <w:contextualSpacing w:val="0"/>
        <w:rPr>
          <w:i/>
          <w:iCs/>
          <w:szCs w:val="22"/>
          <w:lang w:val="en-US"/>
        </w:rPr>
      </w:pPr>
      <w:r w:rsidRPr="008E348A">
        <w:rPr>
          <w:bCs/>
          <w:i/>
          <w:iCs/>
          <w:szCs w:val="22"/>
          <w:lang w:val="en-US"/>
        </w:rPr>
        <w:t xml:space="preserve">The warrants are issued free of charge and must be subscribed </w:t>
      </w:r>
      <w:proofErr w:type="gramStart"/>
      <w:r w:rsidRPr="008E348A">
        <w:rPr>
          <w:bCs/>
          <w:i/>
          <w:iCs/>
          <w:szCs w:val="22"/>
          <w:lang w:val="en-US"/>
        </w:rPr>
        <w:t>on</w:t>
      </w:r>
      <w:proofErr w:type="gramEnd"/>
      <w:r w:rsidRPr="008E348A">
        <w:rPr>
          <w:bCs/>
          <w:i/>
          <w:iCs/>
          <w:szCs w:val="22"/>
          <w:lang w:val="en-US"/>
        </w:rPr>
        <w:t xml:space="preserve"> a special subscription list no later than on </w:t>
      </w:r>
      <w:r w:rsidRPr="008E348A">
        <w:rPr>
          <w:i/>
          <w:iCs/>
          <w:szCs w:val="22"/>
          <w:lang w:val="en-US"/>
        </w:rPr>
        <w:t>1 </w:t>
      </w:r>
      <w:r>
        <w:rPr>
          <w:i/>
          <w:iCs/>
          <w:szCs w:val="22"/>
          <w:lang w:val="en-US"/>
        </w:rPr>
        <w:t>November</w:t>
      </w:r>
      <w:r w:rsidRPr="008E348A">
        <w:rPr>
          <w:i/>
          <w:iCs/>
          <w:szCs w:val="22"/>
          <w:lang w:val="en-US"/>
        </w:rPr>
        <w:t xml:space="preserve"> 202</w:t>
      </w:r>
      <w:r>
        <w:rPr>
          <w:i/>
          <w:iCs/>
          <w:szCs w:val="22"/>
          <w:lang w:val="en-US"/>
        </w:rPr>
        <w:t>5</w:t>
      </w:r>
      <w:r w:rsidRPr="008E348A">
        <w:rPr>
          <w:bCs/>
          <w:i/>
          <w:iCs/>
          <w:szCs w:val="22"/>
          <w:lang w:val="en-US"/>
        </w:rPr>
        <w:t xml:space="preserve">. The </w:t>
      </w:r>
      <w:proofErr w:type="gramStart"/>
      <w:r w:rsidRPr="008E348A">
        <w:rPr>
          <w:bCs/>
          <w:i/>
          <w:iCs/>
          <w:szCs w:val="22"/>
          <w:lang w:val="en-US"/>
        </w:rPr>
        <w:t xml:space="preserve">board </w:t>
      </w:r>
      <w:r w:rsidR="00FD2843">
        <w:rPr>
          <w:bCs/>
          <w:i/>
          <w:iCs/>
          <w:szCs w:val="22"/>
          <w:lang w:val="en-US"/>
        </w:rPr>
        <w:t>shall</w:t>
      </w:r>
      <w:proofErr w:type="gramEnd"/>
      <w:r w:rsidR="00FD2843">
        <w:rPr>
          <w:bCs/>
          <w:i/>
          <w:iCs/>
          <w:szCs w:val="22"/>
          <w:lang w:val="en-US"/>
        </w:rPr>
        <w:t xml:space="preserve"> </w:t>
      </w:r>
      <w:r w:rsidRPr="008E348A">
        <w:rPr>
          <w:bCs/>
          <w:i/>
          <w:iCs/>
          <w:szCs w:val="22"/>
          <w:lang w:val="en-US"/>
        </w:rPr>
        <w:t>have the right to extend the subscription period.</w:t>
      </w:r>
      <w:r w:rsidRPr="008E348A">
        <w:rPr>
          <w:i/>
          <w:iCs/>
          <w:szCs w:val="22"/>
          <w:lang w:val="en-US"/>
        </w:rPr>
        <w:t xml:space="preserve"> </w:t>
      </w:r>
    </w:p>
    <w:p w14:paraId="6C7DE3A9" w14:textId="77777777" w:rsidR="008C6575" w:rsidRPr="008E348A" w:rsidRDefault="008C6575" w:rsidP="008C6575">
      <w:pPr>
        <w:pStyle w:val="ListParagraph"/>
        <w:widowControl w:val="0"/>
        <w:contextualSpacing w:val="0"/>
        <w:rPr>
          <w:szCs w:val="22"/>
          <w:lang w:val="en-US"/>
        </w:rPr>
      </w:pPr>
    </w:p>
    <w:p w14:paraId="3493B6BE" w14:textId="77777777" w:rsidR="008C6575" w:rsidRPr="008E348A" w:rsidRDefault="008C6575" w:rsidP="00F3012E">
      <w:pPr>
        <w:pStyle w:val="ListParagraph"/>
        <w:widowControl w:val="0"/>
        <w:numPr>
          <w:ilvl w:val="0"/>
          <w:numId w:val="37"/>
        </w:numPr>
        <w:ind w:hanging="720"/>
        <w:contextualSpacing w:val="0"/>
        <w:rPr>
          <w:i/>
          <w:iCs/>
          <w:szCs w:val="22"/>
          <w:lang w:val="sv-SE"/>
        </w:rPr>
      </w:pPr>
      <w:r w:rsidRPr="008E348A">
        <w:rPr>
          <w:szCs w:val="22"/>
          <w:lang w:val="sv-SE"/>
        </w:rPr>
        <w:t xml:space="preserve">Varje teckningsoption berättigar till teckning av en ny B-aktie i Bolaget under perioden från och med registrering hos Bolagsverket till och med den </w:t>
      </w:r>
      <w:r>
        <w:rPr>
          <w:iCs/>
          <w:szCs w:val="22"/>
          <w:lang w:val="sv-SE"/>
        </w:rPr>
        <w:t>30</w:t>
      </w:r>
      <w:r w:rsidRPr="008E348A">
        <w:rPr>
          <w:iCs/>
          <w:szCs w:val="22"/>
          <w:lang w:val="sv-SE"/>
        </w:rPr>
        <w:t xml:space="preserve"> november 202</w:t>
      </w:r>
      <w:r>
        <w:rPr>
          <w:iCs/>
          <w:szCs w:val="22"/>
          <w:lang w:val="sv-SE"/>
        </w:rPr>
        <w:t>8</w:t>
      </w:r>
      <w:r w:rsidRPr="008E348A">
        <w:rPr>
          <w:szCs w:val="22"/>
          <w:lang w:val="sv-SE"/>
        </w:rPr>
        <w:t xml:space="preserve"> eller den tidigare dag som följer av villkoren för teckningsoptionerna. Styrelsen ska äga rätt att förlänga tiden för aktieteckning för det fall att deltagare är förhindrade att teckna aktier i slutet av teckningsperioden på grund av EU:s marknadsmissbruksförordning.</w:t>
      </w:r>
    </w:p>
    <w:p w14:paraId="21D663AD" w14:textId="68066232" w:rsidR="008C6575" w:rsidRPr="008E348A" w:rsidRDefault="008C6575" w:rsidP="008C6575">
      <w:pPr>
        <w:pStyle w:val="ListParagraph"/>
        <w:widowControl w:val="0"/>
        <w:contextualSpacing w:val="0"/>
        <w:rPr>
          <w:i/>
          <w:iCs/>
          <w:szCs w:val="22"/>
          <w:lang w:val="en-US"/>
        </w:rPr>
      </w:pPr>
      <w:r w:rsidRPr="008E348A">
        <w:rPr>
          <w:bCs/>
          <w:i/>
          <w:iCs/>
          <w:szCs w:val="22"/>
          <w:lang w:val="en-US"/>
        </w:rPr>
        <w:t xml:space="preserve">Each warrant entitles the holder to subscribe for one new class B share in the Company during the period from registration with the Swedish Companies Registration Office up to and including </w:t>
      </w:r>
      <w:r>
        <w:rPr>
          <w:i/>
          <w:iCs/>
          <w:szCs w:val="22"/>
          <w:lang w:val="en-US"/>
        </w:rPr>
        <w:t>30</w:t>
      </w:r>
      <w:r w:rsidRPr="008E348A">
        <w:rPr>
          <w:i/>
          <w:iCs/>
          <w:szCs w:val="22"/>
          <w:lang w:val="en-US"/>
        </w:rPr>
        <w:t> November 202</w:t>
      </w:r>
      <w:r>
        <w:rPr>
          <w:i/>
          <w:iCs/>
          <w:szCs w:val="22"/>
          <w:lang w:val="en-US"/>
        </w:rPr>
        <w:t>8</w:t>
      </w:r>
      <w:r w:rsidRPr="008E348A">
        <w:rPr>
          <w:bCs/>
          <w:i/>
          <w:iCs/>
          <w:szCs w:val="22"/>
          <w:lang w:val="en-US"/>
        </w:rPr>
        <w:t xml:space="preserve">, or the earlier day that follows from the terms of the warrants. The board </w:t>
      </w:r>
      <w:r w:rsidR="00FD2843">
        <w:rPr>
          <w:bCs/>
          <w:i/>
          <w:iCs/>
          <w:szCs w:val="22"/>
          <w:lang w:val="en-US"/>
        </w:rPr>
        <w:t xml:space="preserve">shall </w:t>
      </w:r>
      <w:r w:rsidRPr="008E348A">
        <w:rPr>
          <w:bCs/>
          <w:i/>
          <w:iCs/>
          <w:szCs w:val="22"/>
          <w:lang w:val="en-US"/>
        </w:rPr>
        <w:t xml:space="preserve">have the right to </w:t>
      </w:r>
      <w:r w:rsidRPr="008E348A">
        <w:rPr>
          <w:i/>
          <w:iCs/>
          <w:szCs w:val="22"/>
          <w:lang w:val="en-US"/>
        </w:rPr>
        <w:t>extend</w:t>
      </w:r>
      <w:r w:rsidRPr="008E348A">
        <w:rPr>
          <w:bCs/>
          <w:i/>
          <w:iCs/>
          <w:szCs w:val="22"/>
          <w:lang w:val="en-US"/>
        </w:rPr>
        <w:t xml:space="preserve"> the time for share subscription if participants are prevented from subscribing for shares at the end of the subscription period due to the EU's Market Abuse Regulation.</w:t>
      </w:r>
    </w:p>
    <w:p w14:paraId="38BAB6B8" w14:textId="77777777" w:rsidR="008C6575" w:rsidRPr="008E348A" w:rsidRDefault="008C6575" w:rsidP="008C6575">
      <w:pPr>
        <w:pStyle w:val="ListParagraph"/>
        <w:widowControl w:val="0"/>
        <w:contextualSpacing w:val="0"/>
        <w:rPr>
          <w:szCs w:val="22"/>
          <w:lang w:val="en-US"/>
        </w:rPr>
      </w:pPr>
    </w:p>
    <w:p w14:paraId="6E0086A2" w14:textId="77777777" w:rsidR="008C6575" w:rsidRPr="008E348A" w:rsidRDefault="008C6575" w:rsidP="00F3012E">
      <w:pPr>
        <w:pStyle w:val="ListParagraph"/>
        <w:widowControl w:val="0"/>
        <w:numPr>
          <w:ilvl w:val="0"/>
          <w:numId w:val="37"/>
        </w:numPr>
        <w:ind w:hanging="720"/>
        <w:contextualSpacing w:val="0"/>
        <w:rPr>
          <w:i/>
          <w:iCs/>
          <w:szCs w:val="22"/>
          <w:lang w:val="sv-SE"/>
        </w:rPr>
      </w:pPr>
      <w:r w:rsidRPr="008E348A">
        <w:rPr>
          <w:szCs w:val="22"/>
          <w:lang w:val="sv-SE"/>
        </w:rPr>
        <w:t>Varje teckningsoption ger rätt att teckna en ny B-aktie i Bolaget mot kontant betalning enligt en teckningskurs som motsvarar aktiens kvotvärde.</w:t>
      </w:r>
    </w:p>
    <w:p w14:paraId="2539F43B" w14:textId="5E498DB1" w:rsidR="008C6575" w:rsidRPr="008E348A" w:rsidRDefault="008C6575" w:rsidP="008C6575">
      <w:pPr>
        <w:pStyle w:val="ListParagraph"/>
        <w:widowControl w:val="0"/>
        <w:contextualSpacing w:val="0"/>
        <w:rPr>
          <w:i/>
          <w:iCs/>
          <w:szCs w:val="22"/>
          <w:lang w:val="en-US"/>
        </w:rPr>
      </w:pPr>
      <w:r w:rsidRPr="008E348A">
        <w:rPr>
          <w:bCs/>
          <w:i/>
          <w:iCs/>
          <w:szCs w:val="22"/>
          <w:lang w:val="en-US"/>
        </w:rPr>
        <w:t xml:space="preserve">Each warrant gives the right to subscribe for </w:t>
      </w:r>
      <w:r w:rsidR="003C343D">
        <w:rPr>
          <w:bCs/>
          <w:i/>
          <w:iCs/>
          <w:szCs w:val="22"/>
          <w:lang w:val="en-US"/>
        </w:rPr>
        <w:t>one</w:t>
      </w:r>
      <w:r w:rsidR="003C343D" w:rsidRPr="008E348A">
        <w:rPr>
          <w:bCs/>
          <w:i/>
          <w:iCs/>
          <w:szCs w:val="22"/>
          <w:lang w:val="en-US"/>
        </w:rPr>
        <w:t xml:space="preserve"> new </w:t>
      </w:r>
      <w:r w:rsidR="003C343D">
        <w:rPr>
          <w:bCs/>
          <w:i/>
          <w:iCs/>
          <w:szCs w:val="22"/>
          <w:lang w:val="en-US"/>
        </w:rPr>
        <w:t xml:space="preserve">class </w:t>
      </w:r>
      <w:r w:rsidR="003C343D" w:rsidRPr="008E348A">
        <w:rPr>
          <w:bCs/>
          <w:i/>
          <w:iCs/>
          <w:szCs w:val="22"/>
          <w:lang w:val="en-US"/>
        </w:rPr>
        <w:t>B share</w:t>
      </w:r>
      <w:r w:rsidRPr="008E348A">
        <w:rPr>
          <w:bCs/>
          <w:i/>
          <w:iCs/>
          <w:szCs w:val="22"/>
          <w:lang w:val="en-US"/>
        </w:rPr>
        <w:t xml:space="preserve"> in the Company against cash payment according to a subscription price that corresponds to the share's quota value.</w:t>
      </w:r>
    </w:p>
    <w:p w14:paraId="3B5B4D2E" w14:textId="77777777" w:rsidR="008C6575" w:rsidRPr="008E348A" w:rsidRDefault="008C6575" w:rsidP="008C6575">
      <w:pPr>
        <w:pStyle w:val="ListParagraph"/>
        <w:widowControl w:val="0"/>
        <w:contextualSpacing w:val="0"/>
        <w:rPr>
          <w:szCs w:val="22"/>
          <w:lang w:val="en-US"/>
        </w:rPr>
      </w:pPr>
    </w:p>
    <w:p w14:paraId="38ACBE12" w14:textId="77777777"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 xml:space="preserve">Ny aktie som tecknats genom utnyttjande av teckningsoption medför rätt till vinstutdelning första gången på den avstämningsdag för utdelning som infaller närmast efter det att de nya </w:t>
      </w:r>
      <w:r w:rsidRPr="008E348A">
        <w:rPr>
          <w:szCs w:val="22"/>
          <w:lang w:val="sv-SE"/>
        </w:rPr>
        <w:lastRenderedPageBreak/>
        <w:t>aktierna registrerats vid Bolagsverket och aktierna införts i den av Euroclear Sweden AB förda aktieboken.</w:t>
      </w:r>
    </w:p>
    <w:p w14:paraId="560482A4" w14:textId="77777777" w:rsidR="008C6575" w:rsidRPr="008E348A" w:rsidRDefault="008C6575" w:rsidP="008C6575">
      <w:pPr>
        <w:pStyle w:val="ListParagraph"/>
        <w:widowControl w:val="0"/>
        <w:contextualSpacing w:val="0"/>
        <w:rPr>
          <w:i/>
          <w:iCs/>
          <w:szCs w:val="22"/>
          <w:lang w:val="en-US"/>
        </w:rPr>
      </w:pPr>
      <w:r w:rsidRPr="008E348A">
        <w:rPr>
          <w:bCs/>
          <w:i/>
          <w:iCs/>
          <w:szCs w:val="22"/>
          <w:lang w:val="en-US"/>
        </w:rPr>
        <w:t>A new share subscribed for by exercising a warrant carries the right to a dividend for the first time on the record date for the dividend that falls closest after the new shares have been registered with the Swedish Companies Registration Office and the shares have been entered in the share register maintained by Euroclear Sweden AB.</w:t>
      </w:r>
    </w:p>
    <w:p w14:paraId="0614C013" w14:textId="77777777" w:rsidR="008C6575" w:rsidRPr="008E348A" w:rsidRDefault="008C6575" w:rsidP="008C6575">
      <w:pPr>
        <w:pStyle w:val="ListParagraph"/>
        <w:widowControl w:val="0"/>
        <w:contextualSpacing w:val="0"/>
        <w:rPr>
          <w:szCs w:val="22"/>
          <w:lang w:val="en-US"/>
        </w:rPr>
      </w:pPr>
    </w:p>
    <w:p w14:paraId="65193AFE" w14:textId="6CDC248B"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 xml:space="preserve">Syftet med emissionen och avvikelsen från aktieägarnas företrädesrätt är att inom ramen för Prestationsaktieprogram </w:t>
      </w:r>
      <w:r>
        <w:rPr>
          <w:szCs w:val="22"/>
          <w:lang w:val="sv-SE"/>
        </w:rPr>
        <w:t>2025/2028:3</w:t>
      </w:r>
      <w:r w:rsidRPr="008E348A">
        <w:rPr>
          <w:szCs w:val="22"/>
          <w:lang w:val="sv-SE"/>
        </w:rPr>
        <w:t xml:space="preserve"> säkerställa leverans av aktier till deltagare i programmet.</w:t>
      </w:r>
    </w:p>
    <w:p w14:paraId="13F914EB" w14:textId="56087BC6" w:rsidR="008C6575" w:rsidRPr="008E348A" w:rsidRDefault="008C6575" w:rsidP="008C6575">
      <w:pPr>
        <w:pStyle w:val="ListParagraph"/>
        <w:widowControl w:val="0"/>
        <w:contextualSpacing w:val="0"/>
        <w:rPr>
          <w:szCs w:val="22"/>
          <w:lang w:val="en-US"/>
        </w:rPr>
      </w:pPr>
      <w:r w:rsidRPr="008E348A">
        <w:rPr>
          <w:bCs/>
          <w:i/>
          <w:iCs/>
          <w:szCs w:val="22"/>
          <w:lang w:val="en-US"/>
        </w:rPr>
        <w:t xml:space="preserve">The purpose of the issue and the deviation from the shareholders' preferential right is to ensure delivery of shares to participants in the program within the framework of the Performance Share Program </w:t>
      </w:r>
      <w:r>
        <w:rPr>
          <w:bCs/>
          <w:i/>
          <w:iCs/>
          <w:szCs w:val="22"/>
          <w:lang w:val="en-US"/>
        </w:rPr>
        <w:t>2025/2028:3</w:t>
      </w:r>
      <w:r w:rsidRPr="008E348A">
        <w:rPr>
          <w:bCs/>
          <w:i/>
          <w:iCs/>
          <w:szCs w:val="22"/>
          <w:lang w:val="en-US"/>
        </w:rPr>
        <w:t>.</w:t>
      </w:r>
    </w:p>
    <w:p w14:paraId="55A42B66" w14:textId="77777777" w:rsidR="008C6575" w:rsidRPr="008E348A" w:rsidRDefault="008C6575" w:rsidP="008C6575">
      <w:pPr>
        <w:pStyle w:val="ListParagraph"/>
        <w:widowControl w:val="0"/>
        <w:contextualSpacing w:val="0"/>
        <w:rPr>
          <w:szCs w:val="22"/>
          <w:lang w:val="en-US"/>
        </w:rPr>
      </w:pPr>
    </w:p>
    <w:p w14:paraId="1621D275" w14:textId="3D42B72A"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 xml:space="preserve">De fullständiga villkoren för teckningsoptionerna framgår av </w:t>
      </w:r>
      <w:r>
        <w:rPr>
          <w:szCs w:val="22"/>
          <w:u w:val="single"/>
          <w:lang w:val="sv-SE"/>
        </w:rPr>
        <w:t>Bilaga 5</w:t>
      </w:r>
      <w:r w:rsidRPr="008E348A">
        <w:rPr>
          <w:szCs w:val="22"/>
          <w:u w:val="single"/>
          <w:lang w:val="sv-SE"/>
        </w:rPr>
        <w:t>c</w:t>
      </w:r>
      <w:r w:rsidRPr="008E348A">
        <w:rPr>
          <w:szCs w:val="22"/>
          <w:lang w:val="sv-SE"/>
        </w:rPr>
        <w:t xml:space="preserve"> som bland annat innebär att teckningskursen liksom antalet aktier som teckningsoption berättigar till teckning av komma att omräknas i vissa fall.</w:t>
      </w:r>
    </w:p>
    <w:p w14:paraId="2A938349" w14:textId="093886E1" w:rsidR="008C6575" w:rsidRPr="008E348A" w:rsidRDefault="008C6575" w:rsidP="008C6575">
      <w:pPr>
        <w:pStyle w:val="ListParagraph"/>
        <w:widowControl w:val="0"/>
        <w:contextualSpacing w:val="0"/>
        <w:rPr>
          <w:szCs w:val="22"/>
          <w:lang w:val="en-US"/>
        </w:rPr>
      </w:pPr>
      <w:r w:rsidRPr="008E348A">
        <w:rPr>
          <w:bCs/>
          <w:i/>
          <w:iCs/>
          <w:szCs w:val="22"/>
          <w:lang w:val="en-US"/>
        </w:rPr>
        <w:t xml:space="preserve">The full terms and conditions for the warrants are available in </w:t>
      </w:r>
      <w:r>
        <w:rPr>
          <w:bCs/>
          <w:i/>
          <w:iCs/>
          <w:szCs w:val="22"/>
          <w:u w:val="single"/>
          <w:lang w:val="en-US"/>
        </w:rPr>
        <w:t>Exhibit 5</w:t>
      </w:r>
      <w:r w:rsidRPr="008E348A">
        <w:rPr>
          <w:bCs/>
          <w:i/>
          <w:iCs/>
          <w:szCs w:val="22"/>
          <w:u w:val="single"/>
          <w:lang w:val="en-US"/>
        </w:rPr>
        <w:t>c</w:t>
      </w:r>
      <w:r w:rsidRPr="008E348A">
        <w:rPr>
          <w:bCs/>
          <w:i/>
          <w:iCs/>
          <w:szCs w:val="22"/>
          <w:lang w:val="en-US"/>
        </w:rPr>
        <w:t xml:space="preserve"> </w:t>
      </w:r>
      <w:r w:rsidR="003C343D" w:rsidRPr="008E348A">
        <w:rPr>
          <w:bCs/>
          <w:i/>
          <w:iCs/>
          <w:szCs w:val="22"/>
          <w:lang w:val="en-US"/>
        </w:rPr>
        <w:t>including</w:t>
      </w:r>
      <w:r w:rsidR="003C343D">
        <w:rPr>
          <w:bCs/>
          <w:i/>
          <w:iCs/>
          <w:szCs w:val="22"/>
          <w:lang w:val="en-US"/>
        </w:rPr>
        <w:t xml:space="preserve"> </w:t>
      </w:r>
      <w:r w:rsidR="003C343D" w:rsidRPr="008E348A">
        <w:rPr>
          <w:bCs/>
          <w:i/>
          <w:iCs/>
          <w:szCs w:val="22"/>
          <w:lang w:val="en-US"/>
        </w:rPr>
        <w:t xml:space="preserve">conditions regarding re-calculation, in certain cases, of the subscription price and the number of shares that the warrant </w:t>
      </w:r>
      <w:proofErr w:type="gramStart"/>
      <w:r w:rsidR="003C343D" w:rsidRPr="008E348A">
        <w:rPr>
          <w:bCs/>
          <w:i/>
          <w:iCs/>
          <w:szCs w:val="22"/>
          <w:lang w:val="en-US"/>
        </w:rPr>
        <w:t>entitles</w:t>
      </w:r>
      <w:proofErr w:type="gramEnd"/>
      <w:r w:rsidR="003C343D" w:rsidRPr="008E348A">
        <w:rPr>
          <w:bCs/>
          <w:i/>
          <w:iCs/>
          <w:szCs w:val="22"/>
          <w:lang w:val="en-US"/>
        </w:rPr>
        <w:t xml:space="preserve"> to.</w:t>
      </w:r>
    </w:p>
    <w:p w14:paraId="78204482" w14:textId="77777777" w:rsidR="008C6575" w:rsidRPr="008E348A" w:rsidRDefault="008C6575" w:rsidP="008C6575">
      <w:pPr>
        <w:pStyle w:val="ListParagraph"/>
        <w:widowControl w:val="0"/>
        <w:contextualSpacing w:val="0"/>
        <w:rPr>
          <w:szCs w:val="22"/>
          <w:lang w:val="en-US"/>
        </w:rPr>
      </w:pPr>
    </w:p>
    <w:p w14:paraId="08F129E3" w14:textId="77777777"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Styrelsen eller den styrelsen förordnar ska ha rätt att vidta de smärre justeringar i beslutet som kan visas erforderliga i samband med registrering av beslutet hos Bolagsverket och eventuellt Euroclear Sweden AB.</w:t>
      </w:r>
    </w:p>
    <w:p w14:paraId="26E0AA48" w14:textId="77777777" w:rsidR="008C6575" w:rsidRPr="008E348A" w:rsidRDefault="008C6575" w:rsidP="008C6575">
      <w:pPr>
        <w:pStyle w:val="ListParagraph"/>
        <w:widowControl w:val="0"/>
        <w:contextualSpacing w:val="0"/>
        <w:rPr>
          <w:szCs w:val="22"/>
          <w:lang w:val="en-US"/>
        </w:rPr>
      </w:pPr>
      <w:r w:rsidRPr="008E348A">
        <w:rPr>
          <w:bCs/>
          <w:i/>
          <w:iCs/>
          <w:szCs w:val="22"/>
          <w:lang w:val="en-US"/>
        </w:rPr>
        <w:t>The board of directors, or the person that the board of directors may appoint, shall be authorized to make minor adjustment necessary in connection with the registration of the resolution with the Swedish Companies Registration Office or, where applicable, Euroclear Sweden AB.</w:t>
      </w:r>
    </w:p>
    <w:p w14:paraId="13F14435" w14:textId="77777777" w:rsidR="008C6575" w:rsidRPr="008E348A" w:rsidRDefault="008C6575" w:rsidP="008C6575">
      <w:pPr>
        <w:pStyle w:val="ListParagraph"/>
        <w:widowControl w:val="0"/>
        <w:contextualSpacing w:val="0"/>
        <w:rPr>
          <w:szCs w:val="22"/>
          <w:lang w:val="en-US"/>
        </w:rPr>
      </w:pPr>
    </w:p>
    <w:p w14:paraId="29D253A3" w14:textId="2C20BF4E"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 xml:space="preserve">Styrelsen föreslår vidare att bolagsstämman ska besluta om att godkänna att Bolaget eller annat koncernbolag får överlåta teckningsoptioner till deltagare i Prestationsaktieprogram </w:t>
      </w:r>
      <w:r>
        <w:rPr>
          <w:szCs w:val="22"/>
          <w:lang w:val="sv-SE"/>
        </w:rPr>
        <w:t>2025/2028:3</w:t>
      </w:r>
      <w:r w:rsidRPr="008E348A">
        <w:rPr>
          <w:szCs w:val="22"/>
          <w:lang w:val="sv-SE"/>
        </w:rPr>
        <w:t xml:space="preserve"> utan vederlag i samband med att Prestationsaktier utnyttjas i enlighet med villkoren enligt </w:t>
      </w:r>
      <w:r>
        <w:rPr>
          <w:szCs w:val="22"/>
          <w:u w:val="single"/>
          <w:lang w:val="sv-SE"/>
        </w:rPr>
        <w:t>Bilaga 5</w:t>
      </w:r>
      <w:r w:rsidRPr="008E348A">
        <w:rPr>
          <w:szCs w:val="22"/>
          <w:u w:val="single"/>
          <w:lang w:val="sv-SE"/>
        </w:rPr>
        <w:t xml:space="preserve">a </w:t>
      </w:r>
      <w:r w:rsidRPr="008E348A">
        <w:rPr>
          <w:szCs w:val="22"/>
          <w:lang w:val="sv-SE"/>
        </w:rPr>
        <w:t xml:space="preserve">eller på annat sätt förfoga över teckningsoptionerna för att säkerställa Bolagets åtaganden i anledning av Prestationsaktieprogram </w:t>
      </w:r>
      <w:r>
        <w:rPr>
          <w:szCs w:val="22"/>
          <w:lang w:val="sv-SE"/>
        </w:rPr>
        <w:t>2025/2028:3</w:t>
      </w:r>
      <w:r w:rsidRPr="008E348A">
        <w:rPr>
          <w:szCs w:val="22"/>
          <w:lang w:val="sv-SE"/>
        </w:rPr>
        <w:t>.</w:t>
      </w:r>
    </w:p>
    <w:p w14:paraId="04DF5867" w14:textId="2FCDFF51" w:rsidR="008C6575" w:rsidRPr="008E348A" w:rsidRDefault="008C6575" w:rsidP="008C6575">
      <w:pPr>
        <w:pStyle w:val="ListParagraph"/>
        <w:widowControl w:val="0"/>
        <w:contextualSpacing w:val="0"/>
        <w:rPr>
          <w:szCs w:val="22"/>
          <w:lang w:val="en-US"/>
        </w:rPr>
      </w:pPr>
      <w:r w:rsidRPr="008E348A">
        <w:rPr>
          <w:bCs/>
          <w:i/>
          <w:iCs/>
          <w:szCs w:val="22"/>
          <w:lang w:val="en-US"/>
        </w:rPr>
        <w:t xml:space="preserve">The board of directors further proposes that the </w:t>
      </w:r>
      <w:r>
        <w:rPr>
          <w:bCs/>
          <w:i/>
          <w:iCs/>
          <w:szCs w:val="22"/>
          <w:lang w:val="en-US"/>
        </w:rPr>
        <w:t>annual general</w:t>
      </w:r>
      <w:r w:rsidRPr="008E348A">
        <w:rPr>
          <w:bCs/>
          <w:i/>
          <w:iCs/>
          <w:szCs w:val="22"/>
          <w:lang w:val="en-US"/>
        </w:rPr>
        <w:t xml:space="preserve"> meeting resolves to approve that the Company or another group company may transfer warrants to participants in the Performance Share Program </w:t>
      </w:r>
      <w:r>
        <w:rPr>
          <w:bCs/>
          <w:i/>
          <w:iCs/>
          <w:szCs w:val="22"/>
          <w:lang w:val="en-US"/>
        </w:rPr>
        <w:t>2025/2028:3</w:t>
      </w:r>
      <w:r w:rsidRPr="008E348A">
        <w:rPr>
          <w:bCs/>
          <w:i/>
          <w:iCs/>
          <w:szCs w:val="22"/>
          <w:lang w:val="en-US"/>
        </w:rPr>
        <w:t xml:space="preserve"> free of charge in connection with the exercise of Performance Shares in accordance with the conditions in </w:t>
      </w:r>
      <w:r>
        <w:rPr>
          <w:bCs/>
          <w:i/>
          <w:iCs/>
          <w:szCs w:val="22"/>
          <w:u w:val="single"/>
          <w:lang w:val="en-US"/>
        </w:rPr>
        <w:t>Exhibit 5</w:t>
      </w:r>
      <w:r w:rsidRPr="008E348A">
        <w:rPr>
          <w:bCs/>
          <w:i/>
          <w:iCs/>
          <w:szCs w:val="22"/>
          <w:u w:val="single"/>
          <w:lang w:val="en-US"/>
        </w:rPr>
        <w:t>a</w:t>
      </w:r>
      <w:r w:rsidRPr="008E348A">
        <w:rPr>
          <w:bCs/>
          <w:i/>
          <w:iCs/>
          <w:szCs w:val="22"/>
          <w:lang w:val="en-US"/>
        </w:rPr>
        <w:t xml:space="preserve"> or otherwise dispose of the warrants to secure the Company's commitments due to the Performance Share Program </w:t>
      </w:r>
      <w:r>
        <w:rPr>
          <w:bCs/>
          <w:i/>
          <w:iCs/>
          <w:szCs w:val="22"/>
          <w:lang w:val="en-US"/>
        </w:rPr>
        <w:t>2025/2028:3</w:t>
      </w:r>
      <w:r w:rsidRPr="008E348A">
        <w:rPr>
          <w:bCs/>
          <w:i/>
          <w:iCs/>
          <w:szCs w:val="22"/>
          <w:lang w:val="en-US"/>
        </w:rPr>
        <w:t>.</w:t>
      </w:r>
    </w:p>
    <w:p w14:paraId="074F2623" w14:textId="77777777" w:rsidR="008C6575" w:rsidRPr="008E348A" w:rsidRDefault="008C6575" w:rsidP="008C6575">
      <w:pPr>
        <w:pStyle w:val="ListParagraph"/>
        <w:widowControl w:val="0"/>
        <w:contextualSpacing w:val="0"/>
        <w:rPr>
          <w:szCs w:val="22"/>
          <w:lang w:val="en-US"/>
        </w:rPr>
      </w:pPr>
    </w:p>
    <w:p w14:paraId="0276C178" w14:textId="3E140E6D" w:rsidR="008C6575" w:rsidRPr="008E348A" w:rsidRDefault="008C6575" w:rsidP="00F3012E">
      <w:pPr>
        <w:pStyle w:val="ListParagraph"/>
        <w:widowControl w:val="0"/>
        <w:numPr>
          <w:ilvl w:val="0"/>
          <w:numId w:val="37"/>
        </w:numPr>
        <w:ind w:hanging="720"/>
        <w:contextualSpacing w:val="0"/>
        <w:rPr>
          <w:szCs w:val="22"/>
          <w:lang w:val="sv-SE"/>
        </w:rPr>
      </w:pPr>
      <w:r w:rsidRPr="008E348A">
        <w:rPr>
          <w:szCs w:val="22"/>
          <w:lang w:val="sv-SE"/>
        </w:rPr>
        <w:t xml:space="preserve">Styrelsen ska inte äga rätt att förfoga över teckningsoptionerna för något annat ändamål än för att säkerställa Bolagets åtaganden i anledning av Prestationsaktieprogram </w:t>
      </w:r>
      <w:r>
        <w:rPr>
          <w:szCs w:val="22"/>
          <w:lang w:val="sv-SE"/>
        </w:rPr>
        <w:t>2025/2028:3</w:t>
      </w:r>
      <w:r w:rsidRPr="008E348A">
        <w:rPr>
          <w:szCs w:val="22"/>
          <w:lang w:val="sv-SE"/>
        </w:rPr>
        <w:t>.</w:t>
      </w:r>
    </w:p>
    <w:p w14:paraId="20E8C747" w14:textId="464E1C4D" w:rsidR="008C6575" w:rsidRPr="008E348A" w:rsidRDefault="008C6575" w:rsidP="008C6575">
      <w:pPr>
        <w:pStyle w:val="ListParagraph"/>
        <w:widowControl w:val="0"/>
        <w:contextualSpacing w:val="0"/>
        <w:rPr>
          <w:bCs/>
          <w:i/>
          <w:iCs/>
          <w:szCs w:val="22"/>
          <w:lang w:val="en-US"/>
        </w:rPr>
      </w:pPr>
      <w:r w:rsidRPr="008E348A">
        <w:rPr>
          <w:bCs/>
          <w:i/>
          <w:iCs/>
          <w:szCs w:val="22"/>
          <w:lang w:val="en-US"/>
        </w:rPr>
        <w:t xml:space="preserve">The board of directors shall not have the right to dispose the warrants for any other purpose than to secure the Company's commitments in connection with the Performance Share Program </w:t>
      </w:r>
      <w:r>
        <w:rPr>
          <w:bCs/>
          <w:i/>
          <w:iCs/>
          <w:szCs w:val="22"/>
          <w:lang w:val="en-US"/>
        </w:rPr>
        <w:t>2025/2028:3</w:t>
      </w:r>
      <w:r w:rsidRPr="008E348A">
        <w:rPr>
          <w:bCs/>
          <w:i/>
          <w:iCs/>
          <w:szCs w:val="22"/>
          <w:lang w:val="en-US"/>
        </w:rPr>
        <w:t>.</w:t>
      </w:r>
    </w:p>
    <w:bookmarkEnd w:id="14"/>
    <w:p w14:paraId="1D31A87E" w14:textId="77777777" w:rsidR="008C6575" w:rsidRPr="008E348A" w:rsidRDefault="008C6575" w:rsidP="008C6575">
      <w:pPr>
        <w:pStyle w:val="ListParagraph"/>
        <w:widowControl w:val="0"/>
        <w:contextualSpacing w:val="0"/>
        <w:rPr>
          <w:bCs/>
          <w:i/>
          <w:iCs/>
          <w:szCs w:val="22"/>
          <w:lang w:val="en-US"/>
        </w:rPr>
      </w:pPr>
    </w:p>
    <w:bookmarkEnd w:id="15"/>
    <w:p w14:paraId="1ECD87AA" w14:textId="1519AF03" w:rsidR="00C26F7D" w:rsidRDefault="008C6575" w:rsidP="008C6575">
      <w:pPr>
        <w:pStyle w:val="BodyText"/>
        <w:spacing w:after="0"/>
        <w:jc w:val="center"/>
        <w:rPr>
          <w:szCs w:val="22"/>
        </w:rPr>
      </w:pPr>
      <w:r w:rsidRPr="00545E05">
        <w:rPr>
          <w:szCs w:val="22"/>
        </w:rPr>
        <w:t>* * * * *</w:t>
      </w:r>
    </w:p>
    <w:p w14:paraId="4DDA5382" w14:textId="185F8A35" w:rsidR="00F3012E" w:rsidRDefault="00F3012E" w:rsidP="00C26F7D">
      <w:pPr>
        <w:pStyle w:val="BodyText"/>
        <w:spacing w:after="0"/>
        <w:rPr>
          <w:szCs w:val="22"/>
        </w:rPr>
      </w:pPr>
      <w:r>
        <w:rPr>
          <w:szCs w:val="22"/>
        </w:rPr>
        <w:br w:type="page"/>
      </w:r>
    </w:p>
    <w:p w14:paraId="45954384" w14:textId="2BAF06DF" w:rsidR="00F3012E" w:rsidRPr="00437F01" w:rsidRDefault="00F3012E" w:rsidP="00F3012E">
      <w:pPr>
        <w:pStyle w:val="BodyText"/>
        <w:jc w:val="right"/>
        <w:rPr>
          <w:b/>
        </w:rPr>
      </w:pPr>
      <w:bookmarkStart w:id="16" w:name="swiBeginHere"/>
      <w:bookmarkEnd w:id="16"/>
      <w:proofErr w:type="spellStart"/>
      <w:r w:rsidRPr="00EE396E">
        <w:rPr>
          <w:b/>
          <w:lang w:val="en-US"/>
        </w:rPr>
        <w:lastRenderedPageBreak/>
        <w:t>Bilaga</w:t>
      </w:r>
      <w:proofErr w:type="spellEnd"/>
      <w:r w:rsidRPr="00F86D77">
        <w:rPr>
          <w:b/>
        </w:rPr>
        <w:t xml:space="preserve"> </w:t>
      </w:r>
      <w:r>
        <w:rPr>
          <w:b/>
        </w:rPr>
        <w:t>5c</w:t>
      </w:r>
      <w:r w:rsidRPr="00F86D77">
        <w:rPr>
          <w:b/>
        </w:rPr>
        <w:t>/</w:t>
      </w:r>
      <w:r w:rsidRPr="00F86D77">
        <w:rPr>
          <w:b/>
          <w:i/>
        </w:rPr>
        <w:t xml:space="preserve">Exhibit </w:t>
      </w:r>
      <w:r>
        <w:rPr>
          <w:b/>
          <w:i/>
        </w:rPr>
        <w:t>5c</w:t>
      </w:r>
    </w:p>
    <w:p w14:paraId="0A4BE6D0" w14:textId="7E3EFDCD" w:rsidR="00F3012E" w:rsidRPr="008570D1" w:rsidRDefault="00F3012E" w:rsidP="00F3012E">
      <w:pPr>
        <w:pStyle w:val="BodyText"/>
        <w:jc w:val="center"/>
        <w:rPr>
          <w:b/>
        </w:rPr>
      </w:pPr>
      <w:proofErr w:type="spellStart"/>
      <w:r w:rsidRPr="008570D1">
        <w:rPr>
          <w:b/>
          <w:lang w:val="en-US"/>
        </w:rPr>
        <w:t>Villkor</w:t>
      </w:r>
      <w:proofErr w:type="spellEnd"/>
      <w:r w:rsidRPr="008570D1">
        <w:rPr>
          <w:b/>
          <w:lang w:val="en-US"/>
        </w:rPr>
        <w:t xml:space="preserve"> för </w:t>
      </w:r>
      <w:proofErr w:type="spellStart"/>
      <w:r w:rsidRPr="008570D1">
        <w:rPr>
          <w:b/>
          <w:lang w:val="en-US"/>
        </w:rPr>
        <w:t>teckningsoptioner</w:t>
      </w:r>
      <w:proofErr w:type="spellEnd"/>
      <w:r w:rsidRPr="008570D1">
        <w:rPr>
          <w:b/>
          <w:lang w:val="en-US"/>
        </w:rPr>
        <w:t xml:space="preserve"> </w:t>
      </w:r>
      <w:proofErr w:type="spellStart"/>
      <w:r w:rsidRPr="008570D1">
        <w:rPr>
          <w:b/>
          <w:lang w:val="en-US"/>
        </w:rPr>
        <w:t>i</w:t>
      </w:r>
      <w:proofErr w:type="spellEnd"/>
      <w:r w:rsidRPr="008570D1">
        <w:rPr>
          <w:b/>
          <w:lang w:val="en-US"/>
        </w:rPr>
        <w:t xml:space="preserve"> </w:t>
      </w:r>
      <w:r w:rsidRPr="008570D1">
        <w:rPr>
          <w:b/>
          <w:szCs w:val="22"/>
        </w:rPr>
        <w:t>Biovica International AB</w:t>
      </w:r>
      <w:r w:rsidRPr="008570D1">
        <w:rPr>
          <w:b/>
          <w:lang w:val="en-US"/>
        </w:rPr>
        <w:t xml:space="preserve">, </w:t>
      </w:r>
      <w:proofErr w:type="spellStart"/>
      <w:r w:rsidRPr="008570D1">
        <w:rPr>
          <w:b/>
          <w:lang w:val="en-US"/>
        </w:rPr>
        <w:t>serie</w:t>
      </w:r>
      <w:proofErr w:type="spellEnd"/>
      <w:r w:rsidRPr="008570D1">
        <w:rPr>
          <w:b/>
          <w:lang w:val="en-US"/>
        </w:rPr>
        <w:t xml:space="preserve"> </w:t>
      </w:r>
      <w:r>
        <w:rPr>
          <w:b/>
          <w:lang w:val="en-US"/>
        </w:rPr>
        <w:t>2025/2028:3</w:t>
      </w:r>
      <w:r w:rsidRPr="008570D1">
        <w:rPr>
          <w:b/>
        </w:rPr>
        <w:br/>
      </w:r>
      <w:r w:rsidRPr="008570D1">
        <w:rPr>
          <w:b/>
          <w:i/>
        </w:rPr>
        <w:t>Terms and conditions for Warrants in Biovica International AB, series</w:t>
      </w:r>
      <w:r>
        <w:rPr>
          <w:b/>
          <w:i/>
        </w:rPr>
        <w:t xml:space="preserve"> 2025/2028:3</w:t>
      </w:r>
    </w:p>
    <w:p w14:paraId="1CE27475" w14:textId="77777777" w:rsidR="00F3012E" w:rsidRPr="00207A3F" w:rsidRDefault="00F3012E" w:rsidP="006350FE">
      <w:pPr>
        <w:pStyle w:val="BodyText"/>
        <w:numPr>
          <w:ilvl w:val="0"/>
          <w:numId w:val="56"/>
        </w:numPr>
        <w:spacing w:after="0"/>
        <w:rPr>
          <w:b/>
          <w:bCs/>
        </w:rPr>
      </w:pPr>
      <w:bookmarkStart w:id="17" w:name="_Hlk168920359"/>
      <w:r w:rsidRPr="00F00BEF">
        <w:rPr>
          <w:b/>
          <w:bCs/>
          <w:lang w:val="sv-SE"/>
        </w:rPr>
        <w:t>Definitioner</w:t>
      </w:r>
      <w:r w:rsidRPr="00463D40">
        <w:rPr>
          <w:b/>
          <w:bCs/>
        </w:rPr>
        <w:t>/</w:t>
      </w:r>
      <w:r w:rsidRPr="00463D40">
        <w:rPr>
          <w:b/>
          <w:bCs/>
          <w:i/>
        </w:rPr>
        <w:t>Definitions</w:t>
      </w:r>
    </w:p>
    <w:p w14:paraId="369A7D81" w14:textId="77777777" w:rsidR="00F3012E" w:rsidRPr="00437F01" w:rsidRDefault="00F3012E" w:rsidP="00F3012E">
      <w:pPr>
        <w:pStyle w:val="BodyText"/>
        <w:ind w:left="720"/>
      </w:pPr>
      <w:r w:rsidRPr="00437F01">
        <w:rPr>
          <w:lang w:val="sv-SE"/>
        </w:rPr>
        <w:t xml:space="preserve">I dessa villkor </w:t>
      </w:r>
      <w:r>
        <w:rPr>
          <w:lang w:val="sv-SE"/>
        </w:rPr>
        <w:t>ska</w:t>
      </w:r>
      <w:r w:rsidRPr="00437F01">
        <w:rPr>
          <w:lang w:val="sv-SE"/>
        </w:rPr>
        <w:t xml:space="preserve"> följande benämningar ha den innebörd som anges nedan.</w:t>
      </w:r>
      <w:r w:rsidRPr="00437F01">
        <w:rPr>
          <w:lang w:val="sv-SE"/>
        </w:rPr>
        <w:br/>
      </w:r>
      <w:r w:rsidRPr="00437F01">
        <w:rPr>
          <w:i/>
        </w:rPr>
        <w:t>The following terms</w:t>
      </w:r>
      <w:r>
        <w:rPr>
          <w:i/>
        </w:rPr>
        <w:t xml:space="preserve"> and conditions</w:t>
      </w:r>
      <w:r w:rsidRPr="00437F01">
        <w:rPr>
          <w:i/>
        </w:rPr>
        <w:t xml:space="preserve"> shall have the following meaning when used herein.</w:t>
      </w:r>
    </w:p>
    <w:tbl>
      <w:tblPr>
        <w:tblW w:w="8388" w:type="dxa"/>
        <w:tblInd w:w="612" w:type="dxa"/>
        <w:tblLayout w:type="fixed"/>
        <w:tblLook w:val="0000" w:firstRow="0" w:lastRow="0" w:firstColumn="0" w:lastColumn="0" w:noHBand="0" w:noVBand="0"/>
      </w:tblPr>
      <w:tblGrid>
        <w:gridCol w:w="2520"/>
        <w:gridCol w:w="5868"/>
      </w:tblGrid>
      <w:tr w:rsidR="00F3012E" w:rsidRPr="007F470D" w14:paraId="09661F01" w14:textId="77777777" w:rsidTr="00695A7D">
        <w:tc>
          <w:tcPr>
            <w:tcW w:w="2520" w:type="dxa"/>
          </w:tcPr>
          <w:p w14:paraId="5FCD7EE6" w14:textId="77777777" w:rsidR="00F3012E" w:rsidRPr="00437F01" w:rsidRDefault="00F3012E" w:rsidP="00695A7D">
            <w:pPr>
              <w:pStyle w:val="TableText"/>
            </w:pPr>
            <w:r w:rsidRPr="00437F01">
              <w:t>"</w:t>
            </w:r>
            <w:r w:rsidRPr="00F00BEF">
              <w:rPr>
                <w:b/>
                <w:lang w:val="sv-SE"/>
              </w:rPr>
              <w:t>Aktie</w:t>
            </w:r>
            <w:r w:rsidRPr="00437F01">
              <w:t>"/</w:t>
            </w:r>
            <w:r>
              <w:br/>
            </w:r>
            <w:r w:rsidRPr="00437F01">
              <w:t>"</w:t>
            </w:r>
            <w:r w:rsidRPr="00437F01">
              <w:rPr>
                <w:b/>
                <w:i/>
              </w:rPr>
              <w:t>Share</w:t>
            </w:r>
            <w:r w:rsidRPr="00437F01">
              <w:t>"</w:t>
            </w:r>
          </w:p>
        </w:tc>
        <w:tc>
          <w:tcPr>
            <w:tcW w:w="5868" w:type="dxa"/>
          </w:tcPr>
          <w:p w14:paraId="698A30DE" w14:textId="77777777" w:rsidR="00F3012E" w:rsidRPr="005B7A0E" w:rsidRDefault="00F3012E" w:rsidP="00695A7D">
            <w:pPr>
              <w:pStyle w:val="TableText"/>
              <w:spacing w:after="0"/>
              <w:rPr>
                <w:lang w:val="sv-SE"/>
              </w:rPr>
            </w:pPr>
            <w:r w:rsidRPr="001C3291">
              <w:rPr>
                <w:lang w:val="sv-SE"/>
              </w:rPr>
              <w:t>avser samtliga</w:t>
            </w:r>
            <w:r>
              <w:rPr>
                <w:lang w:val="sv-SE"/>
              </w:rPr>
              <w:t xml:space="preserve"> vid var tid </w:t>
            </w:r>
            <w:r w:rsidRPr="001C3291">
              <w:rPr>
                <w:lang w:val="sv-SE"/>
              </w:rPr>
              <w:t>utgivna aktier i Bolaget,</w:t>
            </w:r>
          </w:p>
          <w:p w14:paraId="7581A364" w14:textId="77777777" w:rsidR="00F3012E" w:rsidRPr="00437F01" w:rsidRDefault="00F3012E" w:rsidP="00695A7D">
            <w:pPr>
              <w:pStyle w:val="TableText"/>
            </w:pPr>
            <w:r w:rsidRPr="00437F01">
              <w:rPr>
                <w:i/>
              </w:rPr>
              <w:t>mean</w:t>
            </w:r>
            <w:r>
              <w:rPr>
                <w:i/>
              </w:rPr>
              <w:t>s</w:t>
            </w:r>
            <w:r w:rsidRPr="00437F01">
              <w:rPr>
                <w:i/>
              </w:rPr>
              <w:t xml:space="preserve"> each </w:t>
            </w:r>
            <w:r w:rsidRPr="005C501C">
              <w:rPr>
                <w:i/>
              </w:rPr>
              <w:t>share</w:t>
            </w:r>
            <w:r w:rsidRPr="00437F01">
              <w:rPr>
                <w:i/>
              </w:rPr>
              <w:t xml:space="preserve"> in the Company issued and outstanding from time to time;</w:t>
            </w:r>
          </w:p>
        </w:tc>
      </w:tr>
      <w:tr w:rsidR="00F3012E" w:rsidRPr="007F470D" w14:paraId="4BA5E5D4" w14:textId="77777777" w:rsidTr="00695A7D">
        <w:tc>
          <w:tcPr>
            <w:tcW w:w="2520" w:type="dxa"/>
          </w:tcPr>
          <w:p w14:paraId="2DC01D97" w14:textId="77777777" w:rsidR="00F3012E" w:rsidRPr="00437F01" w:rsidRDefault="00F3012E" w:rsidP="00695A7D">
            <w:pPr>
              <w:pStyle w:val="TableText"/>
            </w:pPr>
            <w:r w:rsidRPr="00437F01">
              <w:t>"</w:t>
            </w:r>
            <w:r w:rsidRPr="00F00BEF">
              <w:rPr>
                <w:b/>
                <w:lang w:val="sv-SE"/>
              </w:rPr>
              <w:t>Aktiebolagslagen</w:t>
            </w:r>
            <w:r w:rsidRPr="00437F01">
              <w:t>"/</w:t>
            </w:r>
            <w:r>
              <w:br/>
            </w:r>
            <w:r w:rsidRPr="00437F01">
              <w:t>"</w:t>
            </w:r>
            <w:r w:rsidRPr="00437F01">
              <w:rPr>
                <w:b/>
                <w:i/>
              </w:rPr>
              <w:t>Swedish Companies Ac</w:t>
            </w:r>
            <w:r w:rsidRPr="00437F01">
              <w:t>t"</w:t>
            </w:r>
          </w:p>
        </w:tc>
        <w:tc>
          <w:tcPr>
            <w:tcW w:w="5868" w:type="dxa"/>
          </w:tcPr>
          <w:p w14:paraId="3E3BF47C" w14:textId="77777777" w:rsidR="00F3012E" w:rsidRPr="006B6AC0" w:rsidRDefault="00F3012E" w:rsidP="00695A7D">
            <w:pPr>
              <w:pStyle w:val="TableText"/>
              <w:spacing w:after="0"/>
              <w:rPr>
                <w:lang w:val="sv-SE"/>
              </w:rPr>
            </w:pPr>
            <w:r w:rsidRPr="00F00BEF">
              <w:rPr>
                <w:lang w:val="sv-SE"/>
              </w:rPr>
              <w:t>avser aktiebolagslagen (2005:551), i vid var tid gällande lydelse</w:t>
            </w:r>
            <w:r>
              <w:rPr>
                <w:lang w:val="sv-SE"/>
              </w:rPr>
              <w:t>,</w:t>
            </w:r>
          </w:p>
          <w:p w14:paraId="1D1F0F97" w14:textId="77777777" w:rsidR="00F3012E" w:rsidRPr="00437F01" w:rsidRDefault="00F3012E" w:rsidP="00695A7D">
            <w:pPr>
              <w:pStyle w:val="TableText"/>
            </w:pPr>
            <w:r w:rsidRPr="00437F01">
              <w:rPr>
                <w:i/>
              </w:rPr>
              <w:t>means the Swedish Companies Act (2005:551), as amended from time to time;</w:t>
            </w:r>
          </w:p>
        </w:tc>
      </w:tr>
      <w:tr w:rsidR="00F3012E" w:rsidRPr="007F470D" w14:paraId="2CB5A546" w14:textId="77777777" w:rsidTr="00695A7D">
        <w:tc>
          <w:tcPr>
            <w:tcW w:w="2520" w:type="dxa"/>
          </w:tcPr>
          <w:p w14:paraId="366EC4EB" w14:textId="77777777" w:rsidR="00F3012E" w:rsidRPr="00437F01" w:rsidRDefault="00F3012E" w:rsidP="00695A7D">
            <w:pPr>
              <w:pStyle w:val="TableText"/>
            </w:pPr>
            <w:r w:rsidRPr="00437F01">
              <w:t>"</w:t>
            </w:r>
            <w:r w:rsidRPr="00437F01">
              <w:rPr>
                <w:b/>
              </w:rPr>
              <w:t>Bank</w:t>
            </w:r>
            <w:r w:rsidRPr="00437F01">
              <w:t>"/</w:t>
            </w:r>
            <w:r>
              <w:t xml:space="preserve"> </w:t>
            </w:r>
            <w:r>
              <w:br/>
            </w:r>
            <w:r w:rsidRPr="00437F01">
              <w:t>"</w:t>
            </w:r>
            <w:r w:rsidRPr="00437F01">
              <w:rPr>
                <w:b/>
                <w:i/>
              </w:rPr>
              <w:t>Bank</w:t>
            </w:r>
            <w:r w:rsidRPr="00437F01">
              <w:t>"</w:t>
            </w:r>
          </w:p>
        </w:tc>
        <w:tc>
          <w:tcPr>
            <w:tcW w:w="5868" w:type="dxa"/>
          </w:tcPr>
          <w:p w14:paraId="5285291C" w14:textId="77777777" w:rsidR="00F3012E" w:rsidRPr="005B7A0E" w:rsidRDefault="00F3012E" w:rsidP="00695A7D">
            <w:pPr>
              <w:pStyle w:val="TableText"/>
              <w:spacing w:after="0"/>
              <w:rPr>
                <w:lang w:val="sv-SE"/>
              </w:rPr>
            </w:pPr>
            <w:r w:rsidRPr="005B7A0E">
              <w:rPr>
                <w:lang w:val="sv-SE"/>
              </w:rPr>
              <w:t>avser den bank eller kontoförande institut som Bolaget använder för åtgärder relaterade till Teckningsoptionerna,</w:t>
            </w:r>
          </w:p>
          <w:p w14:paraId="59870AC9" w14:textId="77777777" w:rsidR="00F3012E" w:rsidRPr="00437F01" w:rsidRDefault="00F3012E" w:rsidP="00695A7D">
            <w:pPr>
              <w:pStyle w:val="TableText"/>
            </w:pPr>
            <w:r w:rsidRPr="00437F01">
              <w:rPr>
                <w:i/>
              </w:rPr>
              <w:t xml:space="preserve">means the bank or account operator that the </w:t>
            </w:r>
            <w:r>
              <w:rPr>
                <w:i/>
              </w:rPr>
              <w:t>C</w:t>
            </w:r>
            <w:r w:rsidRPr="00437F01">
              <w:rPr>
                <w:i/>
              </w:rPr>
              <w:t>ompany uses for actions related to the Warrants</w:t>
            </w:r>
            <w:r w:rsidRPr="00437F01">
              <w:t>;</w:t>
            </w:r>
          </w:p>
        </w:tc>
      </w:tr>
      <w:tr w:rsidR="00F3012E" w:rsidRPr="007F470D" w14:paraId="34BB3099" w14:textId="77777777" w:rsidTr="00695A7D">
        <w:trPr>
          <w:trHeight w:val="1025"/>
        </w:trPr>
        <w:tc>
          <w:tcPr>
            <w:tcW w:w="2520" w:type="dxa"/>
          </w:tcPr>
          <w:p w14:paraId="4F92499E" w14:textId="77777777" w:rsidR="00F3012E" w:rsidRPr="00437F01" w:rsidRDefault="00F3012E" w:rsidP="00695A7D">
            <w:pPr>
              <w:pStyle w:val="TableText"/>
            </w:pPr>
            <w:r w:rsidRPr="00437F01">
              <w:t>"</w:t>
            </w:r>
            <w:r w:rsidRPr="00F00BEF">
              <w:rPr>
                <w:b/>
                <w:lang w:val="sv-SE"/>
              </w:rPr>
              <w:t>Bankdag</w:t>
            </w:r>
            <w:r w:rsidRPr="00437F01">
              <w:t>"/</w:t>
            </w:r>
            <w:r>
              <w:br/>
            </w:r>
            <w:r w:rsidRPr="00437F01">
              <w:t>"</w:t>
            </w:r>
            <w:r w:rsidRPr="00437F01">
              <w:rPr>
                <w:b/>
                <w:i/>
              </w:rPr>
              <w:t>Business Day</w:t>
            </w:r>
            <w:r w:rsidRPr="00437F01">
              <w:t>"</w:t>
            </w:r>
          </w:p>
        </w:tc>
        <w:tc>
          <w:tcPr>
            <w:tcW w:w="5868" w:type="dxa"/>
          </w:tcPr>
          <w:p w14:paraId="3A1F0E69" w14:textId="77777777" w:rsidR="00F3012E" w:rsidRPr="005B7A0E" w:rsidRDefault="00F3012E" w:rsidP="00695A7D">
            <w:pPr>
              <w:pStyle w:val="TableText"/>
              <w:spacing w:after="0"/>
              <w:rPr>
                <w:lang w:val="sv-SE"/>
              </w:rPr>
            </w:pPr>
            <w:r w:rsidRPr="005B7A0E">
              <w:rPr>
                <w:lang w:val="sv-SE"/>
              </w:rPr>
              <w:t>avser dag som inte är söndag eller annan allmän helgdag och på vilken svenska banker är öppna för allmänheten,</w:t>
            </w:r>
          </w:p>
          <w:p w14:paraId="5478AE15" w14:textId="77777777" w:rsidR="00F3012E" w:rsidRPr="005B7A0E" w:rsidRDefault="00F3012E" w:rsidP="00695A7D">
            <w:pPr>
              <w:pStyle w:val="TableText"/>
            </w:pPr>
            <w:r w:rsidRPr="00437F01">
              <w:rPr>
                <w:i/>
              </w:rPr>
              <w:t xml:space="preserve">means a day that is not a Sunday or other public holiday and on which Swedish banks are open to the </w:t>
            </w:r>
            <w:proofErr w:type="gramStart"/>
            <w:r w:rsidRPr="00437F01">
              <w:rPr>
                <w:i/>
              </w:rPr>
              <w:t>general public</w:t>
            </w:r>
            <w:proofErr w:type="gramEnd"/>
            <w:r w:rsidRPr="00437F01">
              <w:rPr>
                <w:i/>
              </w:rPr>
              <w:t>;</w:t>
            </w:r>
          </w:p>
        </w:tc>
      </w:tr>
      <w:tr w:rsidR="00F3012E" w:rsidRPr="007F470D" w14:paraId="7BD78EAE" w14:textId="77777777" w:rsidTr="00695A7D">
        <w:tc>
          <w:tcPr>
            <w:tcW w:w="2520" w:type="dxa"/>
          </w:tcPr>
          <w:p w14:paraId="0C4436AD" w14:textId="77777777" w:rsidR="00F3012E" w:rsidRPr="00437F01" w:rsidRDefault="00F3012E" w:rsidP="00695A7D">
            <w:pPr>
              <w:pStyle w:val="TableText"/>
            </w:pPr>
            <w:r w:rsidRPr="00437F01">
              <w:t>"</w:t>
            </w:r>
            <w:r w:rsidRPr="00F00BEF">
              <w:rPr>
                <w:b/>
                <w:lang w:val="sv-SE"/>
              </w:rPr>
              <w:t>Bolaget</w:t>
            </w:r>
            <w:r w:rsidRPr="00437F01">
              <w:t>"/</w:t>
            </w:r>
            <w:r>
              <w:br/>
            </w:r>
            <w:r w:rsidRPr="00437F01">
              <w:t>"</w:t>
            </w:r>
            <w:r w:rsidRPr="00437F01">
              <w:rPr>
                <w:b/>
                <w:i/>
              </w:rPr>
              <w:t>Company</w:t>
            </w:r>
            <w:r w:rsidRPr="00437F01">
              <w:t>"</w:t>
            </w:r>
          </w:p>
        </w:tc>
        <w:tc>
          <w:tcPr>
            <w:tcW w:w="5868" w:type="dxa"/>
          </w:tcPr>
          <w:p w14:paraId="2FF23D33" w14:textId="77777777" w:rsidR="00F3012E" w:rsidRPr="00EE396E" w:rsidRDefault="00F3012E" w:rsidP="00695A7D">
            <w:pPr>
              <w:pStyle w:val="TableText"/>
              <w:spacing w:after="0"/>
              <w:rPr>
                <w:lang w:val="sv-SE"/>
              </w:rPr>
            </w:pPr>
            <w:r w:rsidRPr="00EE396E">
              <w:rPr>
                <w:lang w:val="sv-SE"/>
              </w:rPr>
              <w:t xml:space="preserve">avser </w:t>
            </w:r>
            <w:r w:rsidRPr="00EE396E">
              <w:rPr>
                <w:szCs w:val="22"/>
                <w:lang w:val="sv-SE"/>
              </w:rPr>
              <w:t xml:space="preserve">Biovica International AB, org.nr </w:t>
            </w:r>
            <w:proofErr w:type="gramStart"/>
            <w:r w:rsidRPr="00EE396E">
              <w:rPr>
                <w:szCs w:val="22"/>
                <w:lang w:val="sv-SE"/>
              </w:rPr>
              <w:t>556774-6150</w:t>
            </w:r>
            <w:proofErr w:type="gramEnd"/>
            <w:r w:rsidRPr="00EE396E">
              <w:rPr>
                <w:lang w:val="sv-SE"/>
              </w:rPr>
              <w:t>,</w:t>
            </w:r>
          </w:p>
          <w:p w14:paraId="7B22A9C3" w14:textId="77777777" w:rsidR="00F3012E" w:rsidRPr="00437F01" w:rsidRDefault="00F3012E" w:rsidP="00695A7D">
            <w:pPr>
              <w:pStyle w:val="TableText"/>
            </w:pPr>
            <w:r w:rsidRPr="00437F01">
              <w:rPr>
                <w:i/>
              </w:rPr>
              <w:t xml:space="preserve">means </w:t>
            </w:r>
            <w:r w:rsidRPr="008570D1">
              <w:rPr>
                <w:i/>
              </w:rPr>
              <w:t xml:space="preserve">Biovica International AB, </w:t>
            </w:r>
            <w:r>
              <w:rPr>
                <w:i/>
              </w:rPr>
              <w:t>reg</w:t>
            </w:r>
            <w:r w:rsidRPr="008570D1">
              <w:rPr>
                <w:i/>
              </w:rPr>
              <w:t>.</w:t>
            </w:r>
            <w:r>
              <w:rPr>
                <w:i/>
              </w:rPr>
              <w:t xml:space="preserve"> no</w:t>
            </w:r>
            <w:r w:rsidRPr="008570D1">
              <w:rPr>
                <w:i/>
              </w:rPr>
              <w:t xml:space="preserve"> 556774-6150</w:t>
            </w:r>
            <w:r w:rsidRPr="00437F01">
              <w:rPr>
                <w:i/>
              </w:rPr>
              <w:t>;</w:t>
            </w:r>
          </w:p>
        </w:tc>
      </w:tr>
      <w:tr w:rsidR="00F3012E" w:rsidRPr="007F470D" w14:paraId="70E55654" w14:textId="77777777" w:rsidTr="00695A7D">
        <w:tc>
          <w:tcPr>
            <w:tcW w:w="2520" w:type="dxa"/>
          </w:tcPr>
          <w:p w14:paraId="17899855" w14:textId="77777777" w:rsidR="00F3012E" w:rsidRPr="00437F01" w:rsidRDefault="00F3012E" w:rsidP="00695A7D">
            <w:pPr>
              <w:pStyle w:val="TableText"/>
            </w:pPr>
            <w:r w:rsidRPr="00437F01">
              <w:t>"</w:t>
            </w:r>
            <w:r w:rsidRPr="00437F01">
              <w:rPr>
                <w:b/>
              </w:rPr>
              <w:t>Euroclear</w:t>
            </w:r>
            <w:r w:rsidRPr="00437F01">
              <w:t>"</w:t>
            </w:r>
            <w:r>
              <w:t>/</w:t>
            </w:r>
            <w:r>
              <w:br/>
              <w:t>"</w:t>
            </w:r>
            <w:r w:rsidRPr="006B6AC0">
              <w:rPr>
                <w:b/>
                <w:bCs/>
                <w:i/>
                <w:iCs/>
              </w:rPr>
              <w:t>Euroclear</w:t>
            </w:r>
            <w:r>
              <w:t>"</w:t>
            </w:r>
          </w:p>
        </w:tc>
        <w:tc>
          <w:tcPr>
            <w:tcW w:w="5868" w:type="dxa"/>
          </w:tcPr>
          <w:p w14:paraId="14A5B6BE" w14:textId="77777777" w:rsidR="00F3012E" w:rsidRPr="005B7A0E" w:rsidRDefault="00F3012E" w:rsidP="00695A7D">
            <w:pPr>
              <w:pStyle w:val="TableText"/>
              <w:spacing w:after="0"/>
              <w:rPr>
                <w:lang w:val="sv-SE"/>
              </w:rPr>
            </w:pPr>
            <w:r w:rsidRPr="005B7A0E">
              <w:rPr>
                <w:lang w:val="sv-SE"/>
              </w:rPr>
              <w:t>avser Euroclear Sweden AB eller annan värdepapperscentral enligt lagen (1998:1479) om värdepapperscentraler och kontoföring av finansiella instrument,</w:t>
            </w:r>
          </w:p>
          <w:p w14:paraId="346063E7" w14:textId="77777777" w:rsidR="00F3012E" w:rsidRPr="004A63E5" w:rsidRDefault="00F3012E" w:rsidP="00695A7D">
            <w:pPr>
              <w:pStyle w:val="TableText"/>
            </w:pPr>
            <w:r w:rsidRPr="00437F01">
              <w:rPr>
                <w:i/>
              </w:rPr>
              <w:t xml:space="preserve">means Euroclear Sweden AB or other central securities depository (Sw. </w:t>
            </w:r>
            <w:proofErr w:type="spellStart"/>
            <w:r w:rsidRPr="00437F01">
              <w:rPr>
                <w:i/>
              </w:rPr>
              <w:t>värdepapperscentral</w:t>
            </w:r>
            <w:proofErr w:type="spellEnd"/>
            <w:r w:rsidRPr="00437F01">
              <w:rPr>
                <w:i/>
              </w:rPr>
              <w:t xml:space="preserve">) in accordance with the </w:t>
            </w:r>
            <w:r>
              <w:rPr>
                <w:i/>
              </w:rPr>
              <w:t xml:space="preserve">Swedish </w:t>
            </w:r>
            <w:r w:rsidRPr="00437F01">
              <w:rPr>
                <w:i/>
              </w:rPr>
              <w:t>Central Securities Deposit</w:t>
            </w:r>
            <w:r>
              <w:rPr>
                <w:i/>
              </w:rPr>
              <w:t>ories</w:t>
            </w:r>
            <w:r w:rsidRPr="00437F01">
              <w:rPr>
                <w:i/>
              </w:rPr>
              <w:t xml:space="preserve"> and Financial Instrument Accounts Act (1998:1479).</w:t>
            </w:r>
          </w:p>
        </w:tc>
      </w:tr>
      <w:tr w:rsidR="00F3012E" w:rsidRPr="00437F01" w14:paraId="13A186CB" w14:textId="77777777" w:rsidTr="00695A7D">
        <w:tc>
          <w:tcPr>
            <w:tcW w:w="2520" w:type="dxa"/>
          </w:tcPr>
          <w:p w14:paraId="292DC44F" w14:textId="77777777" w:rsidR="00F3012E" w:rsidRPr="00437F01" w:rsidRDefault="00F3012E" w:rsidP="00695A7D">
            <w:pPr>
              <w:pStyle w:val="TableText"/>
            </w:pPr>
            <w:r w:rsidRPr="00437F01">
              <w:t>"</w:t>
            </w:r>
            <w:r>
              <w:rPr>
                <w:b/>
                <w:lang w:val="sv-SE"/>
              </w:rPr>
              <w:t>Optionsinnehavare</w:t>
            </w:r>
            <w:r w:rsidRPr="00437F01">
              <w:t>"/</w:t>
            </w:r>
            <w:r>
              <w:br/>
            </w:r>
            <w:r w:rsidRPr="00437F01">
              <w:t>"</w:t>
            </w:r>
            <w:r w:rsidRPr="00437F01">
              <w:rPr>
                <w:b/>
                <w:i/>
              </w:rPr>
              <w:t xml:space="preserve">Warrant </w:t>
            </w:r>
            <w:r>
              <w:rPr>
                <w:b/>
                <w:i/>
              </w:rPr>
              <w:t>H</w:t>
            </w:r>
            <w:r w:rsidRPr="00437F01">
              <w:rPr>
                <w:b/>
                <w:i/>
              </w:rPr>
              <w:t>older</w:t>
            </w:r>
            <w:r w:rsidRPr="00437F01">
              <w:t>"</w:t>
            </w:r>
          </w:p>
        </w:tc>
        <w:tc>
          <w:tcPr>
            <w:tcW w:w="5868" w:type="dxa"/>
          </w:tcPr>
          <w:p w14:paraId="5BD0E4D6" w14:textId="77777777" w:rsidR="00F3012E" w:rsidRPr="006B6AC0" w:rsidRDefault="00F3012E" w:rsidP="00695A7D">
            <w:pPr>
              <w:pStyle w:val="TableText"/>
              <w:spacing w:after="0"/>
              <w:rPr>
                <w:lang w:val="sv-SE"/>
              </w:rPr>
            </w:pPr>
            <w:r w:rsidRPr="00F00BEF">
              <w:rPr>
                <w:lang w:val="sv-SE"/>
              </w:rPr>
              <w:t>avser innehavare av Teckningsoption</w:t>
            </w:r>
            <w:r>
              <w:rPr>
                <w:lang w:val="sv-SE"/>
              </w:rPr>
              <w:t>er</w:t>
            </w:r>
            <w:r w:rsidRPr="006B6AC0">
              <w:rPr>
                <w:lang w:val="sv-SE"/>
              </w:rPr>
              <w:t>,</w:t>
            </w:r>
          </w:p>
          <w:p w14:paraId="77E7D349" w14:textId="77777777" w:rsidR="00F3012E" w:rsidRPr="00437F01" w:rsidRDefault="00F3012E" w:rsidP="00695A7D">
            <w:pPr>
              <w:pStyle w:val="TableText"/>
            </w:pPr>
            <w:r w:rsidRPr="00437F01">
              <w:rPr>
                <w:i/>
              </w:rPr>
              <w:t xml:space="preserve">means </w:t>
            </w:r>
            <w:r>
              <w:rPr>
                <w:i/>
              </w:rPr>
              <w:t>a</w:t>
            </w:r>
            <w:r w:rsidRPr="00437F01">
              <w:rPr>
                <w:i/>
              </w:rPr>
              <w:t xml:space="preserve"> holder of Warrant</w:t>
            </w:r>
            <w:r>
              <w:rPr>
                <w:i/>
              </w:rPr>
              <w:t>s</w:t>
            </w:r>
            <w:r w:rsidRPr="00437F01">
              <w:rPr>
                <w:i/>
              </w:rPr>
              <w:t>;</w:t>
            </w:r>
          </w:p>
        </w:tc>
      </w:tr>
      <w:tr w:rsidR="00F3012E" w:rsidRPr="007F470D" w14:paraId="003ACA8D" w14:textId="77777777" w:rsidTr="00695A7D">
        <w:tc>
          <w:tcPr>
            <w:tcW w:w="2520" w:type="dxa"/>
          </w:tcPr>
          <w:p w14:paraId="36BCC32F" w14:textId="77777777" w:rsidR="00F3012E" w:rsidRPr="00437F01" w:rsidRDefault="00F3012E" w:rsidP="00695A7D">
            <w:pPr>
              <w:pStyle w:val="TableText"/>
            </w:pPr>
            <w:r w:rsidRPr="00437F01">
              <w:t>"</w:t>
            </w:r>
            <w:r w:rsidRPr="00F00BEF">
              <w:rPr>
                <w:b/>
                <w:lang w:val="sv-SE"/>
              </w:rPr>
              <w:t>Teckning</w:t>
            </w:r>
            <w:r w:rsidRPr="00437F01">
              <w:t>"/</w:t>
            </w:r>
            <w:r>
              <w:br/>
            </w:r>
            <w:r w:rsidRPr="00437F01">
              <w:t>"</w:t>
            </w:r>
            <w:r w:rsidRPr="00437F01">
              <w:rPr>
                <w:b/>
                <w:i/>
              </w:rPr>
              <w:t>Subscription</w:t>
            </w:r>
            <w:r w:rsidRPr="00437F01">
              <w:t>"</w:t>
            </w:r>
          </w:p>
        </w:tc>
        <w:tc>
          <w:tcPr>
            <w:tcW w:w="5868" w:type="dxa"/>
          </w:tcPr>
          <w:p w14:paraId="0298A6B6" w14:textId="77777777" w:rsidR="00F3012E" w:rsidRDefault="00F3012E" w:rsidP="00695A7D">
            <w:pPr>
              <w:pStyle w:val="TableText"/>
              <w:spacing w:after="0"/>
            </w:pPr>
            <w:r w:rsidRPr="00CD6D9C">
              <w:rPr>
                <w:lang w:val="sv-SE"/>
              </w:rPr>
              <w:t>avser teckning av Aktie</w:t>
            </w:r>
            <w:r>
              <w:rPr>
                <w:lang w:val="sv-SE"/>
              </w:rPr>
              <w:t>r genom</w:t>
            </w:r>
            <w:r w:rsidRPr="00CD6D9C">
              <w:rPr>
                <w:lang w:val="sv-SE"/>
              </w:rPr>
              <w:t xml:space="preserve"> utnyttjande av Teckningsoption</w:t>
            </w:r>
            <w:r>
              <w:rPr>
                <w:lang w:val="sv-SE"/>
              </w:rPr>
              <w:t>er</w:t>
            </w:r>
            <w:r w:rsidRPr="00CD6D9C">
              <w:rPr>
                <w:lang w:val="sv-SE"/>
              </w:rPr>
              <w:t xml:space="preserve"> enligt 14 kap</w:t>
            </w:r>
            <w:r>
              <w:rPr>
                <w:lang w:val="sv-SE"/>
              </w:rPr>
              <w:t>.</w:t>
            </w:r>
            <w:r w:rsidRPr="00CD6D9C">
              <w:rPr>
                <w:lang w:val="sv-SE"/>
              </w:rPr>
              <w:t xml:space="preserve"> </w:t>
            </w:r>
            <w:proofErr w:type="spellStart"/>
            <w:r w:rsidRPr="006B6AC0">
              <w:rPr>
                <w:lang w:val="en-US"/>
              </w:rPr>
              <w:t>Aktiebolagslagen</w:t>
            </w:r>
            <w:proofErr w:type="spellEnd"/>
            <w:r w:rsidRPr="006B6AC0">
              <w:rPr>
                <w:lang w:val="en-US"/>
              </w:rPr>
              <w:t>,</w:t>
            </w:r>
          </w:p>
          <w:p w14:paraId="35405648" w14:textId="77777777" w:rsidR="00F3012E" w:rsidRPr="00437F01" w:rsidRDefault="00F3012E" w:rsidP="00695A7D">
            <w:pPr>
              <w:pStyle w:val="TableText"/>
            </w:pPr>
            <w:r w:rsidRPr="00437F01">
              <w:rPr>
                <w:i/>
              </w:rPr>
              <w:t xml:space="preserve">means subscription for </w:t>
            </w:r>
            <w:r>
              <w:rPr>
                <w:i/>
              </w:rPr>
              <w:t>S</w:t>
            </w:r>
            <w:r w:rsidRPr="00437F01">
              <w:rPr>
                <w:i/>
              </w:rPr>
              <w:t xml:space="preserve">hares by </w:t>
            </w:r>
            <w:r>
              <w:rPr>
                <w:i/>
              </w:rPr>
              <w:t>exercising</w:t>
            </w:r>
            <w:r w:rsidRPr="00437F01">
              <w:rPr>
                <w:i/>
              </w:rPr>
              <w:t xml:space="preserve"> Warrant</w:t>
            </w:r>
            <w:r>
              <w:rPr>
                <w:i/>
              </w:rPr>
              <w:t>s</w:t>
            </w:r>
            <w:r w:rsidRPr="00437F01">
              <w:rPr>
                <w:i/>
              </w:rPr>
              <w:t xml:space="preserve"> in accordance with Ch</w:t>
            </w:r>
            <w:r>
              <w:rPr>
                <w:i/>
              </w:rPr>
              <w:t>.</w:t>
            </w:r>
            <w:r w:rsidRPr="00437F01">
              <w:rPr>
                <w:i/>
              </w:rPr>
              <w:t xml:space="preserve"> 14 of the Swedish Companies Act;</w:t>
            </w:r>
          </w:p>
        </w:tc>
      </w:tr>
      <w:tr w:rsidR="00F3012E" w:rsidRPr="007F470D" w14:paraId="04B92BCF" w14:textId="77777777" w:rsidTr="00695A7D">
        <w:tc>
          <w:tcPr>
            <w:tcW w:w="2520" w:type="dxa"/>
          </w:tcPr>
          <w:p w14:paraId="6A7924CA" w14:textId="77777777" w:rsidR="00F3012E" w:rsidRPr="00437F01" w:rsidRDefault="00F3012E" w:rsidP="00695A7D">
            <w:pPr>
              <w:pStyle w:val="TableText"/>
            </w:pPr>
            <w:r w:rsidRPr="00437F01">
              <w:t>"</w:t>
            </w:r>
            <w:r w:rsidRPr="00F00BEF">
              <w:rPr>
                <w:b/>
                <w:lang w:val="sv-SE"/>
              </w:rPr>
              <w:t>Teckningskurs</w:t>
            </w:r>
            <w:r w:rsidRPr="00437F01">
              <w:t>"/</w:t>
            </w:r>
            <w:r>
              <w:br/>
            </w:r>
            <w:r w:rsidRPr="00437F01">
              <w:t>"</w:t>
            </w:r>
            <w:r w:rsidRPr="00437F01">
              <w:rPr>
                <w:b/>
                <w:i/>
              </w:rPr>
              <w:t>Subscription Price</w:t>
            </w:r>
            <w:r w:rsidRPr="00437F01">
              <w:t>"</w:t>
            </w:r>
          </w:p>
        </w:tc>
        <w:tc>
          <w:tcPr>
            <w:tcW w:w="5868" w:type="dxa"/>
          </w:tcPr>
          <w:p w14:paraId="4485419C" w14:textId="77777777" w:rsidR="00F3012E" w:rsidRPr="006B6AC0" w:rsidRDefault="00F3012E" w:rsidP="00695A7D">
            <w:pPr>
              <w:pStyle w:val="TableText"/>
              <w:spacing w:after="0"/>
              <w:rPr>
                <w:lang w:val="sv-SE"/>
              </w:rPr>
            </w:pPr>
            <w:r w:rsidRPr="001C3291">
              <w:rPr>
                <w:lang w:val="sv-SE"/>
              </w:rPr>
              <w:t xml:space="preserve">avser den kurs till vilken Teckning av nya Aktier </w:t>
            </w:r>
            <w:r>
              <w:rPr>
                <w:lang w:val="sv-SE"/>
              </w:rPr>
              <w:t>genom</w:t>
            </w:r>
            <w:r w:rsidRPr="001C3291">
              <w:rPr>
                <w:lang w:val="sv-SE"/>
              </w:rPr>
              <w:t xml:space="preserve"> utnyttjande av Teckningsoption kan ske,</w:t>
            </w:r>
          </w:p>
          <w:p w14:paraId="4732D8EF" w14:textId="77777777" w:rsidR="00F3012E" w:rsidRPr="00437F01" w:rsidRDefault="00F3012E" w:rsidP="00695A7D">
            <w:pPr>
              <w:pStyle w:val="TableText"/>
            </w:pPr>
            <w:r w:rsidRPr="00437F01">
              <w:rPr>
                <w:i/>
              </w:rPr>
              <w:t xml:space="preserve">means the price at which Subscription of new </w:t>
            </w:r>
            <w:r>
              <w:rPr>
                <w:i/>
              </w:rPr>
              <w:t>S</w:t>
            </w:r>
            <w:r w:rsidRPr="00437F01">
              <w:rPr>
                <w:i/>
              </w:rPr>
              <w:t xml:space="preserve">hares, by </w:t>
            </w:r>
            <w:r>
              <w:rPr>
                <w:i/>
              </w:rPr>
              <w:t>exercising</w:t>
            </w:r>
            <w:r w:rsidRPr="00437F01">
              <w:rPr>
                <w:i/>
              </w:rPr>
              <w:t xml:space="preserve"> </w:t>
            </w:r>
            <w:r>
              <w:rPr>
                <w:i/>
              </w:rPr>
              <w:t>a</w:t>
            </w:r>
            <w:r w:rsidRPr="00437F01">
              <w:rPr>
                <w:i/>
              </w:rPr>
              <w:t xml:space="preserve"> Warrant, can be made</w:t>
            </w:r>
            <w:r w:rsidRPr="00437F01">
              <w:t>;</w:t>
            </w:r>
          </w:p>
        </w:tc>
      </w:tr>
      <w:tr w:rsidR="00F3012E" w:rsidRPr="007F470D" w14:paraId="3B52A4A8" w14:textId="77777777" w:rsidTr="00695A7D">
        <w:tc>
          <w:tcPr>
            <w:tcW w:w="2520" w:type="dxa"/>
          </w:tcPr>
          <w:p w14:paraId="4ED255A7" w14:textId="77777777" w:rsidR="00F3012E" w:rsidRPr="00437F01" w:rsidRDefault="00F3012E" w:rsidP="00695A7D">
            <w:pPr>
              <w:pStyle w:val="TableText"/>
            </w:pPr>
            <w:r w:rsidRPr="00437F01">
              <w:t>"</w:t>
            </w:r>
            <w:r w:rsidRPr="00F00BEF">
              <w:rPr>
                <w:b/>
                <w:lang w:val="sv-SE"/>
              </w:rPr>
              <w:t>Teckningsoption</w:t>
            </w:r>
            <w:r w:rsidRPr="00437F01">
              <w:t>"/</w:t>
            </w:r>
            <w:r>
              <w:br/>
            </w:r>
            <w:r w:rsidRPr="00437F01">
              <w:t>"</w:t>
            </w:r>
            <w:r w:rsidRPr="00437F01">
              <w:rPr>
                <w:b/>
                <w:i/>
              </w:rPr>
              <w:t>Warrant</w:t>
            </w:r>
            <w:r w:rsidRPr="00437F01">
              <w:t>"</w:t>
            </w:r>
          </w:p>
        </w:tc>
        <w:tc>
          <w:tcPr>
            <w:tcW w:w="5868" w:type="dxa"/>
          </w:tcPr>
          <w:p w14:paraId="762CBD02" w14:textId="77777777" w:rsidR="00F3012E" w:rsidRPr="006B6AC0" w:rsidRDefault="00F3012E" w:rsidP="00695A7D">
            <w:pPr>
              <w:pStyle w:val="TableText"/>
              <w:spacing w:after="0"/>
              <w:rPr>
                <w:lang w:val="sv-SE"/>
              </w:rPr>
            </w:pPr>
            <w:r w:rsidRPr="001C3291">
              <w:rPr>
                <w:lang w:val="sv-SE"/>
              </w:rPr>
              <w:t>avser rätt att teckna en Aktie mot betalning i pengar enligt dessa villkor,</w:t>
            </w:r>
          </w:p>
          <w:p w14:paraId="2D5BF1A9" w14:textId="77777777" w:rsidR="00F3012E" w:rsidRPr="00437F01" w:rsidRDefault="00F3012E" w:rsidP="00695A7D">
            <w:pPr>
              <w:pStyle w:val="TableText"/>
            </w:pPr>
            <w:r w:rsidRPr="00437F01">
              <w:rPr>
                <w:i/>
              </w:rPr>
              <w:t xml:space="preserve">means a right to subscribe for one new </w:t>
            </w:r>
            <w:r>
              <w:rPr>
                <w:i/>
              </w:rPr>
              <w:t>S</w:t>
            </w:r>
            <w:r w:rsidRPr="00437F01">
              <w:rPr>
                <w:i/>
              </w:rPr>
              <w:t>hare against cash payment in accordance with these terms</w:t>
            </w:r>
            <w:r>
              <w:rPr>
                <w:i/>
              </w:rPr>
              <w:t xml:space="preserve"> and </w:t>
            </w:r>
            <w:proofErr w:type="gramStart"/>
            <w:r>
              <w:rPr>
                <w:i/>
              </w:rPr>
              <w:t>conditions</w:t>
            </w:r>
            <w:r w:rsidRPr="00437F01">
              <w:rPr>
                <w:i/>
              </w:rPr>
              <w:t>;</w:t>
            </w:r>
            <w:proofErr w:type="gramEnd"/>
          </w:p>
        </w:tc>
      </w:tr>
    </w:tbl>
    <w:p w14:paraId="6C8386B6" w14:textId="77777777" w:rsidR="00F3012E" w:rsidRPr="00207A3F" w:rsidRDefault="00F3012E" w:rsidP="006350FE">
      <w:pPr>
        <w:pStyle w:val="BodyText"/>
        <w:numPr>
          <w:ilvl w:val="0"/>
          <w:numId w:val="56"/>
        </w:numPr>
        <w:spacing w:after="0"/>
        <w:rPr>
          <w:b/>
          <w:bCs/>
        </w:rPr>
      </w:pPr>
      <w:r w:rsidRPr="00CD6D9C">
        <w:rPr>
          <w:b/>
          <w:bCs/>
          <w:lang w:val="sv-SE"/>
        </w:rPr>
        <w:lastRenderedPageBreak/>
        <w:t>Teckningsoptioner och registrering</w:t>
      </w:r>
      <w:r w:rsidRPr="00207A3F">
        <w:rPr>
          <w:b/>
          <w:bCs/>
        </w:rPr>
        <w:t>/</w:t>
      </w:r>
      <w:r w:rsidRPr="00207A3F">
        <w:rPr>
          <w:b/>
          <w:bCs/>
          <w:i/>
        </w:rPr>
        <w:t>Warrants and registration</w:t>
      </w:r>
    </w:p>
    <w:p w14:paraId="0CD3F17A" w14:textId="396D99BB" w:rsidR="00F3012E" w:rsidRPr="00207A3F" w:rsidRDefault="00F3012E" w:rsidP="006350FE">
      <w:pPr>
        <w:pStyle w:val="BodyText"/>
        <w:numPr>
          <w:ilvl w:val="1"/>
          <w:numId w:val="56"/>
        </w:numPr>
        <w:rPr>
          <w:b/>
          <w:bCs/>
        </w:rPr>
      </w:pPr>
      <w:r w:rsidRPr="00207A3F">
        <w:rPr>
          <w:lang w:val="sv-SE"/>
        </w:rPr>
        <w:t xml:space="preserve">Antalet Teckningsoptioner uppgår till sammanlagt högst </w:t>
      </w:r>
      <w:r w:rsidR="003B12B8">
        <w:rPr>
          <w:lang w:val="sv-SE"/>
        </w:rPr>
        <w:t>1 022 400</w:t>
      </w:r>
      <w:r w:rsidRPr="00207A3F">
        <w:rPr>
          <w:lang w:val="sv-SE"/>
        </w:rPr>
        <w:t>.</w:t>
      </w:r>
      <w:r w:rsidRPr="00207A3F">
        <w:rPr>
          <w:lang w:val="sv-SE"/>
        </w:rPr>
        <w:br/>
      </w:r>
      <w:r w:rsidRPr="00207A3F">
        <w:rPr>
          <w:i/>
        </w:rPr>
        <w:t xml:space="preserve">The number of Warrants amounts to a maximum of </w:t>
      </w:r>
      <w:r w:rsidR="003B12B8" w:rsidRPr="003B12B8">
        <w:rPr>
          <w:i/>
        </w:rPr>
        <w:t>1</w:t>
      </w:r>
      <w:r w:rsidR="003B12B8">
        <w:rPr>
          <w:i/>
        </w:rPr>
        <w:t>,</w:t>
      </w:r>
      <w:r w:rsidR="003B12B8" w:rsidRPr="003B12B8">
        <w:rPr>
          <w:i/>
        </w:rPr>
        <w:t>022</w:t>
      </w:r>
      <w:r w:rsidR="003B12B8">
        <w:rPr>
          <w:i/>
        </w:rPr>
        <w:t>,</w:t>
      </w:r>
      <w:r w:rsidR="003B12B8" w:rsidRPr="003B12B8">
        <w:rPr>
          <w:i/>
        </w:rPr>
        <w:t>400</w:t>
      </w:r>
      <w:r>
        <w:rPr>
          <w:i/>
        </w:rPr>
        <w:t xml:space="preserve"> in total</w:t>
      </w:r>
      <w:r w:rsidRPr="00207A3F">
        <w:rPr>
          <w:i/>
        </w:rPr>
        <w:t>.</w:t>
      </w:r>
    </w:p>
    <w:p w14:paraId="39E38473" w14:textId="77777777" w:rsidR="00F3012E" w:rsidRPr="00437F01" w:rsidRDefault="00F3012E" w:rsidP="006350FE">
      <w:pPr>
        <w:pStyle w:val="BodyText"/>
        <w:numPr>
          <w:ilvl w:val="1"/>
          <w:numId w:val="56"/>
        </w:numPr>
      </w:pPr>
      <w:bookmarkStart w:id="18" w:name="_Ref411945344"/>
      <w:bookmarkStart w:id="19" w:name="_Ref167307519"/>
      <w:r w:rsidRPr="00A50800">
        <w:rPr>
          <w:lang w:val="sv-SE"/>
        </w:rPr>
        <w:t xml:space="preserve">Bolaget </w:t>
      </w:r>
      <w:r>
        <w:rPr>
          <w:lang w:val="sv-SE"/>
        </w:rPr>
        <w:t>ska</w:t>
      </w:r>
      <w:r w:rsidRPr="00A50800">
        <w:rPr>
          <w:lang w:val="sv-SE"/>
        </w:rPr>
        <w:t xml:space="preserve"> </w:t>
      </w:r>
      <w:r>
        <w:rPr>
          <w:lang w:val="sv-SE"/>
        </w:rPr>
        <w:t xml:space="preserve">på begäran av Optionsinnehavare </w:t>
      </w:r>
      <w:r w:rsidRPr="00A50800">
        <w:rPr>
          <w:lang w:val="sv-SE"/>
        </w:rPr>
        <w:t>utfärda teckningsoptionsbevis ställda till viss man eller order, representerande en Teckningsoption eller multiplar därav. Bolaget verkställer på begäran av Optionsinnehavare utbyte och växling av teckningsoptionsbevis.</w:t>
      </w:r>
      <w:bookmarkEnd w:id="18"/>
      <w:r w:rsidRPr="00A50800">
        <w:rPr>
          <w:lang w:val="sv-SE"/>
        </w:rPr>
        <w:br/>
      </w:r>
      <w:r w:rsidRPr="00437F01">
        <w:rPr>
          <w:i/>
        </w:rPr>
        <w:t>The Company shall</w:t>
      </w:r>
      <w:r>
        <w:rPr>
          <w:i/>
        </w:rPr>
        <w:t>, upon request from a Warrant Holder,</w:t>
      </w:r>
      <w:r w:rsidRPr="00437F01">
        <w:rPr>
          <w:i/>
        </w:rPr>
        <w:t xml:space="preserve"> issue warrant certificates payable to a certain person or order, each representing one Warrant or multiples thereof. The Company will </w:t>
      </w:r>
      <w:proofErr w:type="spellStart"/>
      <w:proofErr w:type="gramStart"/>
      <w:r w:rsidRPr="00437F01">
        <w:rPr>
          <w:i/>
        </w:rPr>
        <w:t>effect</w:t>
      </w:r>
      <w:proofErr w:type="spellEnd"/>
      <w:proofErr w:type="gramEnd"/>
      <w:r w:rsidRPr="00437F01">
        <w:rPr>
          <w:i/>
        </w:rPr>
        <w:t xml:space="preserve"> exchanges and conversions of Warrant certificates upon request from a </w:t>
      </w:r>
      <w:r>
        <w:rPr>
          <w:i/>
        </w:rPr>
        <w:t xml:space="preserve">Warrant </w:t>
      </w:r>
      <w:r w:rsidRPr="00437F01">
        <w:rPr>
          <w:i/>
        </w:rPr>
        <w:t>Holder.</w:t>
      </w:r>
      <w:bookmarkEnd w:id="19"/>
    </w:p>
    <w:p w14:paraId="685D1348" w14:textId="3421F1FE" w:rsidR="00F3012E" w:rsidRPr="00437F01" w:rsidRDefault="00F3012E" w:rsidP="006350FE">
      <w:pPr>
        <w:pStyle w:val="BodyText"/>
        <w:numPr>
          <w:ilvl w:val="1"/>
          <w:numId w:val="56"/>
        </w:numPr>
      </w:pPr>
      <w:bookmarkStart w:id="20" w:name="_Ref411945474"/>
      <w:bookmarkStart w:id="21" w:name="_Ref167307568"/>
      <w:r w:rsidRPr="00A50800">
        <w:rPr>
          <w:lang w:val="sv-SE"/>
        </w:rPr>
        <w:t xml:space="preserve">Bolagets styrelse </w:t>
      </w:r>
      <w:r>
        <w:rPr>
          <w:lang w:val="sv-SE"/>
        </w:rPr>
        <w:t>ska</w:t>
      </w:r>
      <w:r w:rsidRPr="00A50800">
        <w:rPr>
          <w:lang w:val="sv-SE"/>
        </w:rPr>
        <w:t xml:space="preserve"> äga rätt att fatta beslut om att Teckningsoptionerna </w:t>
      </w:r>
      <w:r>
        <w:rPr>
          <w:lang w:val="sv-SE"/>
        </w:rPr>
        <w:t>ska</w:t>
      </w:r>
      <w:r w:rsidRPr="00A50800">
        <w:rPr>
          <w:lang w:val="sv-SE"/>
        </w:rPr>
        <w:t xml:space="preserve"> registreras av Euroclear i ett avstämningsregister enligt lagen (1998:1479) om värdepapperscentraler och kontoföring av finansiella instrument. För det fall sådant beslut inte fattats </w:t>
      </w:r>
      <w:r>
        <w:rPr>
          <w:lang w:val="sv-SE"/>
        </w:rPr>
        <w:t>ska</w:t>
      </w:r>
      <w:r w:rsidRPr="00A50800">
        <w:rPr>
          <w:lang w:val="sv-SE"/>
        </w:rPr>
        <w:t xml:space="preserve"> vad som stadgas i punkterna </w:t>
      </w:r>
      <w:r>
        <w:fldChar w:fldCharType="begin"/>
      </w:r>
      <w:r>
        <w:rPr>
          <w:lang w:val="sv-SE"/>
        </w:rPr>
        <w:instrText xml:space="preserve"> REF _Ref167307489 \r \h </w:instrText>
      </w:r>
      <w:r>
        <w:fldChar w:fldCharType="separate"/>
      </w:r>
      <w:r w:rsidR="006350FE">
        <w:rPr>
          <w:lang w:val="sv-SE"/>
        </w:rPr>
        <w:t>2.4</w:t>
      </w:r>
      <w:r>
        <w:fldChar w:fldCharType="end"/>
      </w:r>
      <w:r w:rsidRPr="00A50800">
        <w:rPr>
          <w:lang w:val="sv-SE"/>
        </w:rPr>
        <w:t>–</w:t>
      </w:r>
      <w:r>
        <w:fldChar w:fldCharType="begin"/>
      </w:r>
      <w:r>
        <w:rPr>
          <w:lang w:val="sv-SE"/>
        </w:rPr>
        <w:instrText xml:space="preserve"> REF _Ref167307499 \r \h </w:instrText>
      </w:r>
      <w:r>
        <w:fldChar w:fldCharType="separate"/>
      </w:r>
      <w:r w:rsidR="006350FE">
        <w:rPr>
          <w:lang w:val="sv-SE"/>
        </w:rPr>
        <w:t>2.7</w:t>
      </w:r>
      <w:r>
        <w:fldChar w:fldCharType="end"/>
      </w:r>
      <w:r w:rsidRPr="00A50800">
        <w:rPr>
          <w:lang w:val="sv-SE"/>
        </w:rPr>
        <w:t xml:space="preserve"> nedan inte gälla. För det fall sådant beslut fattats </w:t>
      </w:r>
      <w:r>
        <w:rPr>
          <w:lang w:val="sv-SE"/>
        </w:rPr>
        <w:t>ska</w:t>
      </w:r>
      <w:r w:rsidRPr="00A50800">
        <w:rPr>
          <w:lang w:val="sv-SE"/>
        </w:rPr>
        <w:t xml:space="preserve"> vad som stadgas i punkterna </w:t>
      </w:r>
      <w:r>
        <w:fldChar w:fldCharType="begin"/>
      </w:r>
      <w:r>
        <w:rPr>
          <w:lang w:val="sv-SE"/>
        </w:rPr>
        <w:instrText xml:space="preserve"> REF _Ref167307489 \r \h </w:instrText>
      </w:r>
      <w:r>
        <w:fldChar w:fldCharType="separate"/>
      </w:r>
      <w:r w:rsidR="006350FE">
        <w:rPr>
          <w:lang w:val="sv-SE"/>
        </w:rPr>
        <w:t>2.4</w:t>
      </w:r>
      <w:r>
        <w:fldChar w:fldCharType="end"/>
      </w:r>
      <w:r w:rsidRPr="00A50800">
        <w:rPr>
          <w:lang w:val="sv-SE"/>
        </w:rPr>
        <w:t>–</w:t>
      </w:r>
      <w:r>
        <w:fldChar w:fldCharType="begin"/>
      </w:r>
      <w:r>
        <w:rPr>
          <w:lang w:val="sv-SE"/>
        </w:rPr>
        <w:instrText xml:space="preserve"> REF _Ref167307499 \r \h </w:instrText>
      </w:r>
      <w:r>
        <w:fldChar w:fldCharType="separate"/>
      </w:r>
      <w:r w:rsidR="006350FE">
        <w:rPr>
          <w:lang w:val="sv-SE"/>
        </w:rPr>
        <w:t>2.7</w:t>
      </w:r>
      <w:r>
        <w:fldChar w:fldCharType="end"/>
      </w:r>
      <w:r w:rsidRPr="00A50800">
        <w:rPr>
          <w:lang w:val="sv-SE"/>
        </w:rPr>
        <w:t xml:space="preserve"> nedan gälla </w:t>
      </w:r>
      <w:proofErr w:type="gramStart"/>
      <w:r w:rsidRPr="00A50800">
        <w:rPr>
          <w:lang w:val="sv-SE"/>
        </w:rPr>
        <w:t>istället</w:t>
      </w:r>
      <w:proofErr w:type="gramEnd"/>
      <w:r w:rsidRPr="00A50800">
        <w:rPr>
          <w:lang w:val="sv-SE"/>
        </w:rPr>
        <w:t xml:space="preserve"> för vad som stadgas i punkt </w:t>
      </w:r>
      <w:r>
        <w:fldChar w:fldCharType="begin"/>
      </w:r>
      <w:r>
        <w:rPr>
          <w:lang w:val="sv-SE"/>
        </w:rPr>
        <w:instrText xml:space="preserve"> REF _Ref167307519 \r \h </w:instrText>
      </w:r>
      <w:r>
        <w:fldChar w:fldCharType="separate"/>
      </w:r>
      <w:r w:rsidR="006350FE">
        <w:rPr>
          <w:lang w:val="sv-SE"/>
        </w:rPr>
        <w:t>2.2</w:t>
      </w:r>
      <w:r>
        <w:fldChar w:fldCharType="end"/>
      </w:r>
      <w:r w:rsidRPr="00A50800">
        <w:rPr>
          <w:lang w:val="sv-SE"/>
        </w:rPr>
        <w:t xml:space="preserve"> ovan.</w:t>
      </w:r>
      <w:bookmarkEnd w:id="20"/>
      <w:r w:rsidRPr="00A50800">
        <w:rPr>
          <w:lang w:val="sv-SE"/>
        </w:rPr>
        <w:br/>
      </w:r>
      <w:r w:rsidRPr="00437F01">
        <w:rPr>
          <w:i/>
        </w:rPr>
        <w:t xml:space="preserve">The Company's board of directors is entitled to resolve that the Warrants shall be registered with Euroclear in a securities register pursuant to the </w:t>
      </w:r>
      <w:r>
        <w:rPr>
          <w:i/>
        </w:rPr>
        <w:t xml:space="preserve">Swedish </w:t>
      </w:r>
      <w:r w:rsidRPr="00437F01">
        <w:rPr>
          <w:i/>
        </w:rPr>
        <w:t>Central Securities Deposit</w:t>
      </w:r>
      <w:r>
        <w:rPr>
          <w:i/>
        </w:rPr>
        <w:t>o</w:t>
      </w:r>
      <w:r w:rsidRPr="00437F01">
        <w:rPr>
          <w:i/>
        </w:rPr>
        <w:t>ries and Financial Instruments Accounts Act (1998:1479). In case such a resolution is not passed, what is stated in sections</w:t>
      </w:r>
      <w:r>
        <w:rPr>
          <w:i/>
        </w:rPr>
        <w:t xml:space="preserve"> </w:t>
      </w:r>
      <w:r>
        <w:rPr>
          <w:i/>
        </w:rPr>
        <w:fldChar w:fldCharType="begin"/>
      </w:r>
      <w:r>
        <w:rPr>
          <w:i/>
        </w:rPr>
        <w:instrText xml:space="preserve"> REF _Ref167307489 \r \h </w:instrText>
      </w:r>
      <w:r>
        <w:rPr>
          <w:i/>
        </w:rPr>
      </w:r>
      <w:r>
        <w:rPr>
          <w:i/>
        </w:rPr>
        <w:fldChar w:fldCharType="separate"/>
      </w:r>
      <w:r w:rsidR="006350FE">
        <w:rPr>
          <w:i/>
        </w:rPr>
        <w:t>2.4</w:t>
      </w:r>
      <w:r>
        <w:rPr>
          <w:i/>
        </w:rPr>
        <w:fldChar w:fldCharType="end"/>
      </w:r>
      <w:r w:rsidRPr="00437F01">
        <w:rPr>
          <w:i/>
        </w:rPr>
        <w:t>–</w:t>
      </w:r>
      <w:r>
        <w:rPr>
          <w:i/>
        </w:rPr>
        <w:fldChar w:fldCharType="begin"/>
      </w:r>
      <w:r>
        <w:rPr>
          <w:i/>
        </w:rPr>
        <w:instrText xml:space="preserve"> REF _Ref167307499 \r \h </w:instrText>
      </w:r>
      <w:r>
        <w:rPr>
          <w:i/>
        </w:rPr>
      </w:r>
      <w:r>
        <w:rPr>
          <w:i/>
        </w:rPr>
        <w:fldChar w:fldCharType="separate"/>
      </w:r>
      <w:r w:rsidR="006350FE">
        <w:rPr>
          <w:i/>
        </w:rPr>
        <w:t>2.7</w:t>
      </w:r>
      <w:r>
        <w:rPr>
          <w:i/>
        </w:rPr>
        <w:fldChar w:fldCharType="end"/>
      </w:r>
      <w:r w:rsidRPr="00437F01">
        <w:rPr>
          <w:i/>
        </w:rPr>
        <w:t xml:space="preserve"> below shall not apply. In case such a resolution is passed, what is stated in sections</w:t>
      </w:r>
      <w:r>
        <w:rPr>
          <w:i/>
        </w:rPr>
        <w:t xml:space="preserve"> </w:t>
      </w:r>
      <w:r>
        <w:rPr>
          <w:i/>
        </w:rPr>
        <w:fldChar w:fldCharType="begin"/>
      </w:r>
      <w:r>
        <w:rPr>
          <w:i/>
        </w:rPr>
        <w:instrText xml:space="preserve"> REF _Ref167307489 \r \h </w:instrText>
      </w:r>
      <w:r>
        <w:rPr>
          <w:i/>
        </w:rPr>
      </w:r>
      <w:r>
        <w:rPr>
          <w:i/>
        </w:rPr>
        <w:fldChar w:fldCharType="separate"/>
      </w:r>
      <w:r w:rsidR="006350FE">
        <w:rPr>
          <w:i/>
        </w:rPr>
        <w:t>2.4</w:t>
      </w:r>
      <w:r>
        <w:rPr>
          <w:i/>
        </w:rPr>
        <w:fldChar w:fldCharType="end"/>
      </w:r>
      <w:r w:rsidRPr="00437F01">
        <w:rPr>
          <w:i/>
        </w:rPr>
        <w:t>–</w:t>
      </w:r>
      <w:r>
        <w:rPr>
          <w:i/>
        </w:rPr>
        <w:fldChar w:fldCharType="begin"/>
      </w:r>
      <w:r>
        <w:rPr>
          <w:i/>
        </w:rPr>
        <w:instrText xml:space="preserve"> REF _Ref167307499 \r \h </w:instrText>
      </w:r>
      <w:r>
        <w:rPr>
          <w:i/>
        </w:rPr>
      </w:r>
      <w:r>
        <w:rPr>
          <w:i/>
        </w:rPr>
        <w:fldChar w:fldCharType="separate"/>
      </w:r>
      <w:r w:rsidR="006350FE">
        <w:rPr>
          <w:i/>
        </w:rPr>
        <w:t>2.7</w:t>
      </w:r>
      <w:r>
        <w:rPr>
          <w:i/>
        </w:rPr>
        <w:fldChar w:fldCharType="end"/>
      </w:r>
      <w:r w:rsidRPr="00437F01">
        <w:rPr>
          <w:i/>
        </w:rPr>
        <w:t xml:space="preserve"> below shall apply instead of what is stated in section </w:t>
      </w:r>
      <w:r>
        <w:rPr>
          <w:i/>
        </w:rPr>
        <w:fldChar w:fldCharType="begin"/>
      </w:r>
      <w:r>
        <w:rPr>
          <w:i/>
        </w:rPr>
        <w:instrText xml:space="preserve"> REF _Ref167307519 \r \h </w:instrText>
      </w:r>
      <w:r>
        <w:rPr>
          <w:i/>
        </w:rPr>
      </w:r>
      <w:r>
        <w:rPr>
          <w:i/>
        </w:rPr>
        <w:fldChar w:fldCharType="separate"/>
      </w:r>
      <w:r w:rsidR="006350FE">
        <w:rPr>
          <w:i/>
        </w:rPr>
        <w:t>2.2</w:t>
      </w:r>
      <w:r>
        <w:rPr>
          <w:i/>
        </w:rPr>
        <w:fldChar w:fldCharType="end"/>
      </w:r>
      <w:r w:rsidRPr="00437F01">
        <w:rPr>
          <w:i/>
        </w:rPr>
        <w:t xml:space="preserve"> above.</w:t>
      </w:r>
      <w:bookmarkEnd w:id="21"/>
    </w:p>
    <w:p w14:paraId="55B99363" w14:textId="6DEBEA22" w:rsidR="00F3012E" w:rsidRPr="00437F01" w:rsidRDefault="00F3012E" w:rsidP="006350FE">
      <w:pPr>
        <w:pStyle w:val="BodyText"/>
        <w:numPr>
          <w:ilvl w:val="1"/>
          <w:numId w:val="56"/>
        </w:numPr>
      </w:pPr>
      <w:bookmarkStart w:id="22" w:name="_Ref411945729"/>
      <w:bookmarkStart w:id="23" w:name="_Ref167307489"/>
      <w:r w:rsidRPr="00A50800">
        <w:rPr>
          <w:lang w:val="sv-SE"/>
        </w:rPr>
        <w:t xml:space="preserve">Optionsinnehavare </w:t>
      </w:r>
      <w:r>
        <w:rPr>
          <w:lang w:val="sv-SE"/>
        </w:rPr>
        <w:t>ska</w:t>
      </w:r>
      <w:r w:rsidRPr="00A50800">
        <w:rPr>
          <w:lang w:val="sv-SE"/>
        </w:rPr>
        <w:t xml:space="preserve">, efter det att beslut enligt punkt </w:t>
      </w:r>
      <w:r>
        <w:fldChar w:fldCharType="begin"/>
      </w:r>
      <w:r>
        <w:rPr>
          <w:lang w:val="sv-SE"/>
        </w:rPr>
        <w:instrText xml:space="preserve"> REF _Ref167307568 \r \h </w:instrText>
      </w:r>
      <w:r>
        <w:fldChar w:fldCharType="separate"/>
      </w:r>
      <w:r w:rsidR="006350FE">
        <w:rPr>
          <w:lang w:val="sv-SE"/>
        </w:rPr>
        <w:t>2.3</w:t>
      </w:r>
      <w:r>
        <w:fldChar w:fldCharType="end"/>
      </w:r>
      <w:r w:rsidRPr="00A50800">
        <w:rPr>
          <w:lang w:val="sv-SE"/>
        </w:rPr>
        <w:t xml:space="preserve"> fattats, på Bolagets anmaning vara skyldig att omedelbart till Bolaget eller Euroclear inlämna samtliga teckningsoptionsbevis representerande Teckningsoptioner samt meddela Bolaget erforderliga uppgifter om värdepapperskonto på vilket Optionsinnehavarens Teckningsoptioner </w:t>
      </w:r>
      <w:r>
        <w:rPr>
          <w:lang w:val="sv-SE"/>
        </w:rPr>
        <w:t>ska</w:t>
      </w:r>
      <w:r w:rsidRPr="00A50800">
        <w:rPr>
          <w:lang w:val="sv-SE"/>
        </w:rPr>
        <w:t xml:space="preserve"> registreras enligt nedan.</w:t>
      </w:r>
      <w:bookmarkEnd w:id="22"/>
      <w:r w:rsidRPr="00A50800">
        <w:rPr>
          <w:lang w:val="sv-SE"/>
        </w:rPr>
        <w:br/>
      </w:r>
      <w:r w:rsidRPr="00437F01">
        <w:rPr>
          <w:i/>
        </w:rPr>
        <w:t xml:space="preserve">A </w:t>
      </w:r>
      <w:r>
        <w:rPr>
          <w:i/>
        </w:rPr>
        <w:t xml:space="preserve">Warrant </w:t>
      </w:r>
      <w:r w:rsidRPr="00437F01">
        <w:rPr>
          <w:i/>
        </w:rPr>
        <w:t xml:space="preserve">Holder shall, after a resolution according to section </w:t>
      </w:r>
      <w:r>
        <w:rPr>
          <w:i/>
        </w:rPr>
        <w:fldChar w:fldCharType="begin"/>
      </w:r>
      <w:r>
        <w:rPr>
          <w:i/>
        </w:rPr>
        <w:instrText xml:space="preserve"> REF _Ref167307568 \r \h </w:instrText>
      </w:r>
      <w:r>
        <w:rPr>
          <w:i/>
        </w:rPr>
      </w:r>
      <w:r>
        <w:rPr>
          <w:i/>
        </w:rPr>
        <w:fldChar w:fldCharType="separate"/>
      </w:r>
      <w:r w:rsidR="006350FE">
        <w:rPr>
          <w:i/>
        </w:rPr>
        <w:t>2.3</w:t>
      </w:r>
      <w:r>
        <w:rPr>
          <w:i/>
        </w:rPr>
        <w:fldChar w:fldCharType="end"/>
      </w:r>
      <w:r w:rsidRPr="00437F01">
        <w:rPr>
          <w:i/>
        </w:rPr>
        <w:t xml:space="preserve"> has been passed, upon the Company's request be obliged to immediately submit to the Company or Euroclear all the warrant certificates representing the Warrants and supply the Company with the necessary information on the securities account in which the </w:t>
      </w:r>
      <w:r>
        <w:rPr>
          <w:i/>
        </w:rPr>
        <w:t xml:space="preserve">Warrant </w:t>
      </w:r>
      <w:r w:rsidRPr="00437F01">
        <w:rPr>
          <w:i/>
        </w:rPr>
        <w:t>Holder's Warrants shall be registered according to the below.</w:t>
      </w:r>
      <w:bookmarkEnd w:id="23"/>
    </w:p>
    <w:p w14:paraId="4B581BD3" w14:textId="77777777" w:rsidR="00F3012E" w:rsidRPr="00437F01" w:rsidRDefault="00F3012E" w:rsidP="006350FE">
      <w:pPr>
        <w:pStyle w:val="BodyText"/>
        <w:numPr>
          <w:ilvl w:val="1"/>
          <w:numId w:val="56"/>
        </w:numPr>
      </w:pPr>
      <w:r w:rsidRPr="00A50800">
        <w:rPr>
          <w:lang w:val="sv-SE"/>
        </w:rPr>
        <w:t xml:space="preserve">Teckningsoptionerna </w:t>
      </w:r>
      <w:r>
        <w:rPr>
          <w:lang w:val="sv-SE"/>
        </w:rPr>
        <w:t>ska</w:t>
      </w:r>
      <w:r w:rsidRPr="00A50800">
        <w:rPr>
          <w:lang w:val="sv-SE"/>
        </w:rPr>
        <w:t xml:space="preserve"> registreras av Euroclear i ett avstämningsregister enligt lagen (1998:1479) om värdepapperscentraler och kontoföring av finansiella instrument, till följd varav inga fysiska värdepapper </w:t>
      </w:r>
      <w:r>
        <w:rPr>
          <w:lang w:val="sv-SE"/>
        </w:rPr>
        <w:t>ska</w:t>
      </w:r>
      <w:r w:rsidRPr="00A50800">
        <w:rPr>
          <w:lang w:val="sv-SE"/>
        </w:rPr>
        <w:t xml:space="preserve"> utges.</w:t>
      </w:r>
      <w:r w:rsidRPr="00A50800">
        <w:rPr>
          <w:lang w:val="sv-SE"/>
        </w:rPr>
        <w:br/>
      </w:r>
      <w:r w:rsidRPr="00437F01">
        <w:rPr>
          <w:i/>
        </w:rPr>
        <w:t xml:space="preserve">The Warrants shall be registered by Euroclear in a securities register pursuant to the </w:t>
      </w:r>
      <w:r>
        <w:rPr>
          <w:i/>
        </w:rPr>
        <w:t xml:space="preserve">Swedish </w:t>
      </w:r>
      <w:r w:rsidRPr="00437F01">
        <w:rPr>
          <w:i/>
        </w:rPr>
        <w:t>Central Securities Deposit</w:t>
      </w:r>
      <w:r>
        <w:rPr>
          <w:i/>
        </w:rPr>
        <w:t>o</w:t>
      </w:r>
      <w:r w:rsidRPr="00437F01">
        <w:rPr>
          <w:i/>
        </w:rPr>
        <w:t>ries and Financial Instruments Accounts Act (1998:147</w:t>
      </w:r>
      <w:r>
        <w:rPr>
          <w:i/>
        </w:rPr>
        <w:t>9</w:t>
      </w:r>
      <w:r w:rsidRPr="00437F01">
        <w:rPr>
          <w:i/>
        </w:rPr>
        <w:t>) and consequently no physical securities will be issued.</w:t>
      </w:r>
    </w:p>
    <w:p w14:paraId="0E3045D9" w14:textId="77777777" w:rsidR="00F3012E" w:rsidRPr="00437F01" w:rsidRDefault="00F3012E" w:rsidP="006350FE">
      <w:pPr>
        <w:pStyle w:val="BodyText"/>
        <w:numPr>
          <w:ilvl w:val="1"/>
          <w:numId w:val="56"/>
        </w:numPr>
      </w:pPr>
      <w:bookmarkStart w:id="24" w:name="_Ref461130153"/>
      <w:bookmarkStart w:id="25" w:name="_Ref167307610"/>
      <w:r w:rsidRPr="00A50800">
        <w:rPr>
          <w:lang w:val="sv-SE"/>
        </w:rPr>
        <w:t xml:space="preserve">Teckningsoptionerna registreras för </w:t>
      </w:r>
      <w:r>
        <w:rPr>
          <w:lang w:val="sv-SE"/>
        </w:rPr>
        <w:t>Optionsinnehavare</w:t>
      </w:r>
      <w:r w:rsidRPr="00A50800">
        <w:rPr>
          <w:lang w:val="sv-SE"/>
        </w:rPr>
        <w:t xml:space="preserve">ns räkning på konto i Bolagets avstämningsregister. </w:t>
      </w:r>
      <w:proofErr w:type="spellStart"/>
      <w:r w:rsidRPr="006B6AC0">
        <w:rPr>
          <w:lang w:val="en-US"/>
        </w:rPr>
        <w:t>Registreringar</w:t>
      </w:r>
      <w:proofErr w:type="spellEnd"/>
      <w:r w:rsidRPr="006B6AC0">
        <w:rPr>
          <w:lang w:val="en-US"/>
        </w:rPr>
        <w:t xml:space="preserve"> </w:t>
      </w:r>
      <w:proofErr w:type="spellStart"/>
      <w:r w:rsidRPr="006B6AC0">
        <w:rPr>
          <w:lang w:val="en-US"/>
        </w:rPr>
        <w:t>avseende</w:t>
      </w:r>
      <w:proofErr w:type="spellEnd"/>
      <w:r w:rsidRPr="006B6AC0">
        <w:rPr>
          <w:lang w:val="en-US"/>
        </w:rPr>
        <w:t xml:space="preserve"> </w:t>
      </w:r>
      <w:proofErr w:type="spellStart"/>
      <w:r w:rsidRPr="006B6AC0">
        <w:rPr>
          <w:lang w:val="en-US"/>
        </w:rPr>
        <w:t>Teckningsoptionerna</w:t>
      </w:r>
      <w:proofErr w:type="spellEnd"/>
      <w:r w:rsidRPr="006B6AC0">
        <w:rPr>
          <w:lang w:val="en-US"/>
        </w:rPr>
        <w:t xml:space="preserve"> ska </w:t>
      </w:r>
      <w:proofErr w:type="spellStart"/>
      <w:r w:rsidRPr="006B6AC0">
        <w:rPr>
          <w:lang w:val="en-US"/>
        </w:rPr>
        <w:t>ombesörjas</w:t>
      </w:r>
      <w:proofErr w:type="spellEnd"/>
      <w:r w:rsidRPr="006B6AC0">
        <w:rPr>
          <w:lang w:val="en-US"/>
        </w:rPr>
        <w:t xml:space="preserve"> av Banken.</w:t>
      </w:r>
      <w:bookmarkEnd w:id="24"/>
      <w:r w:rsidRPr="006B6AC0">
        <w:rPr>
          <w:lang w:val="en-US"/>
        </w:rPr>
        <w:br/>
      </w:r>
      <w:r w:rsidRPr="00437F01">
        <w:rPr>
          <w:i/>
        </w:rPr>
        <w:t xml:space="preserve">The Warrants are registered on an account in the Company's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register on behalf of the </w:t>
      </w:r>
      <w:r>
        <w:rPr>
          <w:i/>
        </w:rPr>
        <w:t>Warrant Holder</w:t>
      </w:r>
      <w:r w:rsidRPr="00437F01">
        <w:rPr>
          <w:i/>
        </w:rPr>
        <w:t>. Registrations relating to the Warrants shall be made by the Bank.</w:t>
      </w:r>
      <w:bookmarkEnd w:id="25"/>
    </w:p>
    <w:p w14:paraId="6CF4414A" w14:textId="77777777" w:rsidR="00F3012E" w:rsidRPr="00437F01" w:rsidRDefault="00F3012E" w:rsidP="006350FE">
      <w:pPr>
        <w:pStyle w:val="BodyText"/>
        <w:numPr>
          <w:ilvl w:val="1"/>
          <w:numId w:val="56"/>
        </w:numPr>
      </w:pPr>
      <w:bookmarkStart w:id="26" w:name="_Ref411945730"/>
      <w:bookmarkStart w:id="27" w:name="_Ref167307499"/>
      <w:r w:rsidRPr="00A50800">
        <w:rPr>
          <w:lang w:val="sv-SE"/>
        </w:rPr>
        <w:t xml:space="preserve">För det fall Bolagets styrelse fattat beslut enligt punkt </w:t>
      </w:r>
      <w:r>
        <w:fldChar w:fldCharType="begin"/>
      </w:r>
      <w:r>
        <w:rPr>
          <w:lang w:val="sv-SE"/>
        </w:rPr>
        <w:instrText xml:space="preserve"> REF _Ref167307568 \r \h </w:instrText>
      </w:r>
      <w:r>
        <w:fldChar w:fldCharType="separate"/>
      </w:r>
      <w:r>
        <w:rPr>
          <w:lang w:val="sv-SE"/>
        </w:rPr>
        <w:t>2.3</w:t>
      </w:r>
      <w:r>
        <w:fldChar w:fldCharType="end"/>
      </w:r>
      <w:r w:rsidRPr="00A50800">
        <w:rPr>
          <w:lang w:val="sv-SE"/>
        </w:rPr>
        <w:t xml:space="preserve"> ovan, </w:t>
      </w:r>
      <w:r>
        <w:rPr>
          <w:lang w:val="sv-SE"/>
        </w:rPr>
        <w:t>ska</w:t>
      </w:r>
      <w:r w:rsidRPr="00A50800">
        <w:rPr>
          <w:lang w:val="sv-SE"/>
        </w:rPr>
        <w:t xml:space="preserve"> styrelsen därefter vara oförhindrad att, med de begränsningar som må följa av lag eller annan författning, fatta beslut om att Teckningsoptionerna inte längre </w:t>
      </w:r>
      <w:r>
        <w:rPr>
          <w:lang w:val="sv-SE"/>
        </w:rPr>
        <w:t>ska</w:t>
      </w:r>
      <w:r w:rsidRPr="00A50800">
        <w:rPr>
          <w:lang w:val="sv-SE"/>
        </w:rPr>
        <w:t xml:space="preserve"> vara registrerade av Euroclear i ett avstämningsregister. För det fall sådant sistnämnt beslut fattats </w:t>
      </w:r>
      <w:r>
        <w:rPr>
          <w:lang w:val="sv-SE"/>
        </w:rPr>
        <w:t>ska</w:t>
      </w:r>
      <w:r w:rsidRPr="00A50800">
        <w:rPr>
          <w:lang w:val="sv-SE"/>
        </w:rPr>
        <w:t xml:space="preserve"> vad som stadgas i </w:t>
      </w:r>
      <w:r>
        <w:rPr>
          <w:lang w:val="sv-SE"/>
        </w:rPr>
        <w:t>punkt </w:t>
      </w:r>
      <w:r>
        <w:fldChar w:fldCharType="begin"/>
      </w:r>
      <w:r>
        <w:rPr>
          <w:lang w:val="sv-SE"/>
        </w:rPr>
        <w:instrText xml:space="preserve"> REF _Ref167307519 \r \h </w:instrText>
      </w:r>
      <w:r>
        <w:fldChar w:fldCharType="separate"/>
      </w:r>
      <w:r>
        <w:rPr>
          <w:lang w:val="sv-SE"/>
        </w:rPr>
        <w:t>2.2</w:t>
      </w:r>
      <w:r>
        <w:fldChar w:fldCharType="end"/>
      </w:r>
      <w:r w:rsidRPr="00A50800">
        <w:rPr>
          <w:lang w:val="sv-SE"/>
        </w:rPr>
        <w:t xml:space="preserve"> ovan gälla istället för vad som stadgas i</w:t>
      </w:r>
      <w:r>
        <w:rPr>
          <w:lang w:val="sv-SE"/>
        </w:rPr>
        <w:t xml:space="preserve"> punkterna</w:t>
      </w:r>
      <w:r w:rsidRPr="00A50800">
        <w:rPr>
          <w:lang w:val="sv-SE"/>
        </w:rPr>
        <w:t xml:space="preserve"> </w:t>
      </w:r>
      <w:r>
        <w:fldChar w:fldCharType="begin"/>
      </w:r>
      <w:r>
        <w:rPr>
          <w:lang w:val="sv-SE"/>
        </w:rPr>
        <w:instrText xml:space="preserve"> REF _Ref167307489 \r \h </w:instrText>
      </w:r>
      <w:r>
        <w:fldChar w:fldCharType="separate"/>
      </w:r>
      <w:r>
        <w:rPr>
          <w:lang w:val="sv-SE"/>
        </w:rPr>
        <w:t>2.4</w:t>
      </w:r>
      <w:r>
        <w:fldChar w:fldCharType="end"/>
      </w:r>
      <w:r>
        <w:rPr>
          <w:lang w:val="sv-SE"/>
        </w:rPr>
        <w:t>–</w:t>
      </w:r>
      <w:r>
        <w:fldChar w:fldCharType="begin"/>
      </w:r>
      <w:r>
        <w:rPr>
          <w:lang w:val="sv-SE"/>
        </w:rPr>
        <w:instrText xml:space="preserve"> REF _Ref167307610 \r \h </w:instrText>
      </w:r>
      <w:r>
        <w:fldChar w:fldCharType="separate"/>
      </w:r>
      <w:r>
        <w:rPr>
          <w:lang w:val="sv-SE"/>
        </w:rPr>
        <w:t>2.6</w:t>
      </w:r>
      <w:r>
        <w:fldChar w:fldCharType="end"/>
      </w:r>
      <w:r w:rsidRPr="00A50800">
        <w:rPr>
          <w:lang w:val="sv-SE"/>
        </w:rPr>
        <w:t xml:space="preserve"> ovan.</w:t>
      </w:r>
      <w:bookmarkEnd w:id="26"/>
      <w:r w:rsidRPr="00A50800">
        <w:rPr>
          <w:lang w:val="sv-SE"/>
        </w:rPr>
        <w:br/>
      </w:r>
      <w:r w:rsidRPr="00437F01">
        <w:rPr>
          <w:i/>
        </w:rPr>
        <w:t xml:space="preserve">In the event that the Company's board of directors has passed a resolution in accordance with </w:t>
      </w:r>
      <w:r w:rsidRPr="00437F01">
        <w:rPr>
          <w:i/>
        </w:rPr>
        <w:lastRenderedPageBreak/>
        <w:t xml:space="preserve">section </w:t>
      </w:r>
      <w:r>
        <w:rPr>
          <w:i/>
        </w:rPr>
        <w:fldChar w:fldCharType="begin"/>
      </w:r>
      <w:r>
        <w:rPr>
          <w:i/>
        </w:rPr>
        <w:instrText xml:space="preserve"> REF _Ref167307568 \r \h </w:instrText>
      </w:r>
      <w:r>
        <w:rPr>
          <w:i/>
        </w:rPr>
      </w:r>
      <w:r>
        <w:rPr>
          <w:i/>
        </w:rPr>
        <w:fldChar w:fldCharType="separate"/>
      </w:r>
      <w:r>
        <w:rPr>
          <w:i/>
        </w:rPr>
        <w:t>2.3</w:t>
      </w:r>
      <w:r>
        <w:rPr>
          <w:i/>
        </w:rPr>
        <w:fldChar w:fldCharType="end"/>
      </w:r>
      <w:r w:rsidRPr="00437F01">
        <w:rPr>
          <w:i/>
        </w:rPr>
        <w:t xml:space="preserve"> above, the board of directors will be free to resolve, within the restrictions that may follow from law or other regulations, that the Warrants shall no longer be registered by Euroclear in a securities register. If such a resolution is passed, what is stated in section </w:t>
      </w:r>
      <w:r>
        <w:rPr>
          <w:i/>
        </w:rPr>
        <w:fldChar w:fldCharType="begin"/>
      </w:r>
      <w:r>
        <w:rPr>
          <w:i/>
        </w:rPr>
        <w:instrText xml:space="preserve"> REF _Ref167307519 \r \h </w:instrText>
      </w:r>
      <w:r>
        <w:rPr>
          <w:i/>
        </w:rPr>
      </w:r>
      <w:r>
        <w:rPr>
          <w:i/>
        </w:rPr>
        <w:fldChar w:fldCharType="separate"/>
      </w:r>
      <w:r>
        <w:rPr>
          <w:i/>
        </w:rPr>
        <w:t>2.2</w:t>
      </w:r>
      <w:r>
        <w:rPr>
          <w:i/>
        </w:rPr>
        <w:fldChar w:fldCharType="end"/>
      </w:r>
      <w:r w:rsidRPr="00437F01">
        <w:t xml:space="preserve"> </w:t>
      </w:r>
      <w:r w:rsidRPr="00437F01">
        <w:rPr>
          <w:i/>
        </w:rPr>
        <w:t>above shall apply instead of what is stated in sections</w:t>
      </w:r>
      <w:r>
        <w:rPr>
          <w:i/>
        </w:rPr>
        <w:t xml:space="preserve"> </w:t>
      </w:r>
      <w:r>
        <w:rPr>
          <w:i/>
        </w:rPr>
        <w:fldChar w:fldCharType="begin"/>
      </w:r>
      <w:r>
        <w:rPr>
          <w:i/>
        </w:rPr>
        <w:instrText xml:space="preserve"> REF _Ref167307489 \r \h </w:instrText>
      </w:r>
      <w:r>
        <w:rPr>
          <w:i/>
        </w:rPr>
      </w:r>
      <w:r>
        <w:rPr>
          <w:i/>
        </w:rPr>
        <w:fldChar w:fldCharType="separate"/>
      </w:r>
      <w:r>
        <w:rPr>
          <w:i/>
        </w:rPr>
        <w:t>2.4</w:t>
      </w:r>
      <w:r>
        <w:rPr>
          <w:i/>
        </w:rPr>
        <w:fldChar w:fldCharType="end"/>
      </w:r>
      <w:r w:rsidRPr="00437F01">
        <w:rPr>
          <w:i/>
        </w:rPr>
        <w:t>–</w:t>
      </w:r>
      <w:r>
        <w:rPr>
          <w:i/>
        </w:rPr>
        <w:fldChar w:fldCharType="begin"/>
      </w:r>
      <w:r>
        <w:rPr>
          <w:i/>
        </w:rPr>
        <w:instrText xml:space="preserve"> REF _Ref167307610 \r \h </w:instrText>
      </w:r>
      <w:r>
        <w:rPr>
          <w:i/>
        </w:rPr>
      </w:r>
      <w:r>
        <w:rPr>
          <w:i/>
        </w:rPr>
        <w:fldChar w:fldCharType="separate"/>
      </w:r>
      <w:r>
        <w:rPr>
          <w:i/>
        </w:rPr>
        <w:t>2.6</w:t>
      </w:r>
      <w:r>
        <w:rPr>
          <w:i/>
        </w:rPr>
        <w:fldChar w:fldCharType="end"/>
      </w:r>
      <w:r w:rsidRPr="00437F01">
        <w:rPr>
          <w:i/>
        </w:rPr>
        <w:t xml:space="preserve"> above.</w:t>
      </w:r>
      <w:bookmarkEnd w:id="27"/>
    </w:p>
    <w:p w14:paraId="71799B35" w14:textId="77777777" w:rsidR="00F3012E" w:rsidRPr="00437F01" w:rsidRDefault="00F3012E" w:rsidP="006350FE">
      <w:pPr>
        <w:pStyle w:val="BodyText"/>
        <w:numPr>
          <w:ilvl w:val="0"/>
          <w:numId w:val="56"/>
        </w:numPr>
        <w:spacing w:after="0"/>
        <w:rPr>
          <w:i/>
        </w:rPr>
      </w:pPr>
      <w:bookmarkStart w:id="28" w:name="_Ref177460618"/>
      <w:r w:rsidRPr="00CD6D9C">
        <w:rPr>
          <w:b/>
          <w:bCs/>
          <w:lang w:val="sv-SE"/>
        </w:rPr>
        <w:t xml:space="preserve">Rätt att teckna nya </w:t>
      </w:r>
      <w:r>
        <w:rPr>
          <w:b/>
          <w:bCs/>
          <w:lang w:val="sv-SE"/>
        </w:rPr>
        <w:t>Aktie</w:t>
      </w:r>
      <w:r w:rsidRPr="00CD6D9C">
        <w:rPr>
          <w:b/>
          <w:bCs/>
          <w:lang w:val="sv-SE"/>
        </w:rPr>
        <w:t>r</w:t>
      </w:r>
      <w:r w:rsidRPr="00A50800">
        <w:rPr>
          <w:b/>
          <w:bCs/>
        </w:rPr>
        <w:t>/</w:t>
      </w:r>
      <w:r w:rsidRPr="00A50800">
        <w:rPr>
          <w:b/>
          <w:bCs/>
          <w:i/>
          <w:iCs/>
        </w:rPr>
        <w:t xml:space="preserve">Right to subscribe for new </w:t>
      </w:r>
      <w:r>
        <w:rPr>
          <w:b/>
          <w:bCs/>
          <w:i/>
          <w:iCs/>
        </w:rPr>
        <w:t>Share</w:t>
      </w:r>
      <w:r w:rsidRPr="00A50800">
        <w:rPr>
          <w:b/>
          <w:bCs/>
          <w:i/>
          <w:iCs/>
        </w:rPr>
        <w:t>s</w:t>
      </w:r>
      <w:bookmarkEnd w:id="28"/>
    </w:p>
    <w:p w14:paraId="61442CAC" w14:textId="77777777" w:rsidR="00F3012E" w:rsidRPr="00437F01" w:rsidRDefault="00F3012E" w:rsidP="006350FE">
      <w:pPr>
        <w:pStyle w:val="BodyText"/>
        <w:numPr>
          <w:ilvl w:val="1"/>
          <w:numId w:val="56"/>
        </w:numPr>
      </w:pPr>
      <w:bookmarkStart w:id="29" w:name="_Ref368329667"/>
      <w:bookmarkStart w:id="30" w:name="_Ref381124638"/>
      <w:bookmarkStart w:id="31" w:name="_Ref167307717"/>
      <w:r w:rsidRPr="00A50800">
        <w:rPr>
          <w:lang w:val="sv-SE"/>
        </w:rPr>
        <w:t>O</w:t>
      </w:r>
      <w:r w:rsidRPr="00CD6D9C">
        <w:rPr>
          <w:lang w:val="sv-SE"/>
        </w:rPr>
        <w:t>ptions</w:t>
      </w:r>
      <w:r>
        <w:rPr>
          <w:lang w:val="sv-SE"/>
        </w:rPr>
        <w:t>inne</w:t>
      </w:r>
      <w:r w:rsidRPr="00CD6D9C">
        <w:rPr>
          <w:lang w:val="sv-SE"/>
        </w:rPr>
        <w:t>havar</w:t>
      </w:r>
      <w:r>
        <w:rPr>
          <w:lang w:val="sv-SE"/>
        </w:rPr>
        <w:t>e</w:t>
      </w:r>
      <w:r w:rsidRPr="00CD6D9C">
        <w:rPr>
          <w:lang w:val="sv-SE"/>
        </w:rPr>
        <w:t xml:space="preserve"> </w:t>
      </w:r>
      <w:r>
        <w:rPr>
          <w:lang w:val="sv-SE"/>
        </w:rPr>
        <w:t>ska</w:t>
      </w:r>
      <w:r w:rsidRPr="00CD6D9C">
        <w:rPr>
          <w:lang w:val="sv-SE"/>
        </w:rPr>
        <w:t xml:space="preserve"> </w:t>
      </w:r>
      <w:r>
        <w:rPr>
          <w:lang w:val="sv-SE"/>
        </w:rPr>
        <w:t>ha</w:t>
      </w:r>
      <w:r w:rsidRPr="00CD6D9C">
        <w:rPr>
          <w:lang w:val="sv-SE"/>
        </w:rPr>
        <w:t xml:space="preserve"> rätt att under perioden från </w:t>
      </w:r>
      <w:r w:rsidRPr="008570D1">
        <w:rPr>
          <w:lang w:val="sv-SE"/>
        </w:rPr>
        <w:t>och med registrering hos Bolagsverket till och med den 30 november 202</w:t>
      </w:r>
      <w:r>
        <w:rPr>
          <w:lang w:val="sv-SE"/>
        </w:rPr>
        <w:t>8</w:t>
      </w:r>
      <w:r w:rsidRPr="00356EDF">
        <w:rPr>
          <w:lang w:val="sv-SE"/>
        </w:rPr>
        <w:t>, e</w:t>
      </w:r>
      <w:r w:rsidRPr="00CD6D9C">
        <w:rPr>
          <w:lang w:val="sv-SE"/>
        </w:rPr>
        <w:t xml:space="preserve">ller den tidigare dag som följer av punkt </w:t>
      </w:r>
      <w:r>
        <w:rPr>
          <w:lang w:val="sv-SE"/>
        </w:rPr>
        <w:fldChar w:fldCharType="begin"/>
      </w:r>
      <w:r>
        <w:rPr>
          <w:lang w:val="sv-SE"/>
        </w:rPr>
        <w:instrText xml:space="preserve"> REF _Ref167307664 \r \h </w:instrText>
      </w:r>
      <w:r>
        <w:rPr>
          <w:lang w:val="sv-SE"/>
        </w:rPr>
      </w:r>
      <w:r>
        <w:rPr>
          <w:lang w:val="sv-SE"/>
        </w:rPr>
        <w:fldChar w:fldCharType="separate"/>
      </w:r>
      <w:r>
        <w:rPr>
          <w:lang w:val="sv-SE"/>
        </w:rPr>
        <w:t>8</w:t>
      </w:r>
      <w:r>
        <w:rPr>
          <w:lang w:val="sv-SE"/>
        </w:rPr>
        <w:fldChar w:fldCharType="end"/>
      </w:r>
      <w:r w:rsidRPr="00CD6D9C">
        <w:rPr>
          <w:lang w:val="sv-SE"/>
        </w:rPr>
        <w:t xml:space="preserve"> nedan, för varje Teckningsoption teckna en (1) ny Aktie. </w:t>
      </w:r>
      <w:proofErr w:type="spellStart"/>
      <w:r w:rsidRPr="00EE396E">
        <w:rPr>
          <w:lang w:val="en-US"/>
        </w:rPr>
        <w:t>Teckningskursen</w:t>
      </w:r>
      <w:proofErr w:type="spellEnd"/>
      <w:r w:rsidRPr="00EE396E">
        <w:rPr>
          <w:lang w:val="en-US"/>
        </w:rPr>
        <w:t xml:space="preserve"> per </w:t>
      </w:r>
      <w:proofErr w:type="spellStart"/>
      <w:r w:rsidRPr="00EE396E">
        <w:rPr>
          <w:lang w:val="en-US"/>
        </w:rPr>
        <w:t>Aktie</w:t>
      </w:r>
      <w:proofErr w:type="spellEnd"/>
      <w:r w:rsidRPr="00EE396E">
        <w:rPr>
          <w:lang w:val="en-US"/>
        </w:rPr>
        <w:t xml:space="preserve"> ska </w:t>
      </w:r>
      <w:bookmarkEnd w:id="29"/>
      <w:proofErr w:type="spellStart"/>
      <w:r w:rsidRPr="00EE396E">
        <w:rPr>
          <w:lang w:val="en-US"/>
        </w:rPr>
        <w:t>motsvara</w:t>
      </w:r>
      <w:proofErr w:type="spellEnd"/>
      <w:r w:rsidRPr="00EE396E">
        <w:rPr>
          <w:lang w:val="en-US"/>
        </w:rPr>
        <w:t xml:space="preserve"> </w:t>
      </w:r>
      <w:proofErr w:type="spellStart"/>
      <w:r w:rsidRPr="00EE396E">
        <w:rPr>
          <w:lang w:val="en-US"/>
        </w:rPr>
        <w:t>aktiens</w:t>
      </w:r>
      <w:proofErr w:type="spellEnd"/>
      <w:r w:rsidRPr="00EE396E">
        <w:rPr>
          <w:lang w:val="en-US"/>
        </w:rPr>
        <w:t xml:space="preserve"> </w:t>
      </w:r>
      <w:proofErr w:type="spellStart"/>
      <w:r w:rsidRPr="00EE396E">
        <w:rPr>
          <w:lang w:val="en-US"/>
        </w:rPr>
        <w:t>kvotvärde</w:t>
      </w:r>
      <w:proofErr w:type="spellEnd"/>
      <w:r w:rsidRPr="00EE396E">
        <w:rPr>
          <w:lang w:val="en-US"/>
        </w:rPr>
        <w:t>.</w:t>
      </w:r>
      <w:bookmarkEnd w:id="30"/>
      <w:r w:rsidRPr="00EE396E">
        <w:rPr>
          <w:lang w:val="en-US"/>
        </w:rPr>
        <w:br/>
      </w:r>
      <w:r w:rsidRPr="00437F01">
        <w:rPr>
          <w:i/>
        </w:rPr>
        <w:t>During the period as fro</w:t>
      </w:r>
      <w:r w:rsidRPr="00356EDF">
        <w:rPr>
          <w:i/>
        </w:rPr>
        <w:t xml:space="preserve">m </w:t>
      </w:r>
      <w:r>
        <w:rPr>
          <w:i/>
        </w:rPr>
        <w:t>registration with the Swedish Companies Registration Office up to and including 30 November 2028</w:t>
      </w:r>
      <w:r w:rsidRPr="00356EDF">
        <w:rPr>
          <w:i/>
        </w:rPr>
        <w:t>,</w:t>
      </w:r>
      <w:r w:rsidRPr="00437F01">
        <w:rPr>
          <w:i/>
        </w:rPr>
        <w:t xml:space="preserve"> or the earlier date set forth in section </w:t>
      </w:r>
      <w:r>
        <w:rPr>
          <w:i/>
        </w:rPr>
        <w:fldChar w:fldCharType="begin"/>
      </w:r>
      <w:r>
        <w:rPr>
          <w:i/>
        </w:rPr>
        <w:instrText xml:space="preserve"> REF _Ref167307664 \r \h </w:instrText>
      </w:r>
      <w:r>
        <w:rPr>
          <w:i/>
        </w:rPr>
      </w:r>
      <w:r>
        <w:rPr>
          <w:i/>
        </w:rPr>
        <w:fldChar w:fldCharType="separate"/>
      </w:r>
      <w:r>
        <w:rPr>
          <w:i/>
        </w:rPr>
        <w:t>8</w:t>
      </w:r>
      <w:r>
        <w:rPr>
          <w:i/>
        </w:rPr>
        <w:fldChar w:fldCharType="end"/>
      </w:r>
      <w:r>
        <w:rPr>
          <w:i/>
        </w:rPr>
        <w:t xml:space="preserve"> </w:t>
      </w:r>
      <w:r w:rsidRPr="00437F01">
        <w:rPr>
          <w:i/>
        </w:rPr>
        <w:t xml:space="preserve">below, </w:t>
      </w:r>
      <w:r>
        <w:rPr>
          <w:i/>
        </w:rPr>
        <w:t>Warrant Holder</w:t>
      </w:r>
      <w:r w:rsidRPr="00437F01">
        <w:rPr>
          <w:i/>
        </w:rPr>
        <w:t xml:space="preserve">s </w:t>
      </w:r>
      <w:r>
        <w:rPr>
          <w:i/>
        </w:rPr>
        <w:t>shall be</w:t>
      </w:r>
      <w:r w:rsidRPr="00437F01">
        <w:rPr>
          <w:i/>
        </w:rPr>
        <w:t xml:space="preserve"> entitled to sub</w:t>
      </w:r>
      <w:r w:rsidRPr="00356EDF">
        <w:rPr>
          <w:i/>
        </w:rPr>
        <w:t xml:space="preserve">scribe for one (1) new Share for each Warrant. The Subscription Price per Share shall </w:t>
      </w:r>
      <w:r>
        <w:rPr>
          <w:i/>
        </w:rPr>
        <w:t>correspond to the share's quota value.</w:t>
      </w:r>
      <w:bookmarkEnd w:id="31"/>
    </w:p>
    <w:p w14:paraId="0F72BC65" w14:textId="77777777" w:rsidR="00F3012E" w:rsidRPr="00437F01" w:rsidRDefault="00F3012E" w:rsidP="006350FE">
      <w:pPr>
        <w:pStyle w:val="BodyText"/>
        <w:numPr>
          <w:ilvl w:val="1"/>
          <w:numId w:val="56"/>
        </w:numPr>
      </w:pPr>
      <w:r w:rsidRPr="00356EDF">
        <w:rPr>
          <w:lang w:val="sv-SE"/>
        </w:rPr>
        <w:t xml:space="preserve">Teckningskursen, liksom antalet Aktier som varje Teckningsoption ger rätt att teckna, kan bli föremål för justering i de fall som anges i punkt </w:t>
      </w:r>
      <w:r w:rsidRPr="00356EDF">
        <w:rPr>
          <w:lang w:val="sv-SE"/>
        </w:rPr>
        <w:fldChar w:fldCharType="begin"/>
      </w:r>
      <w:r w:rsidRPr="00356EDF">
        <w:rPr>
          <w:lang w:val="sv-SE"/>
        </w:rPr>
        <w:instrText xml:space="preserve"> REF _Ref167307664 \r \h </w:instrText>
      </w:r>
      <w:r w:rsidRPr="00356EDF">
        <w:rPr>
          <w:lang w:val="sv-SE"/>
        </w:rPr>
      </w:r>
      <w:r w:rsidRPr="00356EDF">
        <w:rPr>
          <w:lang w:val="sv-SE"/>
        </w:rPr>
        <w:fldChar w:fldCharType="separate"/>
      </w:r>
      <w:r>
        <w:rPr>
          <w:lang w:val="sv-SE"/>
        </w:rPr>
        <w:t>8</w:t>
      </w:r>
      <w:r w:rsidRPr="00356EDF">
        <w:rPr>
          <w:lang w:val="sv-SE"/>
        </w:rPr>
        <w:fldChar w:fldCharType="end"/>
      </w:r>
      <w:r w:rsidRPr="00356EDF">
        <w:rPr>
          <w:lang w:val="sv-SE"/>
        </w:rPr>
        <w:t xml:space="preserve"> nedan. </w:t>
      </w:r>
      <w:proofErr w:type="spellStart"/>
      <w:r w:rsidRPr="006B6AC0">
        <w:rPr>
          <w:lang w:val="en-US"/>
        </w:rPr>
        <w:t>Teckningskursen</w:t>
      </w:r>
      <w:proofErr w:type="spellEnd"/>
      <w:r w:rsidRPr="006B6AC0">
        <w:rPr>
          <w:lang w:val="en-US"/>
        </w:rPr>
        <w:t xml:space="preserve"> </w:t>
      </w:r>
      <w:proofErr w:type="spellStart"/>
      <w:r w:rsidRPr="006B6AC0">
        <w:rPr>
          <w:lang w:val="en-US"/>
        </w:rPr>
        <w:t>får</w:t>
      </w:r>
      <w:proofErr w:type="spellEnd"/>
      <w:r w:rsidRPr="006B6AC0">
        <w:rPr>
          <w:lang w:val="en-US"/>
        </w:rPr>
        <w:t xml:space="preserve"> dock </w:t>
      </w:r>
      <w:proofErr w:type="spellStart"/>
      <w:r w:rsidRPr="006B6AC0">
        <w:rPr>
          <w:lang w:val="en-US"/>
        </w:rPr>
        <w:t>aldrig</w:t>
      </w:r>
      <w:proofErr w:type="spellEnd"/>
      <w:r w:rsidRPr="006B6AC0">
        <w:rPr>
          <w:lang w:val="en-US"/>
        </w:rPr>
        <w:t xml:space="preserve"> </w:t>
      </w:r>
      <w:proofErr w:type="spellStart"/>
      <w:r w:rsidRPr="006B6AC0">
        <w:rPr>
          <w:lang w:val="en-US"/>
        </w:rPr>
        <w:t>understiga</w:t>
      </w:r>
      <w:proofErr w:type="spellEnd"/>
      <w:r w:rsidRPr="006B6AC0">
        <w:rPr>
          <w:lang w:val="en-US"/>
        </w:rPr>
        <w:t xml:space="preserve"> </w:t>
      </w:r>
      <w:proofErr w:type="spellStart"/>
      <w:r w:rsidRPr="006B6AC0">
        <w:rPr>
          <w:lang w:val="en-US"/>
        </w:rPr>
        <w:t>Aktiens</w:t>
      </w:r>
      <w:proofErr w:type="spellEnd"/>
      <w:r w:rsidRPr="006B6AC0">
        <w:rPr>
          <w:lang w:val="en-US"/>
        </w:rPr>
        <w:t xml:space="preserve"> </w:t>
      </w:r>
      <w:proofErr w:type="spellStart"/>
      <w:r w:rsidRPr="006B6AC0">
        <w:rPr>
          <w:lang w:val="en-US"/>
        </w:rPr>
        <w:t>kvotvärde</w:t>
      </w:r>
      <w:proofErr w:type="spellEnd"/>
      <w:r w:rsidRPr="006B6AC0">
        <w:rPr>
          <w:lang w:val="en-US"/>
        </w:rPr>
        <w:t>.</w:t>
      </w:r>
      <w:r w:rsidRPr="00437F01">
        <w:br/>
      </w:r>
      <w:r w:rsidRPr="00437F01">
        <w:rPr>
          <w:i/>
        </w:rPr>
        <w:t xml:space="preserve">The Subscription Price as well as the number of </w:t>
      </w:r>
      <w:r>
        <w:rPr>
          <w:i/>
        </w:rPr>
        <w:t>Share</w:t>
      </w:r>
      <w:r w:rsidRPr="00437F01">
        <w:rPr>
          <w:i/>
        </w:rPr>
        <w:t xml:space="preserve">s which each Warrant entitles the </w:t>
      </w:r>
      <w:r>
        <w:rPr>
          <w:i/>
        </w:rPr>
        <w:t>Warrant H</w:t>
      </w:r>
      <w:r w:rsidRPr="00437F01">
        <w:rPr>
          <w:i/>
        </w:rPr>
        <w:t xml:space="preserve">older to subscribe for, may be subject to adjustment in cases specified in section </w:t>
      </w:r>
      <w:r>
        <w:rPr>
          <w:i/>
        </w:rPr>
        <w:fldChar w:fldCharType="begin"/>
      </w:r>
      <w:r>
        <w:rPr>
          <w:i/>
        </w:rPr>
        <w:instrText xml:space="preserve"> REF _Ref167307664 \r \h </w:instrText>
      </w:r>
      <w:r>
        <w:rPr>
          <w:i/>
        </w:rPr>
      </w:r>
      <w:r>
        <w:rPr>
          <w:i/>
        </w:rPr>
        <w:fldChar w:fldCharType="separate"/>
      </w:r>
      <w:r>
        <w:rPr>
          <w:i/>
        </w:rPr>
        <w:t>8</w:t>
      </w:r>
      <w:r>
        <w:rPr>
          <w:i/>
        </w:rPr>
        <w:fldChar w:fldCharType="end"/>
      </w:r>
      <w:r w:rsidRPr="00437F01">
        <w:rPr>
          <w:i/>
        </w:rPr>
        <w:t xml:space="preserve"> below. The Subscription Price may, however, never be less than the </w:t>
      </w:r>
      <w:r>
        <w:rPr>
          <w:i/>
        </w:rPr>
        <w:t>Share</w:t>
      </w:r>
      <w:r w:rsidRPr="00437F01">
        <w:rPr>
          <w:i/>
        </w:rPr>
        <w:t>'s quota value.</w:t>
      </w:r>
    </w:p>
    <w:p w14:paraId="3FB23679" w14:textId="77777777" w:rsidR="00F3012E" w:rsidRPr="008570D1" w:rsidRDefault="00F3012E" w:rsidP="006350FE">
      <w:pPr>
        <w:pStyle w:val="BodyText"/>
        <w:numPr>
          <w:ilvl w:val="1"/>
          <w:numId w:val="56"/>
        </w:numPr>
        <w:rPr>
          <w:lang w:val="en-US"/>
        </w:rPr>
      </w:pPr>
      <w:r w:rsidRPr="00614F81">
        <w:rPr>
          <w:iCs/>
          <w:lang w:val="sv-SE"/>
        </w:rPr>
        <w:t xml:space="preserve">Om en Optionsinnehavare är förhindrad att </w:t>
      </w:r>
      <w:r>
        <w:rPr>
          <w:iCs/>
          <w:lang w:val="sv-SE"/>
        </w:rPr>
        <w:t>teckna Aktier under den period som anges i punkt </w:t>
      </w:r>
      <w:r>
        <w:rPr>
          <w:iCs/>
          <w:lang w:val="sv-SE"/>
        </w:rPr>
        <w:fldChar w:fldCharType="begin"/>
      </w:r>
      <w:r>
        <w:rPr>
          <w:iCs/>
          <w:lang w:val="sv-SE"/>
        </w:rPr>
        <w:instrText xml:space="preserve"> REF _Ref167307717 \r \h </w:instrText>
      </w:r>
      <w:r>
        <w:rPr>
          <w:iCs/>
          <w:lang w:val="sv-SE"/>
        </w:rPr>
      </w:r>
      <w:r>
        <w:rPr>
          <w:iCs/>
          <w:lang w:val="sv-SE"/>
        </w:rPr>
        <w:fldChar w:fldCharType="separate"/>
      </w:r>
      <w:r>
        <w:rPr>
          <w:iCs/>
          <w:lang w:val="sv-SE"/>
        </w:rPr>
        <w:t>3.1</w:t>
      </w:r>
      <w:r>
        <w:rPr>
          <w:iCs/>
          <w:lang w:val="sv-SE"/>
        </w:rPr>
        <w:fldChar w:fldCharType="end"/>
      </w:r>
      <w:r>
        <w:rPr>
          <w:iCs/>
          <w:lang w:val="sv-SE"/>
        </w:rPr>
        <w:t xml:space="preserve"> på grund av bestämmelser i EU:s marknadsmissbruksförordning (596/2014/EU), lag (2016:1307) om straff för marknadsmissbruk på värdepappersmarknaden, lag (2016:1306) med kompletterande bestämmelser till EU:s marknadsmissbruksförordning eller annan på Bolaget tillämplig insiderlagstiftning ska Bolaget äga rätt att medge att sådan Optionsinnehavare istället får teckna Aktier så snart denne inte längre är förhindrad att göra det, dock senast trettio kalenderdagar efter att sådant hinder har upphört.</w:t>
      </w:r>
      <w:r>
        <w:rPr>
          <w:iCs/>
          <w:lang w:val="sv-SE"/>
        </w:rPr>
        <w:br/>
      </w:r>
      <w:r w:rsidRPr="006B6AC0">
        <w:rPr>
          <w:i/>
          <w:lang w:val="en-US"/>
        </w:rPr>
        <w:t>If a Warrant Holder is prevented from subscribing for Sha</w:t>
      </w:r>
      <w:r>
        <w:rPr>
          <w:i/>
          <w:lang w:val="en-US"/>
        </w:rPr>
        <w:t xml:space="preserve">res during the period set out in section </w:t>
      </w:r>
      <w:r>
        <w:rPr>
          <w:i/>
          <w:lang w:val="en-US"/>
        </w:rPr>
        <w:fldChar w:fldCharType="begin"/>
      </w:r>
      <w:r>
        <w:rPr>
          <w:i/>
          <w:lang w:val="en-US"/>
        </w:rPr>
        <w:instrText xml:space="preserve"> REF _Ref167307717 \r \h </w:instrText>
      </w:r>
      <w:r>
        <w:rPr>
          <w:i/>
          <w:lang w:val="en-US"/>
        </w:rPr>
      </w:r>
      <w:r>
        <w:rPr>
          <w:i/>
          <w:lang w:val="en-US"/>
        </w:rPr>
        <w:fldChar w:fldCharType="separate"/>
      </w:r>
      <w:r>
        <w:rPr>
          <w:i/>
          <w:lang w:val="en-US"/>
        </w:rPr>
        <w:t>3.1</w:t>
      </w:r>
      <w:r>
        <w:rPr>
          <w:i/>
          <w:lang w:val="en-US"/>
        </w:rPr>
        <w:fldChar w:fldCharType="end"/>
      </w:r>
      <w:r>
        <w:rPr>
          <w:i/>
          <w:lang w:val="en-US"/>
        </w:rPr>
        <w:t xml:space="preserve"> due to provisions under the EU market abuse regulation </w:t>
      </w:r>
      <w:r w:rsidRPr="002A1EA0">
        <w:rPr>
          <w:i/>
          <w:lang w:val="en-US"/>
        </w:rPr>
        <w:t>(596/2014/EU)</w:t>
      </w:r>
      <w:r>
        <w:rPr>
          <w:i/>
          <w:lang w:val="en-US"/>
        </w:rPr>
        <w:t xml:space="preserve">, the Swedish Securities Market Abuse Penal Act (2016:1307), the Swedish Act with Supplementary Provisions to the EU Market Abuse Regulation (2016:1306) or other insider regulation applicable to the Company, the Company may instead permit such Warrant Holder to subscribe for Shares as soon as the Warrant Holder is no longer prevented from doing so, </w:t>
      </w:r>
      <w:r w:rsidRPr="008570D1">
        <w:rPr>
          <w:i/>
          <w:lang w:val="en-US"/>
        </w:rPr>
        <w:t>however no later than thirty calendar days after such prevention has ceased.</w:t>
      </w:r>
    </w:p>
    <w:p w14:paraId="32E09A3F" w14:textId="77777777" w:rsidR="00F3012E" w:rsidRPr="006B6AC0" w:rsidRDefault="00F3012E" w:rsidP="006350FE">
      <w:pPr>
        <w:pStyle w:val="BodyText"/>
        <w:numPr>
          <w:ilvl w:val="1"/>
          <w:numId w:val="56"/>
        </w:numPr>
      </w:pPr>
      <w:r w:rsidRPr="008570D1">
        <w:rPr>
          <w:lang w:val="sv-SE"/>
        </w:rPr>
        <w:t>Teckning kan endast ske av det hela antal Aktier till vilka de Teckningsoptioner som Optionsinnehavaren önskar utnyttja berättigar. Vid Teckning ska bortses från eventuell överskjutande del av Teckningsoption, som inte kan utnyttjas.</w:t>
      </w:r>
      <w:r w:rsidRPr="008570D1">
        <w:rPr>
          <w:lang w:val="sv-SE"/>
        </w:rPr>
        <w:br/>
      </w:r>
      <w:r w:rsidRPr="008570D1">
        <w:rPr>
          <w:i/>
        </w:rPr>
        <w:t xml:space="preserve">Subscription can only be made for the full number of Shares exercisable under the Warrants, that the Warrant Holder would like to exercise. At Subscription any excess portion of the Warrant which </w:t>
      </w:r>
      <w:proofErr w:type="spellStart"/>
      <w:r w:rsidRPr="008570D1">
        <w:rPr>
          <w:i/>
        </w:rPr>
        <w:t>can not</w:t>
      </w:r>
      <w:proofErr w:type="spellEnd"/>
      <w:r w:rsidRPr="008570D1">
        <w:rPr>
          <w:i/>
        </w:rPr>
        <w:t xml:space="preserve"> be exercised shall be disregarded.</w:t>
      </w:r>
    </w:p>
    <w:p w14:paraId="6D8A3801" w14:textId="77777777" w:rsidR="00F3012E" w:rsidRPr="00A50800" w:rsidRDefault="00F3012E" w:rsidP="006350FE">
      <w:pPr>
        <w:pStyle w:val="BodyText"/>
        <w:numPr>
          <w:ilvl w:val="0"/>
          <w:numId w:val="56"/>
        </w:numPr>
        <w:spacing w:after="0"/>
        <w:rPr>
          <w:b/>
          <w:bCs/>
        </w:rPr>
      </w:pPr>
      <w:bookmarkStart w:id="32" w:name="_Ref368334816"/>
      <w:bookmarkStart w:id="33" w:name="_Ref167350058"/>
      <w:r w:rsidRPr="006B6AC0">
        <w:rPr>
          <w:b/>
          <w:bCs/>
          <w:lang w:val="sv-SE"/>
        </w:rPr>
        <w:t>Teckning</w:t>
      </w:r>
      <w:bookmarkEnd w:id="32"/>
      <w:r>
        <w:rPr>
          <w:b/>
          <w:bCs/>
        </w:rPr>
        <w:t>/</w:t>
      </w:r>
      <w:r w:rsidRPr="00A50800">
        <w:rPr>
          <w:b/>
          <w:bCs/>
          <w:i/>
          <w:iCs/>
        </w:rPr>
        <w:t>Subscription</w:t>
      </w:r>
      <w:bookmarkEnd w:id="33"/>
    </w:p>
    <w:p w14:paraId="6A936563" w14:textId="77777777" w:rsidR="00F3012E" w:rsidRPr="003B12B8" w:rsidRDefault="00F3012E" w:rsidP="006350FE">
      <w:pPr>
        <w:pStyle w:val="BodyText"/>
        <w:numPr>
          <w:ilvl w:val="1"/>
          <w:numId w:val="56"/>
        </w:numPr>
      </w:pPr>
      <w:r w:rsidRPr="00A50800">
        <w:rPr>
          <w:lang w:val="sv-SE"/>
        </w:rPr>
        <w:t xml:space="preserve">Teckning sker genom att </w:t>
      </w:r>
      <w:r>
        <w:rPr>
          <w:lang w:val="sv-SE"/>
        </w:rPr>
        <w:t>Optionsinnehavaren</w:t>
      </w:r>
      <w:r w:rsidRPr="00A50800">
        <w:rPr>
          <w:lang w:val="sv-SE"/>
        </w:rPr>
        <w:t xml:space="preserve"> enligt fastställt formulär skriftligen tecknar </w:t>
      </w:r>
      <w:r>
        <w:rPr>
          <w:lang w:val="sv-SE"/>
        </w:rPr>
        <w:t>Aktie</w:t>
      </w:r>
      <w:r w:rsidRPr="00E256B0">
        <w:rPr>
          <w:lang w:val="sv-SE"/>
        </w:rPr>
        <w:t xml:space="preserve">r, varvid ska anges det antal Aktier som tecknas. </w:t>
      </w:r>
      <w:proofErr w:type="spellStart"/>
      <w:r w:rsidRPr="006B6AC0">
        <w:rPr>
          <w:lang w:val="en-US"/>
        </w:rPr>
        <w:t>Teckning</w:t>
      </w:r>
      <w:proofErr w:type="spellEnd"/>
      <w:r w:rsidRPr="006B6AC0">
        <w:rPr>
          <w:lang w:val="en-US"/>
        </w:rPr>
        <w:t xml:space="preserve"> </w:t>
      </w:r>
      <w:proofErr w:type="spellStart"/>
      <w:r w:rsidRPr="006B6AC0">
        <w:rPr>
          <w:lang w:val="en-US"/>
        </w:rPr>
        <w:t>är</w:t>
      </w:r>
      <w:proofErr w:type="spellEnd"/>
      <w:r w:rsidRPr="006B6AC0">
        <w:rPr>
          <w:lang w:val="en-US"/>
        </w:rPr>
        <w:t xml:space="preserve"> </w:t>
      </w:r>
      <w:proofErr w:type="spellStart"/>
      <w:r w:rsidRPr="006B6AC0">
        <w:rPr>
          <w:lang w:val="en-US"/>
        </w:rPr>
        <w:t>bindande</w:t>
      </w:r>
      <w:proofErr w:type="spellEnd"/>
      <w:r w:rsidRPr="006B6AC0">
        <w:rPr>
          <w:lang w:val="en-US"/>
        </w:rPr>
        <w:t xml:space="preserve"> </w:t>
      </w:r>
      <w:proofErr w:type="spellStart"/>
      <w:r w:rsidRPr="006B6AC0">
        <w:rPr>
          <w:lang w:val="en-US"/>
        </w:rPr>
        <w:t>och</w:t>
      </w:r>
      <w:proofErr w:type="spellEnd"/>
      <w:r w:rsidRPr="006B6AC0">
        <w:rPr>
          <w:lang w:val="en-US"/>
        </w:rPr>
        <w:t xml:space="preserve"> </w:t>
      </w:r>
      <w:proofErr w:type="spellStart"/>
      <w:r w:rsidRPr="006B6AC0">
        <w:rPr>
          <w:lang w:val="en-US"/>
        </w:rPr>
        <w:t>kan</w:t>
      </w:r>
      <w:proofErr w:type="spellEnd"/>
      <w:r w:rsidRPr="006B6AC0">
        <w:rPr>
          <w:lang w:val="en-US"/>
        </w:rPr>
        <w:t xml:space="preserve"> </w:t>
      </w:r>
      <w:proofErr w:type="spellStart"/>
      <w:r w:rsidRPr="006B6AC0">
        <w:rPr>
          <w:lang w:val="en-US"/>
        </w:rPr>
        <w:t>inte</w:t>
      </w:r>
      <w:proofErr w:type="spellEnd"/>
      <w:r w:rsidRPr="006B6AC0">
        <w:rPr>
          <w:lang w:val="en-US"/>
        </w:rPr>
        <w:t xml:space="preserve"> </w:t>
      </w:r>
      <w:proofErr w:type="spellStart"/>
      <w:r w:rsidRPr="006B6AC0">
        <w:rPr>
          <w:lang w:val="en-US"/>
        </w:rPr>
        <w:t>återkallas</w:t>
      </w:r>
      <w:proofErr w:type="spellEnd"/>
      <w:r w:rsidRPr="006B6AC0">
        <w:rPr>
          <w:lang w:val="en-US"/>
        </w:rPr>
        <w:t>.</w:t>
      </w:r>
      <w:r w:rsidRPr="00437F01">
        <w:br/>
      </w:r>
      <w:r w:rsidRPr="00437F01">
        <w:rPr>
          <w:i/>
        </w:rPr>
        <w:t xml:space="preserve">Subscription is made by the </w:t>
      </w:r>
      <w:r>
        <w:rPr>
          <w:i/>
        </w:rPr>
        <w:t>Warrant Holder</w:t>
      </w:r>
      <w:r w:rsidRPr="00437F01">
        <w:rPr>
          <w:i/>
        </w:rPr>
        <w:t xml:space="preserve"> </w:t>
      </w:r>
      <w:r>
        <w:rPr>
          <w:i/>
        </w:rPr>
        <w:t>s</w:t>
      </w:r>
      <w:r w:rsidRPr="00437F01">
        <w:rPr>
          <w:i/>
        </w:rPr>
        <w:t xml:space="preserve">ubscribing for the </w:t>
      </w:r>
      <w:r>
        <w:rPr>
          <w:i/>
        </w:rPr>
        <w:t>Share</w:t>
      </w:r>
      <w:r w:rsidRPr="00437F01">
        <w:rPr>
          <w:i/>
        </w:rPr>
        <w:t xml:space="preserve">s, in writing, in accordance with an established form, indicating the number of </w:t>
      </w:r>
      <w:r>
        <w:rPr>
          <w:i/>
        </w:rPr>
        <w:t>Share</w:t>
      </w:r>
      <w:r w:rsidRPr="00437F01">
        <w:rPr>
          <w:i/>
        </w:rPr>
        <w:t>s that are subscribed for. Subscription is binding and may not be revoked.</w:t>
      </w:r>
    </w:p>
    <w:p w14:paraId="03BD613C" w14:textId="47BDF9EC" w:rsidR="003B12B8" w:rsidRDefault="003B12B8" w:rsidP="003B12B8">
      <w:pPr>
        <w:pStyle w:val="BodyText"/>
        <w:ind w:left="720"/>
        <w:rPr>
          <w:i/>
        </w:rPr>
      </w:pPr>
      <w:r>
        <w:rPr>
          <w:i/>
        </w:rPr>
        <w:br w:type="page"/>
      </w:r>
    </w:p>
    <w:p w14:paraId="33A57DE1" w14:textId="77777777" w:rsidR="00F3012E" w:rsidRPr="00437F01" w:rsidRDefault="00F3012E" w:rsidP="006350FE">
      <w:pPr>
        <w:pStyle w:val="BodyText"/>
        <w:numPr>
          <w:ilvl w:val="1"/>
          <w:numId w:val="56"/>
        </w:numPr>
      </w:pPr>
      <w:r w:rsidRPr="00A50800">
        <w:rPr>
          <w:lang w:val="sv-SE"/>
        </w:rPr>
        <w:lastRenderedPageBreak/>
        <w:t xml:space="preserve">Sker inte Teckning inom i punkt </w:t>
      </w:r>
      <w:r>
        <w:fldChar w:fldCharType="begin"/>
      </w:r>
      <w:r>
        <w:rPr>
          <w:lang w:val="sv-SE"/>
        </w:rPr>
        <w:instrText xml:space="preserve"> REF _Ref167307717 \r \h </w:instrText>
      </w:r>
      <w:r>
        <w:fldChar w:fldCharType="separate"/>
      </w:r>
      <w:r>
        <w:rPr>
          <w:lang w:val="sv-SE"/>
        </w:rPr>
        <w:t>3.1</w:t>
      </w:r>
      <w:r>
        <w:fldChar w:fldCharType="end"/>
      </w:r>
      <w:r w:rsidRPr="00A50800">
        <w:rPr>
          <w:lang w:val="sv-SE"/>
        </w:rPr>
        <w:t xml:space="preserve"> angiven tid, upphör all rätt enligt Teckningsoptionerna att gälla.</w:t>
      </w:r>
      <w:r w:rsidRPr="00A50800">
        <w:rPr>
          <w:lang w:val="sv-SE"/>
        </w:rPr>
        <w:br/>
      </w:r>
      <w:r w:rsidRPr="00437F01">
        <w:rPr>
          <w:i/>
        </w:rPr>
        <w:t xml:space="preserve">If Subscription </w:t>
      </w:r>
      <w:proofErr w:type="gramStart"/>
      <w:r w:rsidRPr="00437F01">
        <w:rPr>
          <w:i/>
        </w:rPr>
        <w:t>is not</w:t>
      </w:r>
      <w:proofErr w:type="gramEnd"/>
      <w:r w:rsidRPr="00437F01">
        <w:rPr>
          <w:i/>
        </w:rPr>
        <w:t xml:space="preserve"> made within the period set forth in section</w:t>
      </w:r>
      <w:r>
        <w:rPr>
          <w:i/>
        </w:rPr>
        <w:t xml:space="preserve"> </w:t>
      </w:r>
      <w:r>
        <w:rPr>
          <w:i/>
        </w:rPr>
        <w:fldChar w:fldCharType="begin"/>
      </w:r>
      <w:r>
        <w:rPr>
          <w:i/>
        </w:rPr>
        <w:instrText xml:space="preserve"> REF _Ref167307717 \r \h </w:instrText>
      </w:r>
      <w:r>
        <w:rPr>
          <w:i/>
        </w:rPr>
      </w:r>
      <w:r>
        <w:rPr>
          <w:i/>
        </w:rPr>
        <w:fldChar w:fldCharType="separate"/>
      </w:r>
      <w:r>
        <w:rPr>
          <w:i/>
        </w:rPr>
        <w:t>3.1</w:t>
      </w:r>
      <w:r>
        <w:rPr>
          <w:i/>
        </w:rPr>
        <w:fldChar w:fldCharType="end"/>
      </w:r>
      <w:r w:rsidRPr="00437F01">
        <w:rPr>
          <w:i/>
        </w:rPr>
        <w:t>, any and all rights pursuant to the Warrants shall expire.</w:t>
      </w:r>
    </w:p>
    <w:p w14:paraId="6EDADE54" w14:textId="77777777" w:rsidR="00F3012E" w:rsidRPr="00437F01" w:rsidRDefault="00F3012E" w:rsidP="006350FE">
      <w:pPr>
        <w:pStyle w:val="BodyText"/>
        <w:numPr>
          <w:ilvl w:val="1"/>
          <w:numId w:val="56"/>
        </w:numPr>
      </w:pPr>
      <w:r w:rsidRPr="00A50800">
        <w:rPr>
          <w:lang w:val="sv-SE"/>
        </w:rPr>
        <w:t xml:space="preserve">Vid sådan Teckning </w:t>
      </w:r>
      <w:r>
        <w:rPr>
          <w:lang w:val="sv-SE"/>
        </w:rPr>
        <w:t>ska</w:t>
      </w:r>
      <w:r w:rsidRPr="00A50800">
        <w:rPr>
          <w:lang w:val="sv-SE"/>
        </w:rPr>
        <w:t xml:space="preserve">, för registreringsåtgärder, skriftlig och ifylld teckningssedel enligt fastställt formulär inges till Bolaget eller den Bolaget anvisar. I förekommande fall </w:t>
      </w:r>
      <w:r>
        <w:rPr>
          <w:lang w:val="sv-SE"/>
        </w:rPr>
        <w:t>ska</w:t>
      </w:r>
      <w:r w:rsidRPr="00A50800">
        <w:rPr>
          <w:lang w:val="sv-SE"/>
        </w:rPr>
        <w:t xml:space="preserve"> </w:t>
      </w:r>
      <w:r>
        <w:rPr>
          <w:lang w:val="sv-SE"/>
        </w:rPr>
        <w:t>Optionsinnehavare</w:t>
      </w:r>
      <w:r w:rsidRPr="00A50800">
        <w:rPr>
          <w:lang w:val="sv-SE"/>
        </w:rPr>
        <w:t>n samtidigt överlämna till Bolaget teckningsoptionsbevis representerade det antal Teckningsoptioner som anmälan om Teckning avser.</w:t>
      </w:r>
      <w:r w:rsidRPr="00A50800">
        <w:rPr>
          <w:lang w:val="sv-SE"/>
        </w:rPr>
        <w:br/>
      </w:r>
      <w:r w:rsidRPr="00437F01">
        <w:rPr>
          <w:i/>
        </w:rPr>
        <w:t xml:space="preserve">Such Subscription shall, for registration purposes, be made in a written notification on a specified form to the Company or to whom the Company assign. </w:t>
      </w:r>
      <w:r>
        <w:rPr>
          <w:i/>
        </w:rPr>
        <w:t>T</w:t>
      </w:r>
      <w:r w:rsidRPr="00437F01">
        <w:rPr>
          <w:i/>
        </w:rPr>
        <w:t xml:space="preserve">he </w:t>
      </w:r>
      <w:r>
        <w:rPr>
          <w:i/>
        </w:rPr>
        <w:t>Warrant Holder</w:t>
      </w:r>
      <w:r w:rsidRPr="00437F01">
        <w:rPr>
          <w:i/>
        </w:rPr>
        <w:t xml:space="preserve"> shall</w:t>
      </w:r>
      <w:r>
        <w:rPr>
          <w:i/>
        </w:rPr>
        <w:t xml:space="preserve">, where applicable, </w:t>
      </w:r>
      <w:r w:rsidRPr="00437F01">
        <w:rPr>
          <w:i/>
        </w:rPr>
        <w:t>simultaneously submit to the Company the warrant certificates representing the number of Warrants that the notification concerns.</w:t>
      </w:r>
    </w:p>
    <w:p w14:paraId="5D902231" w14:textId="77777777" w:rsidR="00F3012E" w:rsidRPr="00A50800" w:rsidRDefault="00F3012E" w:rsidP="006350FE">
      <w:pPr>
        <w:pStyle w:val="BodyText"/>
        <w:numPr>
          <w:ilvl w:val="0"/>
          <w:numId w:val="56"/>
        </w:numPr>
        <w:spacing w:after="0"/>
        <w:rPr>
          <w:b/>
          <w:bCs/>
        </w:rPr>
      </w:pPr>
      <w:proofErr w:type="spellStart"/>
      <w:r w:rsidRPr="00A50800">
        <w:rPr>
          <w:b/>
          <w:bCs/>
        </w:rPr>
        <w:t>Betalning</w:t>
      </w:r>
      <w:proofErr w:type="spellEnd"/>
      <w:r w:rsidRPr="00A50800">
        <w:rPr>
          <w:b/>
          <w:bCs/>
        </w:rPr>
        <w:t xml:space="preserve"> för </w:t>
      </w:r>
      <w:proofErr w:type="spellStart"/>
      <w:r w:rsidRPr="00A50800">
        <w:rPr>
          <w:b/>
          <w:bCs/>
        </w:rPr>
        <w:t>ny</w:t>
      </w:r>
      <w:proofErr w:type="spellEnd"/>
      <w:r w:rsidRPr="00A50800">
        <w:rPr>
          <w:b/>
          <w:bCs/>
        </w:rPr>
        <w:t xml:space="preserve"> </w:t>
      </w:r>
      <w:proofErr w:type="spellStart"/>
      <w:r>
        <w:rPr>
          <w:b/>
          <w:bCs/>
        </w:rPr>
        <w:t>Aktie</w:t>
      </w:r>
      <w:proofErr w:type="spellEnd"/>
      <w:r>
        <w:rPr>
          <w:b/>
          <w:bCs/>
        </w:rPr>
        <w:t>/</w:t>
      </w:r>
      <w:r w:rsidRPr="00A50800">
        <w:rPr>
          <w:b/>
          <w:bCs/>
          <w:i/>
          <w:iCs/>
        </w:rPr>
        <w:t xml:space="preserve">Payment for new </w:t>
      </w:r>
      <w:r>
        <w:rPr>
          <w:b/>
          <w:bCs/>
          <w:i/>
          <w:iCs/>
        </w:rPr>
        <w:t>Share</w:t>
      </w:r>
    </w:p>
    <w:p w14:paraId="7D7C9E5E" w14:textId="77777777" w:rsidR="00F3012E" w:rsidRPr="00437F01" w:rsidRDefault="00F3012E" w:rsidP="00F3012E">
      <w:pPr>
        <w:pStyle w:val="BodyText"/>
        <w:ind w:left="720"/>
      </w:pPr>
      <w:r w:rsidRPr="00A50800">
        <w:rPr>
          <w:lang w:val="sv-SE"/>
        </w:rPr>
        <w:t xml:space="preserve">Vid Teckning </w:t>
      </w:r>
      <w:r>
        <w:rPr>
          <w:lang w:val="sv-SE"/>
        </w:rPr>
        <w:t>ska</w:t>
      </w:r>
      <w:r w:rsidRPr="00A50800">
        <w:rPr>
          <w:lang w:val="sv-SE"/>
        </w:rPr>
        <w:t xml:space="preserve"> betalning erläggas genast för det antal </w:t>
      </w:r>
      <w:r>
        <w:rPr>
          <w:lang w:val="sv-SE"/>
        </w:rPr>
        <w:t>Aktie</w:t>
      </w:r>
      <w:r w:rsidRPr="00A50800">
        <w:rPr>
          <w:lang w:val="sv-SE"/>
        </w:rPr>
        <w:t xml:space="preserve">r som Teckningen avser. Betalning </w:t>
      </w:r>
      <w:r>
        <w:rPr>
          <w:lang w:val="sv-SE"/>
        </w:rPr>
        <w:t>ska</w:t>
      </w:r>
      <w:r w:rsidRPr="00A50800">
        <w:rPr>
          <w:lang w:val="sv-SE"/>
        </w:rPr>
        <w:t xml:space="preserve"> ske kontant till ett av Bolaget anvisat bankkonto.</w:t>
      </w:r>
      <w:r w:rsidRPr="00A50800">
        <w:rPr>
          <w:lang w:val="sv-SE"/>
        </w:rPr>
        <w:br/>
      </w:r>
      <w:r w:rsidRPr="00437F01">
        <w:rPr>
          <w:i/>
        </w:rPr>
        <w:t xml:space="preserve">At Subscription, payment for the number of </w:t>
      </w:r>
      <w:r>
        <w:rPr>
          <w:i/>
        </w:rPr>
        <w:t>Share</w:t>
      </w:r>
      <w:r w:rsidRPr="00437F01">
        <w:rPr>
          <w:i/>
        </w:rPr>
        <w:t>s relating to the Subscription shall be made immediately. Payment shall be made, in cash, to an account designated by the Company.</w:t>
      </w:r>
    </w:p>
    <w:p w14:paraId="30D483EB" w14:textId="77777777" w:rsidR="00F3012E" w:rsidRPr="006B6AC0" w:rsidRDefault="00F3012E" w:rsidP="006350FE">
      <w:pPr>
        <w:pStyle w:val="BodyText"/>
        <w:numPr>
          <w:ilvl w:val="0"/>
          <w:numId w:val="56"/>
        </w:numPr>
        <w:spacing w:after="0"/>
        <w:rPr>
          <w:b/>
          <w:bCs/>
          <w:lang w:val="sv-SE"/>
        </w:rPr>
      </w:pPr>
      <w:r w:rsidRPr="006B6AC0">
        <w:rPr>
          <w:b/>
          <w:bCs/>
          <w:lang w:val="sv-SE"/>
        </w:rPr>
        <w:t>Inför</w:t>
      </w:r>
      <w:r>
        <w:rPr>
          <w:b/>
          <w:bCs/>
          <w:lang w:val="sv-SE"/>
        </w:rPr>
        <w:t>ande</w:t>
      </w:r>
      <w:r w:rsidRPr="006B6AC0">
        <w:rPr>
          <w:b/>
          <w:bCs/>
          <w:lang w:val="sv-SE"/>
        </w:rPr>
        <w:t xml:space="preserve"> i aktieboken/</w:t>
      </w:r>
      <w:proofErr w:type="spellStart"/>
      <w:r w:rsidRPr="006B6AC0">
        <w:rPr>
          <w:b/>
          <w:bCs/>
          <w:i/>
          <w:iCs/>
          <w:lang w:val="sv-SE"/>
        </w:rPr>
        <w:t>Registration</w:t>
      </w:r>
      <w:proofErr w:type="spellEnd"/>
      <w:r w:rsidRPr="006B6AC0">
        <w:rPr>
          <w:b/>
          <w:bCs/>
          <w:i/>
          <w:iCs/>
          <w:lang w:val="sv-SE"/>
        </w:rPr>
        <w:t xml:space="preserve"> in the </w:t>
      </w:r>
      <w:proofErr w:type="spellStart"/>
      <w:r w:rsidRPr="006B6AC0">
        <w:rPr>
          <w:b/>
          <w:bCs/>
          <w:i/>
          <w:iCs/>
          <w:lang w:val="sv-SE"/>
        </w:rPr>
        <w:t>share</w:t>
      </w:r>
      <w:proofErr w:type="spellEnd"/>
      <w:r w:rsidRPr="006B6AC0">
        <w:rPr>
          <w:b/>
          <w:bCs/>
          <w:i/>
          <w:iCs/>
          <w:lang w:val="sv-SE"/>
        </w:rPr>
        <w:t xml:space="preserve"> register</w:t>
      </w:r>
    </w:p>
    <w:p w14:paraId="63D5AD4E" w14:textId="77777777" w:rsidR="00F3012E" w:rsidRPr="00437F01" w:rsidRDefault="00F3012E" w:rsidP="00F3012E">
      <w:pPr>
        <w:pStyle w:val="BodyText"/>
        <w:ind w:left="720"/>
      </w:pPr>
      <w:r w:rsidRPr="00A50800">
        <w:rPr>
          <w:lang w:val="sv-SE"/>
        </w:rPr>
        <w:t xml:space="preserve">Efter Teckning verkställs tilldelning genom att de nya </w:t>
      </w:r>
      <w:r>
        <w:rPr>
          <w:lang w:val="sv-SE"/>
        </w:rPr>
        <w:t>Aktie</w:t>
      </w:r>
      <w:r w:rsidRPr="00A50800">
        <w:rPr>
          <w:lang w:val="sv-SE"/>
        </w:rPr>
        <w:t xml:space="preserve">rna upptas i Bolagets aktiebok såsom interimsaktier. Sedan registrering hos Bolagsverket och Euroclear ägt rum blir registreringen på avstämningskonto slutgiltig. Som framgår av punkterna </w:t>
      </w:r>
      <w:r>
        <w:fldChar w:fldCharType="begin"/>
      </w:r>
      <w:r>
        <w:rPr>
          <w:lang w:val="sv-SE"/>
        </w:rPr>
        <w:instrText xml:space="preserve"> REF _Ref420689968 \r \h </w:instrText>
      </w:r>
      <w:r>
        <w:fldChar w:fldCharType="separate"/>
      </w:r>
      <w:r>
        <w:rPr>
          <w:lang w:val="sv-SE"/>
        </w:rPr>
        <w:t>7</w:t>
      </w:r>
      <w:r>
        <w:fldChar w:fldCharType="end"/>
      </w:r>
      <w:r w:rsidRPr="00A50800">
        <w:rPr>
          <w:lang w:val="sv-SE"/>
        </w:rPr>
        <w:t xml:space="preserve"> och </w:t>
      </w:r>
      <w:r>
        <w:fldChar w:fldCharType="begin"/>
      </w:r>
      <w:r>
        <w:rPr>
          <w:lang w:val="sv-SE"/>
        </w:rPr>
        <w:instrText xml:space="preserve"> REF _Ref167307664 \r \h </w:instrText>
      </w:r>
      <w:r>
        <w:fldChar w:fldCharType="separate"/>
      </w:r>
      <w:r>
        <w:rPr>
          <w:lang w:val="sv-SE"/>
        </w:rPr>
        <w:t>8</w:t>
      </w:r>
      <w:r>
        <w:fldChar w:fldCharType="end"/>
      </w:r>
      <w:r w:rsidRPr="00A85D47">
        <w:rPr>
          <w:lang w:val="sv-SE"/>
        </w:rPr>
        <w:t xml:space="preserve"> </w:t>
      </w:r>
      <w:r w:rsidRPr="00A50800">
        <w:rPr>
          <w:lang w:val="sv-SE"/>
        </w:rPr>
        <w:t>nedan senareläggs i vissa fall tidpunkten för sådan slutlig registrering.</w:t>
      </w:r>
      <w:r w:rsidRPr="00A50800">
        <w:rPr>
          <w:lang w:val="sv-SE"/>
        </w:rPr>
        <w:br/>
      </w:r>
      <w:r w:rsidRPr="00437F01">
        <w:rPr>
          <w:i/>
        </w:rPr>
        <w:t xml:space="preserve">After Subscription allotment will be effected by the new </w:t>
      </w:r>
      <w:r>
        <w:rPr>
          <w:i/>
        </w:rPr>
        <w:t>Share</w:t>
      </w:r>
      <w:r w:rsidRPr="00437F01">
        <w:rPr>
          <w:i/>
        </w:rPr>
        <w:t xml:space="preserve">s being registered in the Company's share register as interim shares. The registration on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will be final after the registrations with the </w:t>
      </w:r>
      <w:r>
        <w:rPr>
          <w:i/>
        </w:rPr>
        <w:t xml:space="preserve">Swedish </w:t>
      </w:r>
      <w:r w:rsidRPr="00437F01">
        <w:rPr>
          <w:i/>
        </w:rPr>
        <w:t xml:space="preserve">Companies Registration Office and Euroclear are final. As stated in sections </w:t>
      </w:r>
      <w:r>
        <w:rPr>
          <w:i/>
        </w:rPr>
        <w:fldChar w:fldCharType="begin"/>
      </w:r>
      <w:r>
        <w:rPr>
          <w:i/>
        </w:rPr>
        <w:instrText xml:space="preserve"> REF _Ref420689968 \r \h </w:instrText>
      </w:r>
      <w:r>
        <w:rPr>
          <w:i/>
        </w:rPr>
      </w:r>
      <w:r>
        <w:rPr>
          <w:i/>
        </w:rPr>
        <w:fldChar w:fldCharType="separate"/>
      </w:r>
      <w:r>
        <w:rPr>
          <w:i/>
        </w:rPr>
        <w:t>7</w:t>
      </w:r>
      <w:r>
        <w:rPr>
          <w:i/>
        </w:rPr>
        <w:fldChar w:fldCharType="end"/>
      </w:r>
      <w:r w:rsidRPr="00437F01">
        <w:rPr>
          <w:i/>
        </w:rPr>
        <w:t xml:space="preserve"> and </w:t>
      </w:r>
      <w:r>
        <w:rPr>
          <w:i/>
        </w:rPr>
        <w:fldChar w:fldCharType="begin"/>
      </w:r>
      <w:r>
        <w:rPr>
          <w:i/>
        </w:rPr>
        <w:instrText xml:space="preserve"> REF _Ref167307664 \r \h </w:instrText>
      </w:r>
      <w:r>
        <w:rPr>
          <w:i/>
        </w:rPr>
      </w:r>
      <w:r>
        <w:rPr>
          <w:i/>
        </w:rPr>
        <w:fldChar w:fldCharType="separate"/>
      </w:r>
      <w:r>
        <w:rPr>
          <w:i/>
        </w:rPr>
        <w:t>8</w:t>
      </w:r>
      <w:r>
        <w:rPr>
          <w:i/>
        </w:rPr>
        <w:fldChar w:fldCharType="end"/>
      </w:r>
      <w:r w:rsidRPr="00437F01">
        <w:rPr>
          <w:i/>
        </w:rPr>
        <w:t xml:space="preserve"> below, such final registration may be postponed in certain cases.</w:t>
      </w:r>
    </w:p>
    <w:p w14:paraId="1766687F" w14:textId="77777777" w:rsidR="00F3012E" w:rsidRPr="00A50800" w:rsidRDefault="00F3012E" w:rsidP="006350FE">
      <w:pPr>
        <w:pStyle w:val="BodyText"/>
        <w:numPr>
          <w:ilvl w:val="0"/>
          <w:numId w:val="56"/>
        </w:numPr>
        <w:spacing w:after="0"/>
        <w:rPr>
          <w:b/>
          <w:bCs/>
        </w:rPr>
      </w:pPr>
      <w:bookmarkStart w:id="34" w:name="_Ref368329735"/>
      <w:bookmarkStart w:id="35" w:name="_Ref420689968"/>
      <w:proofErr w:type="spellStart"/>
      <w:r w:rsidRPr="006B6AC0">
        <w:rPr>
          <w:b/>
          <w:bCs/>
          <w:lang w:val="en-US"/>
        </w:rPr>
        <w:t>Utdelning</w:t>
      </w:r>
      <w:proofErr w:type="spellEnd"/>
      <w:r w:rsidRPr="006B6AC0">
        <w:rPr>
          <w:b/>
          <w:bCs/>
          <w:lang w:val="en-US"/>
        </w:rPr>
        <w:t xml:space="preserve"> </w:t>
      </w:r>
      <w:proofErr w:type="spellStart"/>
      <w:r w:rsidRPr="006B6AC0">
        <w:rPr>
          <w:b/>
          <w:bCs/>
          <w:lang w:val="en-US"/>
        </w:rPr>
        <w:t>på</w:t>
      </w:r>
      <w:proofErr w:type="spellEnd"/>
      <w:r w:rsidRPr="006B6AC0">
        <w:rPr>
          <w:b/>
          <w:bCs/>
          <w:lang w:val="en-US"/>
        </w:rPr>
        <w:t xml:space="preserve"> </w:t>
      </w:r>
      <w:proofErr w:type="spellStart"/>
      <w:r w:rsidRPr="006B6AC0">
        <w:rPr>
          <w:b/>
          <w:bCs/>
          <w:lang w:val="en-US"/>
        </w:rPr>
        <w:t>ny</w:t>
      </w:r>
      <w:proofErr w:type="spellEnd"/>
      <w:r w:rsidRPr="006B6AC0">
        <w:rPr>
          <w:b/>
          <w:bCs/>
          <w:lang w:val="en-US"/>
        </w:rPr>
        <w:t xml:space="preserve"> </w:t>
      </w:r>
      <w:proofErr w:type="spellStart"/>
      <w:r w:rsidRPr="006B6AC0">
        <w:rPr>
          <w:b/>
          <w:bCs/>
          <w:lang w:val="en-US"/>
        </w:rPr>
        <w:t>Aktie</w:t>
      </w:r>
      <w:proofErr w:type="spellEnd"/>
      <w:r w:rsidRPr="006B6AC0">
        <w:rPr>
          <w:b/>
          <w:bCs/>
          <w:lang w:val="en-US"/>
        </w:rPr>
        <w:t xml:space="preserve"> </w:t>
      </w:r>
      <w:proofErr w:type="spellStart"/>
      <w:r w:rsidRPr="006B6AC0">
        <w:rPr>
          <w:b/>
          <w:bCs/>
          <w:lang w:val="en-US"/>
        </w:rPr>
        <w:t>m</w:t>
      </w:r>
      <w:bookmarkEnd w:id="34"/>
      <w:r w:rsidRPr="006B6AC0">
        <w:rPr>
          <w:b/>
          <w:bCs/>
          <w:lang w:val="en-US"/>
        </w:rPr>
        <w:t>.m.</w:t>
      </w:r>
      <w:proofErr w:type="spellEnd"/>
      <w:r w:rsidRPr="006B6AC0">
        <w:rPr>
          <w:b/>
          <w:bCs/>
          <w:lang w:val="en-US"/>
        </w:rPr>
        <w:t>/</w:t>
      </w:r>
      <w:r w:rsidRPr="00A50800">
        <w:rPr>
          <w:b/>
          <w:bCs/>
          <w:i/>
          <w:iCs/>
        </w:rPr>
        <w:t xml:space="preserve">New </w:t>
      </w:r>
      <w:r>
        <w:rPr>
          <w:b/>
          <w:bCs/>
          <w:i/>
          <w:iCs/>
        </w:rPr>
        <w:t>Share</w:t>
      </w:r>
      <w:r w:rsidRPr="00A50800">
        <w:rPr>
          <w:b/>
          <w:bCs/>
          <w:i/>
          <w:iCs/>
        </w:rPr>
        <w:t>s' right to dividends etc.</w:t>
      </w:r>
      <w:bookmarkEnd w:id="35"/>
    </w:p>
    <w:p w14:paraId="4EC39DD6" w14:textId="77777777" w:rsidR="00F3012E" w:rsidRPr="00437F01" w:rsidRDefault="00F3012E" w:rsidP="00F3012E">
      <w:pPr>
        <w:pStyle w:val="BodyText"/>
        <w:ind w:left="720"/>
      </w:pPr>
      <w:r w:rsidRPr="00A50800">
        <w:rPr>
          <w:lang w:val="sv-SE"/>
        </w:rPr>
        <w:t>Teckning som görs på sådan tid att den inte kan verkställas senast på tionde kalenderdagen före avstämningsdag för utdelning som beslutats av eller föreslagits Bolagets bolagsstämma samma år, verkställs först efter avstämningsdagen för utdelning. Aktier, som tillkommit på grund av Teckning som verkställs efter avstämningsdagen för utdelning, upptas interimistiskt på avstämningskonto, vilket innebär att de inte har rätt att erhålla utdelning.</w:t>
      </w:r>
      <w:r w:rsidRPr="00A50800">
        <w:rPr>
          <w:lang w:val="sv-SE"/>
        </w:rPr>
        <w:br/>
      </w:r>
      <w:r w:rsidRPr="00437F01">
        <w:rPr>
          <w:i/>
        </w:rPr>
        <w:t xml:space="preserve">Subscription made at such time that it </w:t>
      </w:r>
      <w:proofErr w:type="spellStart"/>
      <w:r w:rsidRPr="00437F01">
        <w:rPr>
          <w:i/>
        </w:rPr>
        <w:t>can not</w:t>
      </w:r>
      <w:proofErr w:type="spellEnd"/>
      <w:r w:rsidRPr="00437F01">
        <w:rPr>
          <w:i/>
        </w:rPr>
        <w:t xml:space="preserve"> be effected at the latest on the tenth calendar day preceding the record date for a dividend approved by or proposed to the </w:t>
      </w:r>
      <w:proofErr w:type="gramStart"/>
      <w:r w:rsidRPr="00437F01">
        <w:rPr>
          <w:i/>
        </w:rPr>
        <w:t>general meeting</w:t>
      </w:r>
      <w:proofErr w:type="gramEnd"/>
      <w:r w:rsidRPr="00437F01">
        <w:rPr>
          <w:i/>
        </w:rPr>
        <w:t xml:space="preserve"> that year, will be executed only after the dividend record date. Shares which have been issued due to Subscription effected after the dividend record date, will be temporarily registered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ry account, which means that they are not entitled to receive dividends.</w:t>
      </w:r>
    </w:p>
    <w:p w14:paraId="418B0271" w14:textId="77777777" w:rsidR="00F3012E" w:rsidRPr="00A50800" w:rsidRDefault="00F3012E" w:rsidP="006350FE">
      <w:pPr>
        <w:pStyle w:val="BodyText"/>
        <w:numPr>
          <w:ilvl w:val="0"/>
          <w:numId w:val="56"/>
        </w:numPr>
        <w:spacing w:after="0"/>
        <w:rPr>
          <w:b/>
          <w:bCs/>
        </w:rPr>
      </w:pPr>
      <w:bookmarkStart w:id="36" w:name="_Ref223318391"/>
      <w:bookmarkStart w:id="37" w:name="_Ref167307664"/>
      <w:r w:rsidRPr="006B6AC0">
        <w:rPr>
          <w:b/>
          <w:bCs/>
          <w:lang w:val="sv-SE"/>
        </w:rPr>
        <w:t xml:space="preserve">Omräkning av Teckningskursen </w:t>
      </w:r>
      <w:proofErr w:type="gramStart"/>
      <w:r w:rsidRPr="006B6AC0">
        <w:rPr>
          <w:b/>
          <w:bCs/>
          <w:lang w:val="sv-SE"/>
        </w:rPr>
        <w:t>m.m.</w:t>
      </w:r>
      <w:bookmarkEnd w:id="36"/>
      <w:proofErr w:type="gramEnd"/>
      <w:r w:rsidRPr="00A50800">
        <w:rPr>
          <w:b/>
          <w:bCs/>
        </w:rPr>
        <w:t>/</w:t>
      </w:r>
      <w:r w:rsidRPr="00A50800">
        <w:rPr>
          <w:b/>
          <w:bCs/>
          <w:i/>
          <w:iCs/>
        </w:rPr>
        <w:t xml:space="preserve">Adjustment of Subscription Price </w:t>
      </w:r>
      <w:proofErr w:type="gramStart"/>
      <w:r w:rsidRPr="00A50800">
        <w:rPr>
          <w:b/>
          <w:bCs/>
          <w:i/>
          <w:iCs/>
        </w:rPr>
        <w:t>etc.</w:t>
      </w:r>
      <w:bookmarkEnd w:id="37"/>
      <w:proofErr w:type="gramEnd"/>
    </w:p>
    <w:p w14:paraId="0CE991E1" w14:textId="77777777" w:rsidR="00F3012E" w:rsidRPr="00580D5A" w:rsidRDefault="00F3012E" w:rsidP="00F3012E">
      <w:pPr>
        <w:pStyle w:val="BodyText"/>
        <w:ind w:left="720"/>
      </w:pPr>
      <w:proofErr w:type="spellStart"/>
      <w:r w:rsidRPr="006B6AC0">
        <w:rPr>
          <w:lang w:val="en-US"/>
        </w:rPr>
        <w:t>Beträffande</w:t>
      </w:r>
      <w:proofErr w:type="spellEnd"/>
      <w:r w:rsidRPr="006B6AC0">
        <w:rPr>
          <w:lang w:val="en-US"/>
        </w:rPr>
        <w:t xml:space="preserve"> den </w:t>
      </w:r>
      <w:proofErr w:type="spellStart"/>
      <w:r w:rsidRPr="006B6AC0">
        <w:rPr>
          <w:lang w:val="en-US"/>
        </w:rPr>
        <w:t>rätt</w:t>
      </w:r>
      <w:proofErr w:type="spellEnd"/>
      <w:r w:rsidRPr="006B6AC0">
        <w:rPr>
          <w:lang w:val="en-US"/>
        </w:rPr>
        <w:t xml:space="preserve"> </w:t>
      </w:r>
      <w:proofErr w:type="spellStart"/>
      <w:r w:rsidRPr="006B6AC0">
        <w:rPr>
          <w:lang w:val="en-US"/>
        </w:rPr>
        <w:t>som</w:t>
      </w:r>
      <w:proofErr w:type="spellEnd"/>
      <w:r w:rsidRPr="006B6AC0">
        <w:rPr>
          <w:lang w:val="en-US"/>
        </w:rPr>
        <w:t xml:space="preserve"> ska </w:t>
      </w:r>
      <w:proofErr w:type="spellStart"/>
      <w:r w:rsidRPr="006B6AC0">
        <w:rPr>
          <w:lang w:val="en-US"/>
        </w:rPr>
        <w:t>tillkomma</w:t>
      </w:r>
      <w:proofErr w:type="spellEnd"/>
      <w:r w:rsidRPr="006B6AC0">
        <w:rPr>
          <w:lang w:val="en-US"/>
        </w:rPr>
        <w:t xml:space="preserve"> </w:t>
      </w:r>
      <w:proofErr w:type="spellStart"/>
      <w:r w:rsidRPr="006B6AC0">
        <w:rPr>
          <w:lang w:val="en-US"/>
        </w:rPr>
        <w:t>Optionsinnehavare</w:t>
      </w:r>
      <w:proofErr w:type="spellEnd"/>
      <w:r w:rsidRPr="006B6AC0">
        <w:rPr>
          <w:lang w:val="en-US"/>
        </w:rPr>
        <w:t xml:space="preserve"> vid de </w:t>
      </w:r>
      <w:proofErr w:type="spellStart"/>
      <w:r w:rsidRPr="006B6AC0">
        <w:rPr>
          <w:lang w:val="en-US"/>
        </w:rPr>
        <w:t>bolagshändelser</w:t>
      </w:r>
      <w:proofErr w:type="spellEnd"/>
      <w:r w:rsidRPr="006B6AC0">
        <w:rPr>
          <w:lang w:val="en-US"/>
        </w:rPr>
        <w:t xml:space="preserve"> </w:t>
      </w:r>
      <w:proofErr w:type="spellStart"/>
      <w:r w:rsidRPr="006B6AC0">
        <w:rPr>
          <w:lang w:val="en-US"/>
        </w:rPr>
        <w:t>som</w:t>
      </w:r>
      <w:proofErr w:type="spellEnd"/>
      <w:r w:rsidRPr="006B6AC0">
        <w:rPr>
          <w:lang w:val="en-US"/>
        </w:rPr>
        <w:t xml:space="preserve"> </w:t>
      </w:r>
      <w:proofErr w:type="spellStart"/>
      <w:r w:rsidRPr="006B6AC0">
        <w:rPr>
          <w:lang w:val="en-US"/>
        </w:rPr>
        <w:t>anges</w:t>
      </w:r>
      <w:proofErr w:type="spellEnd"/>
      <w:r w:rsidRPr="006B6AC0">
        <w:rPr>
          <w:lang w:val="en-US"/>
        </w:rPr>
        <w:t xml:space="preserve"> </w:t>
      </w:r>
      <w:proofErr w:type="spellStart"/>
      <w:r w:rsidRPr="006B6AC0">
        <w:rPr>
          <w:lang w:val="en-US"/>
        </w:rPr>
        <w:t>nedan</w:t>
      </w:r>
      <w:proofErr w:type="spellEnd"/>
      <w:r w:rsidRPr="006B6AC0">
        <w:rPr>
          <w:lang w:val="en-US"/>
        </w:rPr>
        <w:t xml:space="preserve"> ska </w:t>
      </w:r>
      <w:proofErr w:type="spellStart"/>
      <w:r w:rsidRPr="006B6AC0">
        <w:rPr>
          <w:lang w:val="en-US"/>
        </w:rPr>
        <w:t>följande</w:t>
      </w:r>
      <w:proofErr w:type="spellEnd"/>
      <w:r w:rsidRPr="006B6AC0">
        <w:rPr>
          <w:lang w:val="en-US"/>
        </w:rPr>
        <w:t xml:space="preserve"> </w:t>
      </w:r>
      <w:proofErr w:type="spellStart"/>
      <w:r w:rsidRPr="006B6AC0">
        <w:rPr>
          <w:lang w:val="en-US"/>
        </w:rPr>
        <w:t>gälla</w:t>
      </w:r>
      <w:proofErr w:type="spellEnd"/>
      <w:r w:rsidRPr="006B6AC0">
        <w:rPr>
          <w:lang w:val="en-US"/>
        </w:rPr>
        <w:t>:</w:t>
      </w:r>
      <w:r w:rsidRPr="00580D5A">
        <w:br/>
      </w:r>
      <w:r w:rsidRPr="006B6AC0">
        <w:rPr>
          <w:i/>
          <w:iCs/>
        </w:rPr>
        <w:t>With respect to</w:t>
      </w:r>
      <w:r w:rsidRPr="00580D5A">
        <w:rPr>
          <w:i/>
          <w:iCs/>
        </w:rPr>
        <w:t xml:space="preserve"> the rights that </w:t>
      </w:r>
      <w:r>
        <w:rPr>
          <w:i/>
          <w:iCs/>
        </w:rPr>
        <w:t xml:space="preserve">may accrue to </w:t>
      </w:r>
      <w:r w:rsidRPr="00580D5A">
        <w:rPr>
          <w:i/>
          <w:iCs/>
        </w:rPr>
        <w:t>Warrant Holder</w:t>
      </w:r>
      <w:r>
        <w:rPr>
          <w:i/>
          <w:iCs/>
        </w:rPr>
        <w:t>s in the case of the corporate events</w:t>
      </w:r>
      <w:r w:rsidRPr="00580D5A">
        <w:rPr>
          <w:i/>
          <w:iCs/>
        </w:rPr>
        <w:t xml:space="preserve"> set out below, the following shall apply:</w:t>
      </w:r>
    </w:p>
    <w:p w14:paraId="778E1CA2" w14:textId="77777777" w:rsidR="00F3012E" w:rsidRPr="00A50800" w:rsidRDefault="00F3012E" w:rsidP="006350FE">
      <w:pPr>
        <w:pStyle w:val="BodyText"/>
        <w:numPr>
          <w:ilvl w:val="1"/>
          <w:numId w:val="56"/>
        </w:numPr>
        <w:spacing w:after="0"/>
        <w:rPr>
          <w:b/>
          <w:bCs/>
        </w:rPr>
      </w:pPr>
      <w:bookmarkStart w:id="38" w:name="_Ref251607767"/>
      <w:bookmarkStart w:id="39" w:name="_Ref419825697"/>
      <w:r w:rsidRPr="006B6AC0">
        <w:rPr>
          <w:b/>
          <w:bCs/>
          <w:lang w:val="sv-SE"/>
        </w:rPr>
        <w:t>Tillvägagångssätt</w:t>
      </w:r>
      <w:bookmarkEnd w:id="38"/>
      <w:r w:rsidRPr="00A50800">
        <w:rPr>
          <w:b/>
          <w:bCs/>
        </w:rPr>
        <w:t>/</w:t>
      </w:r>
      <w:r w:rsidRPr="00A50800">
        <w:rPr>
          <w:b/>
          <w:bCs/>
          <w:i/>
          <w:iCs/>
        </w:rPr>
        <w:t>Procedure</w:t>
      </w:r>
      <w:bookmarkEnd w:id="39"/>
    </w:p>
    <w:p w14:paraId="21ED6006" w14:textId="77777777" w:rsidR="00F3012E" w:rsidRPr="00437F01" w:rsidRDefault="00F3012E" w:rsidP="006350FE">
      <w:pPr>
        <w:pStyle w:val="BodyText"/>
        <w:numPr>
          <w:ilvl w:val="2"/>
          <w:numId w:val="56"/>
        </w:numPr>
      </w:pPr>
      <w:r w:rsidRPr="00A50800">
        <w:rPr>
          <w:lang w:val="sv-SE"/>
        </w:rPr>
        <w:t xml:space="preserve">Omräkning </w:t>
      </w:r>
      <w:r>
        <w:rPr>
          <w:lang w:val="sv-SE"/>
        </w:rPr>
        <w:t>ska</w:t>
      </w:r>
      <w:r w:rsidRPr="00A50800">
        <w:rPr>
          <w:lang w:val="sv-SE"/>
        </w:rPr>
        <w:t xml:space="preserve"> göras av Bolaget enligt punkt </w:t>
      </w:r>
      <w:r>
        <w:fldChar w:fldCharType="begin"/>
      </w:r>
      <w:r>
        <w:rPr>
          <w:lang w:val="sv-SE"/>
        </w:rPr>
        <w:instrText xml:space="preserve"> REF _Ref419825929 \r \h </w:instrText>
      </w:r>
      <w:r>
        <w:fldChar w:fldCharType="separate"/>
      </w:r>
      <w:r>
        <w:rPr>
          <w:lang w:val="sv-SE"/>
        </w:rPr>
        <w:t>8.2</w:t>
      </w:r>
      <w:r>
        <w:fldChar w:fldCharType="end"/>
      </w:r>
      <w:r w:rsidRPr="00A50800">
        <w:rPr>
          <w:lang w:val="sv-SE"/>
        </w:rPr>
        <w:t xml:space="preserve"> nedan.</w:t>
      </w:r>
      <w:r w:rsidRPr="00A50800">
        <w:rPr>
          <w:lang w:val="sv-SE"/>
        </w:rPr>
        <w:br/>
      </w:r>
      <w:r w:rsidRPr="00437F01">
        <w:rPr>
          <w:i/>
        </w:rPr>
        <w:t xml:space="preserve">The </w:t>
      </w:r>
      <w:r>
        <w:rPr>
          <w:i/>
        </w:rPr>
        <w:t>r</w:t>
      </w:r>
      <w:r w:rsidRPr="00437F01">
        <w:rPr>
          <w:i/>
        </w:rPr>
        <w:t xml:space="preserve">ecalculations shall be made by the Company in accordance with section </w:t>
      </w:r>
      <w:r>
        <w:rPr>
          <w:i/>
        </w:rPr>
        <w:fldChar w:fldCharType="begin"/>
      </w:r>
      <w:r>
        <w:rPr>
          <w:i/>
        </w:rPr>
        <w:instrText xml:space="preserve"> REF _Ref419825929 \r \h </w:instrText>
      </w:r>
      <w:r>
        <w:rPr>
          <w:i/>
        </w:rPr>
      </w:r>
      <w:r>
        <w:rPr>
          <w:i/>
        </w:rPr>
        <w:fldChar w:fldCharType="separate"/>
      </w:r>
      <w:r>
        <w:rPr>
          <w:i/>
        </w:rPr>
        <w:t>8.2</w:t>
      </w:r>
      <w:r>
        <w:rPr>
          <w:i/>
        </w:rPr>
        <w:fldChar w:fldCharType="end"/>
      </w:r>
      <w:r w:rsidRPr="00437F01">
        <w:rPr>
          <w:i/>
        </w:rPr>
        <w:t xml:space="preserve"> below.</w:t>
      </w:r>
    </w:p>
    <w:p w14:paraId="2A8992AF" w14:textId="77777777" w:rsidR="00F3012E" w:rsidRPr="00437F01" w:rsidRDefault="00F3012E" w:rsidP="006350FE">
      <w:pPr>
        <w:pStyle w:val="BodyText"/>
        <w:numPr>
          <w:ilvl w:val="2"/>
          <w:numId w:val="56"/>
        </w:numPr>
      </w:pPr>
      <w:bookmarkStart w:id="40" w:name="_Ref167307800"/>
      <w:r w:rsidRPr="00A50800">
        <w:rPr>
          <w:lang w:val="sv-SE"/>
        </w:rPr>
        <w:lastRenderedPageBreak/>
        <w:t>Skulle Optionsinnehavare</w:t>
      </w:r>
      <w:r>
        <w:rPr>
          <w:lang w:val="sv-SE"/>
        </w:rPr>
        <w:t>n</w:t>
      </w:r>
      <w:r w:rsidRPr="00A50800">
        <w:rPr>
          <w:lang w:val="sv-SE"/>
        </w:rPr>
        <w:t xml:space="preserve"> inte vara överens med Bolaget om en justering av </w:t>
      </w:r>
      <w:r>
        <w:rPr>
          <w:lang w:val="sv-SE"/>
        </w:rPr>
        <w:t>v</w:t>
      </w:r>
      <w:r w:rsidRPr="00A50800">
        <w:rPr>
          <w:lang w:val="sv-SE"/>
        </w:rPr>
        <w:t xml:space="preserve">illkoren genom omräkning enligt punkt </w:t>
      </w:r>
      <w:r>
        <w:fldChar w:fldCharType="begin"/>
      </w:r>
      <w:r>
        <w:rPr>
          <w:lang w:val="sv-SE"/>
        </w:rPr>
        <w:instrText xml:space="preserve"> REF _Ref419825929 \r \h </w:instrText>
      </w:r>
      <w:r>
        <w:fldChar w:fldCharType="separate"/>
      </w:r>
      <w:r>
        <w:rPr>
          <w:lang w:val="sv-SE"/>
        </w:rPr>
        <w:t>8.2</w:t>
      </w:r>
      <w:r>
        <w:fldChar w:fldCharType="end"/>
      </w:r>
      <w:r w:rsidRPr="00A50800">
        <w:rPr>
          <w:lang w:val="sv-SE"/>
        </w:rPr>
        <w:t xml:space="preserve"> nedan, </w:t>
      </w:r>
      <w:r>
        <w:rPr>
          <w:lang w:val="sv-SE"/>
        </w:rPr>
        <w:t>ska</w:t>
      </w:r>
      <w:r w:rsidRPr="00A50800">
        <w:rPr>
          <w:lang w:val="sv-SE"/>
        </w:rPr>
        <w:t xml:space="preserve"> Optionsinnehavare</w:t>
      </w:r>
      <w:r>
        <w:rPr>
          <w:lang w:val="sv-SE"/>
        </w:rPr>
        <w:t>n</w:t>
      </w:r>
      <w:r w:rsidRPr="00A50800">
        <w:rPr>
          <w:lang w:val="sv-SE"/>
        </w:rPr>
        <w:t xml:space="preserve"> ha rätt att begära ett oberoende fastställande av en lämplig justering enligt vad som anges nedan.</w:t>
      </w:r>
      <w:r w:rsidRPr="00A50800">
        <w:rPr>
          <w:lang w:val="sv-SE"/>
        </w:rPr>
        <w:br/>
      </w:r>
      <w:r w:rsidRPr="00437F01">
        <w:rPr>
          <w:i/>
        </w:rPr>
        <w:t xml:space="preserve">Should the </w:t>
      </w:r>
      <w:r>
        <w:rPr>
          <w:i/>
        </w:rPr>
        <w:t>Warrant Holder</w:t>
      </w:r>
      <w:r w:rsidRPr="00437F01">
        <w:rPr>
          <w:i/>
        </w:rPr>
        <w:t xml:space="preserve"> not agree on an adjustment of the</w:t>
      </w:r>
      <w:r>
        <w:rPr>
          <w:i/>
        </w:rPr>
        <w:t>se</w:t>
      </w:r>
      <w:r w:rsidRPr="00437F01">
        <w:rPr>
          <w:i/>
        </w:rPr>
        <w:t xml:space="preserve"> </w:t>
      </w:r>
      <w:r>
        <w:rPr>
          <w:i/>
        </w:rPr>
        <w:t>t</w:t>
      </w:r>
      <w:r w:rsidRPr="00437F01">
        <w:rPr>
          <w:i/>
        </w:rPr>
        <w:t xml:space="preserve">erms and </w:t>
      </w:r>
      <w:r>
        <w:rPr>
          <w:i/>
        </w:rPr>
        <w:t>c</w:t>
      </w:r>
      <w:r w:rsidRPr="00437F01">
        <w:rPr>
          <w:i/>
        </w:rPr>
        <w:t xml:space="preserve">onditions </w:t>
      </w:r>
      <w:r>
        <w:rPr>
          <w:i/>
        </w:rPr>
        <w:t xml:space="preserve">by </w:t>
      </w:r>
      <w:r w:rsidRPr="00437F01">
        <w:rPr>
          <w:i/>
        </w:rPr>
        <w:t>recalculat</w:t>
      </w:r>
      <w:r>
        <w:rPr>
          <w:i/>
        </w:rPr>
        <w:t>ion</w:t>
      </w:r>
      <w:r w:rsidRPr="00437F01">
        <w:rPr>
          <w:i/>
        </w:rPr>
        <w:t xml:space="preserve"> in accordance with section </w:t>
      </w:r>
      <w:r>
        <w:rPr>
          <w:i/>
        </w:rPr>
        <w:fldChar w:fldCharType="begin"/>
      </w:r>
      <w:r>
        <w:rPr>
          <w:i/>
        </w:rPr>
        <w:instrText xml:space="preserve"> REF _Ref419825929 \r \h </w:instrText>
      </w:r>
      <w:r>
        <w:rPr>
          <w:i/>
        </w:rPr>
      </w:r>
      <w:r>
        <w:rPr>
          <w:i/>
        </w:rPr>
        <w:fldChar w:fldCharType="separate"/>
      </w:r>
      <w:r>
        <w:rPr>
          <w:i/>
        </w:rPr>
        <w:t>8.2</w:t>
      </w:r>
      <w:r>
        <w:rPr>
          <w:i/>
        </w:rPr>
        <w:fldChar w:fldCharType="end"/>
      </w:r>
      <w:r w:rsidRPr="00437F01">
        <w:rPr>
          <w:i/>
        </w:rPr>
        <w:t xml:space="preserve"> below, the </w:t>
      </w:r>
      <w:r>
        <w:rPr>
          <w:i/>
        </w:rPr>
        <w:t>Warrant Holder</w:t>
      </w:r>
      <w:r w:rsidRPr="00437F01">
        <w:rPr>
          <w:i/>
        </w:rPr>
        <w:t xml:space="preserve"> shall have the right to request an independent determination of the appropriate adjustment as set out below.</w:t>
      </w:r>
      <w:bookmarkEnd w:id="40"/>
    </w:p>
    <w:p w14:paraId="7ACD0881" w14:textId="77777777" w:rsidR="00F3012E" w:rsidRPr="00437F01" w:rsidRDefault="00F3012E" w:rsidP="006350FE">
      <w:pPr>
        <w:pStyle w:val="BodyText"/>
        <w:numPr>
          <w:ilvl w:val="3"/>
          <w:numId w:val="56"/>
        </w:numPr>
      </w:pPr>
      <w:r w:rsidRPr="00A50800">
        <w:rPr>
          <w:lang w:val="sv-SE"/>
        </w:rPr>
        <w:t xml:space="preserve">Såvida inte Bolaget och den Optionsinnehavaren som begärt justering av </w:t>
      </w:r>
      <w:r>
        <w:rPr>
          <w:lang w:val="sv-SE"/>
        </w:rPr>
        <w:t>v</w:t>
      </w:r>
      <w:r w:rsidRPr="00A50800">
        <w:rPr>
          <w:lang w:val="sv-SE"/>
        </w:rPr>
        <w:t>illkoren</w:t>
      </w:r>
      <w:r>
        <w:rPr>
          <w:lang w:val="sv-SE"/>
        </w:rPr>
        <w:t>,</w:t>
      </w:r>
      <w:r w:rsidRPr="00A50800">
        <w:rPr>
          <w:lang w:val="sv-SE"/>
        </w:rPr>
        <w:t xml:space="preserve"> inom trettio (30) dagar från det att begäran om ett oberoende fastställande framställdes</w:t>
      </w:r>
      <w:r>
        <w:rPr>
          <w:lang w:val="sv-SE"/>
        </w:rPr>
        <w:t>,</w:t>
      </w:r>
      <w:r w:rsidRPr="00A50800">
        <w:rPr>
          <w:lang w:val="sv-SE"/>
        </w:rPr>
        <w:t xml:space="preserve"> har enats om en kvalificerad expert (härefter kallad "</w:t>
      </w:r>
      <w:r w:rsidRPr="00A50800">
        <w:rPr>
          <w:b/>
          <w:lang w:val="sv-SE"/>
        </w:rPr>
        <w:t>Experten</w:t>
      </w:r>
      <w:r w:rsidRPr="00A50800">
        <w:rPr>
          <w:lang w:val="sv-SE"/>
        </w:rPr>
        <w:t xml:space="preserve">"), </w:t>
      </w:r>
      <w:r>
        <w:rPr>
          <w:lang w:val="sv-SE"/>
        </w:rPr>
        <w:t>ska</w:t>
      </w:r>
      <w:r w:rsidRPr="00A50800">
        <w:rPr>
          <w:lang w:val="sv-SE"/>
        </w:rPr>
        <w:t xml:space="preserve"> Stockholms Handelskammare, efter begäran av Optionsinnehavaren, utnämna en Expert. En sådan utnämning </w:t>
      </w:r>
      <w:r>
        <w:rPr>
          <w:lang w:val="sv-SE"/>
        </w:rPr>
        <w:t>ska</w:t>
      </w:r>
      <w:r w:rsidRPr="00A50800">
        <w:rPr>
          <w:lang w:val="sv-SE"/>
        </w:rPr>
        <w:t xml:space="preserve"> vara slutlig och bindande för Optionsinnehavaren och för Bolaget.</w:t>
      </w:r>
      <w:r w:rsidRPr="00A50800">
        <w:rPr>
          <w:lang w:val="sv-SE"/>
        </w:rPr>
        <w:br/>
      </w:r>
      <w:r w:rsidRPr="00437F01">
        <w:rPr>
          <w:i/>
        </w:rPr>
        <w:t xml:space="preserve">Unless the Company and the </w:t>
      </w:r>
      <w:r>
        <w:rPr>
          <w:i/>
        </w:rPr>
        <w:t>Warrant Holder</w:t>
      </w:r>
      <w:r w:rsidRPr="00437F01">
        <w:rPr>
          <w:i/>
        </w:rPr>
        <w:t xml:space="preserve"> </w:t>
      </w:r>
      <w:r>
        <w:rPr>
          <w:i/>
        </w:rPr>
        <w:t>requesting the adjustment of these terms and conditions</w:t>
      </w:r>
      <w:r w:rsidRPr="00437F01">
        <w:rPr>
          <w:i/>
        </w:rPr>
        <w:t xml:space="preserve">, within thirty (30) days from the request for </w:t>
      </w:r>
      <w:proofErr w:type="gramStart"/>
      <w:r w:rsidRPr="00437F01">
        <w:rPr>
          <w:i/>
        </w:rPr>
        <w:t>independent determination</w:t>
      </w:r>
      <w:proofErr w:type="gramEnd"/>
      <w:r w:rsidRPr="00437F01">
        <w:rPr>
          <w:i/>
        </w:rPr>
        <w:t xml:space="preserve">, </w:t>
      </w:r>
      <w:r>
        <w:rPr>
          <w:i/>
        </w:rPr>
        <w:t xml:space="preserve">have </w:t>
      </w:r>
      <w:r w:rsidRPr="00437F01">
        <w:rPr>
          <w:i/>
        </w:rPr>
        <w:t xml:space="preserve">agreed on a qualified expert (hereinafter referred to </w:t>
      </w:r>
      <w:proofErr w:type="gramStart"/>
      <w:r w:rsidRPr="00437F01">
        <w:rPr>
          <w:i/>
        </w:rPr>
        <w:t>as the</w:t>
      </w:r>
      <w:proofErr w:type="gramEnd"/>
      <w:r w:rsidRPr="00437F01">
        <w:rPr>
          <w:i/>
        </w:rPr>
        <w:t xml:space="preserve"> "</w:t>
      </w:r>
      <w:r w:rsidRPr="00437F01">
        <w:rPr>
          <w:b/>
          <w:i/>
        </w:rPr>
        <w:t>Expert</w:t>
      </w:r>
      <w:r w:rsidRPr="00437F01">
        <w:rPr>
          <w:i/>
        </w:rPr>
        <w:t xml:space="preserve">"), the Stockholm Chamber of Commerce shall, at the request of the requesting </w:t>
      </w:r>
      <w:r>
        <w:rPr>
          <w:i/>
        </w:rPr>
        <w:t>Warrant Holder</w:t>
      </w:r>
      <w:r w:rsidRPr="00437F01">
        <w:rPr>
          <w:i/>
        </w:rPr>
        <w:t xml:space="preserve">, appoint </w:t>
      </w:r>
      <w:r>
        <w:rPr>
          <w:i/>
        </w:rPr>
        <w:t>an</w:t>
      </w:r>
      <w:r w:rsidRPr="00437F01">
        <w:rPr>
          <w:i/>
        </w:rPr>
        <w:t xml:space="preserve"> Expert</w:t>
      </w:r>
      <w:r>
        <w:rPr>
          <w:i/>
        </w:rPr>
        <w:t>.</w:t>
      </w:r>
      <w:r w:rsidRPr="00437F01">
        <w:rPr>
          <w:i/>
        </w:rPr>
        <w:t xml:space="preserve"> such appointment </w:t>
      </w:r>
      <w:r>
        <w:rPr>
          <w:i/>
        </w:rPr>
        <w:t>shall</w:t>
      </w:r>
      <w:r w:rsidRPr="00437F01">
        <w:rPr>
          <w:i/>
        </w:rPr>
        <w:t xml:space="preserve"> be final and binding on the </w:t>
      </w:r>
      <w:r>
        <w:rPr>
          <w:i/>
        </w:rPr>
        <w:t>Warrant Holder</w:t>
      </w:r>
      <w:r w:rsidRPr="00437F01">
        <w:rPr>
          <w:i/>
        </w:rPr>
        <w:t xml:space="preserve"> and the Company.</w:t>
      </w:r>
    </w:p>
    <w:p w14:paraId="26CC4143" w14:textId="77777777" w:rsidR="00F3012E" w:rsidRPr="00437F01" w:rsidRDefault="00F3012E" w:rsidP="006350FE">
      <w:pPr>
        <w:pStyle w:val="BodyText"/>
        <w:numPr>
          <w:ilvl w:val="3"/>
          <w:numId w:val="56"/>
        </w:numPr>
      </w:pPr>
      <w:r w:rsidRPr="00A50800">
        <w:rPr>
          <w:lang w:val="sv-SE"/>
        </w:rPr>
        <w:t xml:space="preserve">Experten </w:t>
      </w:r>
      <w:r>
        <w:rPr>
          <w:lang w:val="sv-SE"/>
        </w:rPr>
        <w:t>ska</w:t>
      </w:r>
      <w:r w:rsidRPr="00A50800">
        <w:rPr>
          <w:lang w:val="sv-SE"/>
        </w:rPr>
        <w:t xml:space="preserve"> självständigt beakta den inträffade händelsen och dess inverkan på Teckningsoptionerna och/eller Aktierna och/eller Optionsinnehavaren. Experten har rätt att erhålla värdering eller övrig assistans från annan ansedd utomstående part efter instruktioner av Experten.</w:t>
      </w:r>
      <w:r w:rsidRPr="00A50800">
        <w:rPr>
          <w:lang w:val="sv-SE"/>
        </w:rPr>
        <w:br/>
      </w:r>
      <w:r w:rsidRPr="00437F01">
        <w:rPr>
          <w:i/>
        </w:rPr>
        <w:t xml:space="preserve">The Expert shall independently consider the event that occurred and its effect on the Warrants and/or Shares and/or the </w:t>
      </w:r>
      <w:r>
        <w:rPr>
          <w:i/>
        </w:rPr>
        <w:t>Warrant Holder</w:t>
      </w:r>
      <w:r w:rsidRPr="00437F01">
        <w:rPr>
          <w:i/>
        </w:rPr>
        <w:t>. In doing this, the Expert may obtain a valuation or other assistance from a reputable third party instructed by the Expert.</w:t>
      </w:r>
    </w:p>
    <w:p w14:paraId="04F07FAF" w14:textId="77777777" w:rsidR="00F3012E" w:rsidRPr="00437F01" w:rsidRDefault="00F3012E" w:rsidP="006350FE">
      <w:pPr>
        <w:pStyle w:val="BodyText"/>
        <w:numPr>
          <w:ilvl w:val="3"/>
          <w:numId w:val="56"/>
        </w:numPr>
      </w:pPr>
      <w:r w:rsidRPr="00A50800">
        <w:rPr>
          <w:lang w:val="sv-SE"/>
        </w:rPr>
        <w:t xml:space="preserve">Experten </w:t>
      </w:r>
      <w:r>
        <w:rPr>
          <w:lang w:val="sv-SE"/>
        </w:rPr>
        <w:t>ska</w:t>
      </w:r>
      <w:r w:rsidRPr="00A50800">
        <w:rPr>
          <w:lang w:val="sv-SE"/>
        </w:rPr>
        <w:t xml:space="preserve"> fastställa en lämplig omräkning i enlighet med dessa </w:t>
      </w:r>
      <w:r>
        <w:rPr>
          <w:lang w:val="sv-SE"/>
        </w:rPr>
        <w:t>v</w:t>
      </w:r>
      <w:r w:rsidRPr="00A50800">
        <w:rPr>
          <w:lang w:val="sv-SE"/>
        </w:rPr>
        <w:t xml:space="preserve">illkor för att till fullo kompensera Optionsinnehavaren för varje utspädning och annan negativ påverkan. Experten </w:t>
      </w:r>
      <w:r>
        <w:rPr>
          <w:lang w:val="sv-SE"/>
        </w:rPr>
        <w:t>ska</w:t>
      </w:r>
      <w:r w:rsidRPr="00A50800">
        <w:rPr>
          <w:lang w:val="sv-SE"/>
        </w:rPr>
        <w:t xml:space="preserve"> så långt möjligt tillämpa de </w:t>
      </w:r>
      <w:proofErr w:type="spellStart"/>
      <w:r w:rsidRPr="00A50800">
        <w:rPr>
          <w:lang w:val="sv-SE"/>
        </w:rPr>
        <w:t>omräkningsprinciper</w:t>
      </w:r>
      <w:proofErr w:type="spellEnd"/>
      <w:r w:rsidRPr="00A50800">
        <w:rPr>
          <w:lang w:val="sv-SE"/>
        </w:rPr>
        <w:t xml:space="preserve"> som följer av punkt </w:t>
      </w:r>
      <w:r>
        <w:fldChar w:fldCharType="begin"/>
      </w:r>
      <w:r>
        <w:rPr>
          <w:lang w:val="sv-SE"/>
        </w:rPr>
        <w:instrText xml:space="preserve"> REF _Ref419825929 \r \h </w:instrText>
      </w:r>
      <w:r>
        <w:fldChar w:fldCharType="separate"/>
      </w:r>
      <w:r>
        <w:rPr>
          <w:lang w:val="sv-SE"/>
        </w:rPr>
        <w:t>8.2</w:t>
      </w:r>
      <w:r>
        <w:fldChar w:fldCharType="end"/>
      </w:r>
      <w:r w:rsidRPr="00A50800">
        <w:rPr>
          <w:lang w:val="sv-SE"/>
        </w:rPr>
        <w:t xml:space="preserve"> och/eller av andra för ändamålet relevanta bestämmelser i dessa </w:t>
      </w:r>
      <w:r>
        <w:rPr>
          <w:lang w:val="sv-SE"/>
        </w:rPr>
        <w:t>v</w:t>
      </w:r>
      <w:r w:rsidRPr="00A50800">
        <w:rPr>
          <w:lang w:val="sv-SE"/>
        </w:rPr>
        <w:t xml:space="preserve">illkor för Teckningsoptioner och/eller i s.k. teckningsoptionsägaravtal avseende innehav av Teckningsoptioner, Aktier och/eller andra </w:t>
      </w:r>
      <w:r>
        <w:rPr>
          <w:lang w:val="sv-SE"/>
        </w:rPr>
        <w:t>r</w:t>
      </w:r>
      <w:r w:rsidRPr="00A50800">
        <w:rPr>
          <w:lang w:val="sv-SE"/>
        </w:rPr>
        <w:t>ättigheter i Bolaget.</w:t>
      </w:r>
      <w:r w:rsidRPr="00A50800">
        <w:rPr>
          <w:lang w:val="sv-SE"/>
        </w:rPr>
        <w:br/>
      </w:r>
      <w:r w:rsidRPr="00437F01">
        <w:rPr>
          <w:i/>
        </w:rPr>
        <w:t xml:space="preserve">The Expert shall decide on the appropriate adjustments in accordance with these </w:t>
      </w:r>
      <w:r>
        <w:rPr>
          <w:i/>
        </w:rPr>
        <w:t>t</w:t>
      </w:r>
      <w:r w:rsidRPr="00437F01">
        <w:rPr>
          <w:i/>
        </w:rPr>
        <w:t xml:space="preserve">erms and </w:t>
      </w:r>
      <w:r>
        <w:rPr>
          <w:i/>
        </w:rPr>
        <w:t>c</w:t>
      </w:r>
      <w:r w:rsidRPr="00437F01">
        <w:rPr>
          <w:i/>
        </w:rPr>
        <w:t xml:space="preserve">onditions in order to fully compensate the </w:t>
      </w:r>
      <w:r>
        <w:rPr>
          <w:i/>
        </w:rPr>
        <w:t>Warrant Holder</w:t>
      </w:r>
      <w:r w:rsidRPr="00437F01">
        <w:rPr>
          <w:i/>
        </w:rPr>
        <w:t xml:space="preserve"> for any dilution and other adverse effects. The Expert shall as far as possible apply the adjustment principles set out in section </w:t>
      </w:r>
      <w:r>
        <w:rPr>
          <w:i/>
        </w:rPr>
        <w:fldChar w:fldCharType="begin"/>
      </w:r>
      <w:r>
        <w:rPr>
          <w:i/>
        </w:rPr>
        <w:instrText xml:space="preserve"> REF _Ref419825929 \r \h </w:instrText>
      </w:r>
      <w:r>
        <w:rPr>
          <w:i/>
        </w:rPr>
      </w:r>
      <w:r>
        <w:rPr>
          <w:i/>
        </w:rPr>
        <w:fldChar w:fldCharType="separate"/>
      </w:r>
      <w:r>
        <w:rPr>
          <w:i/>
        </w:rPr>
        <w:t>8.2</w:t>
      </w:r>
      <w:r>
        <w:rPr>
          <w:i/>
        </w:rPr>
        <w:fldChar w:fldCharType="end"/>
      </w:r>
      <w:r w:rsidRPr="00437F01">
        <w:rPr>
          <w:i/>
        </w:rPr>
        <w:t xml:space="preserve"> and/or any other relevant provisions of these </w:t>
      </w:r>
      <w:r>
        <w:rPr>
          <w:i/>
        </w:rPr>
        <w:t>t</w:t>
      </w:r>
      <w:r w:rsidRPr="00437F01">
        <w:rPr>
          <w:i/>
        </w:rPr>
        <w:t xml:space="preserve">erms and </w:t>
      </w:r>
      <w:r>
        <w:rPr>
          <w:i/>
        </w:rPr>
        <w:t>c</w:t>
      </w:r>
      <w:r w:rsidRPr="00437F01">
        <w:rPr>
          <w:i/>
        </w:rPr>
        <w:t xml:space="preserve">onditions and/or any </w:t>
      </w:r>
      <w:r>
        <w:rPr>
          <w:i/>
        </w:rPr>
        <w:t>Warrant Holder</w:t>
      </w:r>
      <w:r w:rsidRPr="00437F01">
        <w:rPr>
          <w:i/>
        </w:rPr>
        <w:t xml:space="preserve"> agreement regarding the holding of Warrants, Shares and/or any other </w:t>
      </w:r>
      <w:r>
        <w:rPr>
          <w:i/>
        </w:rPr>
        <w:t>i</w:t>
      </w:r>
      <w:r w:rsidRPr="00437F01">
        <w:rPr>
          <w:i/>
        </w:rPr>
        <w:t>nterests in the Company.</w:t>
      </w:r>
    </w:p>
    <w:p w14:paraId="195F15F9" w14:textId="77777777" w:rsidR="00F3012E" w:rsidRPr="00437F01" w:rsidRDefault="00F3012E" w:rsidP="006350FE">
      <w:pPr>
        <w:pStyle w:val="BodyText"/>
        <w:numPr>
          <w:ilvl w:val="3"/>
          <w:numId w:val="56"/>
        </w:numPr>
      </w:pPr>
      <w:r w:rsidRPr="00A50800">
        <w:rPr>
          <w:lang w:val="sv-SE"/>
        </w:rPr>
        <w:t xml:space="preserve">Experten </w:t>
      </w:r>
      <w:r>
        <w:rPr>
          <w:lang w:val="sv-SE"/>
        </w:rPr>
        <w:t>ska</w:t>
      </w:r>
      <w:r w:rsidRPr="00A50800">
        <w:rPr>
          <w:lang w:val="sv-SE"/>
        </w:rPr>
        <w:t xml:space="preserve"> avge sitt beslut inom trettio (30) dagar räknat från den dag då denne tillsattes.</w:t>
      </w:r>
      <w:r w:rsidRPr="00A50800">
        <w:rPr>
          <w:lang w:val="sv-SE"/>
        </w:rPr>
        <w:br/>
      </w:r>
      <w:r w:rsidRPr="00437F01">
        <w:rPr>
          <w:i/>
        </w:rPr>
        <w:t>The Expert shall render his</w:t>
      </w:r>
      <w:r>
        <w:rPr>
          <w:i/>
        </w:rPr>
        <w:t>/her</w:t>
      </w:r>
      <w:r w:rsidRPr="00437F01">
        <w:rPr>
          <w:i/>
        </w:rPr>
        <w:t xml:space="preserve"> decision within thirty (30) days from the date when he</w:t>
      </w:r>
      <w:r>
        <w:rPr>
          <w:i/>
        </w:rPr>
        <w:t>/she</w:t>
      </w:r>
      <w:r w:rsidRPr="00437F01">
        <w:rPr>
          <w:i/>
        </w:rPr>
        <w:t xml:space="preserve"> was appointed.</w:t>
      </w:r>
    </w:p>
    <w:p w14:paraId="6FDAAA2D" w14:textId="77777777" w:rsidR="00F3012E" w:rsidRPr="00A50800" w:rsidRDefault="00F3012E" w:rsidP="006350FE">
      <w:pPr>
        <w:pStyle w:val="BodyText"/>
        <w:numPr>
          <w:ilvl w:val="3"/>
          <w:numId w:val="56"/>
        </w:numPr>
      </w:pPr>
      <w:r w:rsidRPr="00A50800">
        <w:rPr>
          <w:lang w:val="sv-SE"/>
        </w:rPr>
        <w:t xml:space="preserve">Expertens beslut </w:t>
      </w:r>
      <w:r>
        <w:rPr>
          <w:lang w:val="sv-SE"/>
        </w:rPr>
        <w:t>ska</w:t>
      </w:r>
      <w:r w:rsidRPr="00A50800">
        <w:rPr>
          <w:lang w:val="sv-SE"/>
        </w:rPr>
        <w:t xml:space="preserve"> vara slutligt bindande för Bolaget och för samtliga Optionsinnehavare.</w:t>
      </w:r>
      <w:r w:rsidRPr="00A50800">
        <w:rPr>
          <w:lang w:val="sv-SE"/>
        </w:rPr>
        <w:br/>
      </w:r>
      <w:r w:rsidRPr="00437F01">
        <w:rPr>
          <w:i/>
        </w:rPr>
        <w:t xml:space="preserve">The Expert's decision shall be final and binding on the Company and all </w:t>
      </w:r>
      <w:r>
        <w:rPr>
          <w:i/>
        </w:rPr>
        <w:t>Warrant Holder</w:t>
      </w:r>
      <w:r w:rsidRPr="00437F01">
        <w:rPr>
          <w:i/>
        </w:rPr>
        <w:t>s.</w:t>
      </w:r>
    </w:p>
    <w:p w14:paraId="32BF6D72" w14:textId="77777777" w:rsidR="00F3012E" w:rsidRPr="00437F01" w:rsidRDefault="00F3012E" w:rsidP="006350FE">
      <w:pPr>
        <w:pStyle w:val="BodyText"/>
        <w:numPr>
          <w:ilvl w:val="3"/>
          <w:numId w:val="56"/>
        </w:numPr>
      </w:pPr>
      <w:r w:rsidRPr="00A50800">
        <w:rPr>
          <w:lang w:val="sv-SE"/>
        </w:rPr>
        <w:t xml:space="preserve">Ersättningen för Expertens kostnader och skälig ersättning till denne </w:t>
      </w:r>
      <w:r>
        <w:rPr>
          <w:lang w:val="sv-SE"/>
        </w:rPr>
        <w:t>ska</w:t>
      </w:r>
      <w:r w:rsidRPr="00A50800">
        <w:rPr>
          <w:lang w:val="sv-SE"/>
        </w:rPr>
        <w:t xml:space="preserve"> delas lika mellan Bolaget och den Optionsinnehavare som begär justering.</w:t>
      </w:r>
      <w:r w:rsidRPr="00A50800">
        <w:rPr>
          <w:lang w:val="sv-SE"/>
        </w:rPr>
        <w:br/>
      </w:r>
      <w:r w:rsidRPr="00A50800">
        <w:rPr>
          <w:i/>
        </w:rPr>
        <w:lastRenderedPageBreak/>
        <w:t xml:space="preserve">The costs incurred by, and reasonable remuneration to, the Expert shall be divided equally between the Company and the </w:t>
      </w:r>
      <w:r>
        <w:rPr>
          <w:i/>
        </w:rPr>
        <w:t>Warrant Holder</w:t>
      </w:r>
      <w:r w:rsidRPr="00A50800">
        <w:rPr>
          <w:i/>
        </w:rPr>
        <w:t xml:space="preserve"> requesting </w:t>
      </w:r>
      <w:r>
        <w:rPr>
          <w:i/>
        </w:rPr>
        <w:t>the adjustment</w:t>
      </w:r>
      <w:r w:rsidRPr="00A50800">
        <w:rPr>
          <w:i/>
        </w:rPr>
        <w:t>.</w:t>
      </w:r>
    </w:p>
    <w:p w14:paraId="74D673DF" w14:textId="77777777" w:rsidR="00F3012E" w:rsidRPr="00A50800" w:rsidRDefault="00F3012E" w:rsidP="006350FE">
      <w:pPr>
        <w:pStyle w:val="BodyText"/>
        <w:numPr>
          <w:ilvl w:val="1"/>
          <w:numId w:val="56"/>
        </w:numPr>
        <w:spacing w:after="0"/>
        <w:rPr>
          <w:b/>
          <w:bCs/>
        </w:rPr>
      </w:pPr>
      <w:bookmarkStart w:id="41" w:name="_Ref419825929"/>
      <w:r w:rsidRPr="006B6AC0">
        <w:rPr>
          <w:b/>
          <w:bCs/>
          <w:lang w:val="sv-SE"/>
        </w:rPr>
        <w:t>Omräkning</w:t>
      </w:r>
      <w:r w:rsidRPr="00A50800">
        <w:rPr>
          <w:b/>
          <w:bCs/>
        </w:rPr>
        <w:t>/</w:t>
      </w:r>
      <w:r w:rsidRPr="00A50800">
        <w:rPr>
          <w:b/>
          <w:bCs/>
          <w:i/>
          <w:iCs/>
        </w:rPr>
        <w:t>Recalculations</w:t>
      </w:r>
      <w:bookmarkEnd w:id="41"/>
    </w:p>
    <w:p w14:paraId="62281A76" w14:textId="77777777" w:rsidR="00F3012E" w:rsidRPr="00437F01" w:rsidRDefault="00F3012E" w:rsidP="006350FE">
      <w:pPr>
        <w:pStyle w:val="BodyText"/>
        <w:numPr>
          <w:ilvl w:val="2"/>
          <w:numId w:val="56"/>
        </w:numPr>
      </w:pPr>
      <w:r w:rsidRPr="00A50800">
        <w:rPr>
          <w:lang w:val="sv-SE"/>
        </w:rPr>
        <w:t xml:space="preserve">En omräkning av det antal Aktier som varje Teckningsoption ger rätt att teckna </w:t>
      </w:r>
      <w:r>
        <w:rPr>
          <w:lang w:val="sv-SE"/>
        </w:rPr>
        <w:t>ska</w:t>
      </w:r>
      <w:r w:rsidRPr="00A50800">
        <w:rPr>
          <w:lang w:val="sv-SE"/>
        </w:rPr>
        <w:t xml:space="preserve"> utföras om Teckning verkställs efter beslut om sådan</w:t>
      </w:r>
      <w:r>
        <w:rPr>
          <w:lang w:val="sv-SE"/>
        </w:rPr>
        <w:t>a</w:t>
      </w:r>
      <w:r w:rsidRPr="00A50800">
        <w:rPr>
          <w:lang w:val="sv-SE"/>
        </w:rPr>
        <w:t xml:space="preserve"> </w:t>
      </w:r>
      <w:r>
        <w:rPr>
          <w:lang w:val="sv-SE"/>
        </w:rPr>
        <w:t>bolagshändelser</w:t>
      </w:r>
      <w:r w:rsidRPr="00A50800">
        <w:rPr>
          <w:lang w:val="sv-SE"/>
        </w:rPr>
        <w:t xml:space="preserve"> som anges i </w:t>
      </w:r>
      <w:r>
        <w:rPr>
          <w:lang w:val="sv-SE"/>
        </w:rPr>
        <w:t>punkterna</w:t>
      </w:r>
      <w:r w:rsidRPr="00A50800">
        <w:rPr>
          <w:lang w:val="sv-SE"/>
        </w:rPr>
        <w:t xml:space="preserve"> </w:t>
      </w:r>
      <w:r>
        <w:rPr>
          <w:szCs w:val="22"/>
        </w:rPr>
        <w:fldChar w:fldCharType="begin"/>
      </w:r>
      <w:r>
        <w:rPr>
          <w:lang w:val="sv-SE"/>
        </w:rPr>
        <w:instrText xml:space="preserve"> REF _Ref419826047 \r \h </w:instrText>
      </w:r>
      <w:r>
        <w:rPr>
          <w:szCs w:val="22"/>
        </w:rPr>
      </w:r>
      <w:r>
        <w:rPr>
          <w:szCs w:val="22"/>
        </w:rPr>
        <w:fldChar w:fldCharType="separate"/>
      </w:r>
      <w:r>
        <w:rPr>
          <w:lang w:val="sv-SE"/>
        </w:rPr>
        <w:t>8.2.2</w:t>
      </w:r>
      <w:r>
        <w:rPr>
          <w:szCs w:val="22"/>
        </w:rPr>
        <w:fldChar w:fldCharType="end"/>
      </w:r>
      <w:r>
        <w:rPr>
          <w:lang w:val="sv-SE"/>
        </w:rPr>
        <w:t>–</w:t>
      </w:r>
      <w:r>
        <w:rPr>
          <w:szCs w:val="22"/>
        </w:rPr>
        <w:fldChar w:fldCharType="begin"/>
      </w:r>
      <w:r>
        <w:rPr>
          <w:lang w:val="sv-SE"/>
        </w:rPr>
        <w:instrText xml:space="preserve"> REF _Ref439067192 \r \h </w:instrText>
      </w:r>
      <w:r>
        <w:rPr>
          <w:szCs w:val="22"/>
        </w:rPr>
      </w:r>
      <w:r>
        <w:rPr>
          <w:szCs w:val="22"/>
        </w:rPr>
        <w:fldChar w:fldCharType="separate"/>
      </w:r>
      <w:r>
        <w:rPr>
          <w:lang w:val="sv-SE"/>
        </w:rPr>
        <w:t>8.2.21</w:t>
      </w:r>
      <w:r>
        <w:rPr>
          <w:szCs w:val="22"/>
        </w:rPr>
        <w:fldChar w:fldCharType="end"/>
      </w:r>
      <w:r w:rsidRPr="006B6AC0">
        <w:rPr>
          <w:szCs w:val="22"/>
          <w:lang w:val="sv-SE"/>
        </w:rPr>
        <w:t xml:space="preserve"> </w:t>
      </w:r>
      <w:r>
        <w:rPr>
          <w:szCs w:val="22"/>
          <w:lang w:val="sv-SE"/>
        </w:rPr>
        <w:t>nedan</w:t>
      </w:r>
      <w:r w:rsidRPr="00A50800">
        <w:rPr>
          <w:lang w:val="sv-SE"/>
        </w:rPr>
        <w:t>.</w:t>
      </w:r>
      <w:r w:rsidRPr="00A50800">
        <w:rPr>
          <w:lang w:val="sv-SE"/>
        </w:rPr>
        <w:br/>
      </w:r>
      <w:r w:rsidRPr="00437F01">
        <w:rPr>
          <w:i/>
        </w:rPr>
        <w:t xml:space="preserve">A recalculated number of Shares which every Warrant confers the right to subscribe for, shall be </w:t>
      </w:r>
      <w:r>
        <w:rPr>
          <w:i/>
        </w:rPr>
        <w:t>made</w:t>
      </w:r>
      <w:r w:rsidRPr="00437F01">
        <w:rPr>
          <w:i/>
        </w:rPr>
        <w:t xml:space="preserve"> </w:t>
      </w:r>
      <w:r>
        <w:rPr>
          <w:i/>
        </w:rPr>
        <w:t>if</w:t>
      </w:r>
      <w:r w:rsidRPr="00437F01">
        <w:rPr>
          <w:i/>
        </w:rPr>
        <w:t xml:space="preserve"> Subscription </w:t>
      </w:r>
      <w:r>
        <w:rPr>
          <w:i/>
        </w:rPr>
        <w:t xml:space="preserve">is </w:t>
      </w:r>
      <w:r w:rsidRPr="00437F01">
        <w:rPr>
          <w:i/>
        </w:rPr>
        <w:t xml:space="preserve">executed </w:t>
      </w:r>
      <w:r>
        <w:rPr>
          <w:i/>
        </w:rPr>
        <w:t>following</w:t>
      </w:r>
      <w:r w:rsidRPr="00437F01">
        <w:rPr>
          <w:i/>
        </w:rPr>
        <w:t xml:space="preserve"> </w:t>
      </w:r>
      <w:r>
        <w:rPr>
          <w:i/>
        </w:rPr>
        <w:t>a</w:t>
      </w:r>
      <w:r w:rsidRPr="00437F01">
        <w:rPr>
          <w:i/>
        </w:rPr>
        <w:t xml:space="preserve"> </w:t>
      </w:r>
      <w:r>
        <w:rPr>
          <w:i/>
        </w:rPr>
        <w:t>resolution</w:t>
      </w:r>
      <w:r w:rsidRPr="00437F01">
        <w:rPr>
          <w:i/>
        </w:rPr>
        <w:t xml:space="preserve"> on </w:t>
      </w:r>
      <w:r>
        <w:rPr>
          <w:i/>
        </w:rPr>
        <w:t>such</w:t>
      </w:r>
      <w:r w:rsidRPr="00437F01">
        <w:rPr>
          <w:i/>
        </w:rPr>
        <w:t xml:space="preserve"> </w:t>
      </w:r>
      <w:r>
        <w:rPr>
          <w:i/>
        </w:rPr>
        <w:t>corporate events</w:t>
      </w:r>
      <w:r w:rsidRPr="00437F01">
        <w:rPr>
          <w:i/>
        </w:rPr>
        <w:t xml:space="preserve"> </w:t>
      </w:r>
      <w:r>
        <w:rPr>
          <w:i/>
        </w:rPr>
        <w:t xml:space="preserve">as </w:t>
      </w:r>
      <w:r w:rsidRPr="00437F01">
        <w:rPr>
          <w:i/>
        </w:rPr>
        <w:t xml:space="preserve">set in sections </w:t>
      </w:r>
      <w:r>
        <w:rPr>
          <w:i/>
          <w:szCs w:val="22"/>
        </w:rPr>
        <w:fldChar w:fldCharType="begin"/>
      </w:r>
      <w:r>
        <w:rPr>
          <w:i/>
        </w:rPr>
        <w:instrText xml:space="preserve"> REF _Ref419826047 \r \h </w:instrText>
      </w:r>
      <w:r>
        <w:rPr>
          <w:i/>
          <w:szCs w:val="22"/>
        </w:rPr>
      </w:r>
      <w:r>
        <w:rPr>
          <w:i/>
          <w:szCs w:val="22"/>
        </w:rPr>
        <w:fldChar w:fldCharType="separate"/>
      </w:r>
      <w:r>
        <w:rPr>
          <w:i/>
        </w:rPr>
        <w:t>8.2.2</w:t>
      </w:r>
      <w:r>
        <w:rPr>
          <w:i/>
          <w:szCs w:val="22"/>
        </w:rPr>
        <w:fldChar w:fldCharType="end"/>
      </w:r>
      <w:r w:rsidRPr="00437F01">
        <w:rPr>
          <w:i/>
        </w:rPr>
        <w:t>–</w:t>
      </w:r>
      <w:r>
        <w:rPr>
          <w:i/>
          <w:szCs w:val="22"/>
        </w:rPr>
        <w:fldChar w:fldCharType="begin"/>
      </w:r>
      <w:r>
        <w:rPr>
          <w:i/>
        </w:rPr>
        <w:instrText xml:space="preserve"> REF _Ref439067192 \r \h </w:instrText>
      </w:r>
      <w:r>
        <w:rPr>
          <w:i/>
          <w:szCs w:val="22"/>
        </w:rPr>
      </w:r>
      <w:r>
        <w:rPr>
          <w:i/>
          <w:szCs w:val="22"/>
        </w:rPr>
        <w:fldChar w:fldCharType="separate"/>
      </w:r>
      <w:r>
        <w:rPr>
          <w:i/>
        </w:rPr>
        <w:t>8.2.21</w:t>
      </w:r>
      <w:r>
        <w:rPr>
          <w:i/>
          <w:szCs w:val="22"/>
        </w:rPr>
        <w:fldChar w:fldCharType="end"/>
      </w:r>
      <w:r>
        <w:rPr>
          <w:i/>
          <w:szCs w:val="22"/>
        </w:rPr>
        <w:t xml:space="preserve"> below</w:t>
      </w:r>
      <w:r w:rsidRPr="00437F01">
        <w:rPr>
          <w:i/>
        </w:rPr>
        <w:t>.</w:t>
      </w:r>
    </w:p>
    <w:p w14:paraId="378C02CD" w14:textId="77777777" w:rsidR="00F3012E" w:rsidRPr="00A50800" w:rsidRDefault="00F3012E" w:rsidP="006350FE">
      <w:pPr>
        <w:pStyle w:val="BodyText"/>
        <w:numPr>
          <w:ilvl w:val="2"/>
          <w:numId w:val="56"/>
        </w:numPr>
        <w:spacing w:after="0"/>
        <w:rPr>
          <w:b/>
          <w:bCs/>
        </w:rPr>
      </w:pPr>
      <w:bookmarkStart w:id="42" w:name="_Ref419826047"/>
      <w:r w:rsidRPr="006B6AC0">
        <w:rPr>
          <w:b/>
          <w:bCs/>
          <w:lang w:val="sv-SE"/>
        </w:rPr>
        <w:t>Fondemission</w:t>
      </w:r>
      <w:r w:rsidRPr="00A50800">
        <w:rPr>
          <w:b/>
          <w:bCs/>
        </w:rPr>
        <w:t>/</w:t>
      </w:r>
      <w:r w:rsidRPr="00A50800">
        <w:rPr>
          <w:b/>
          <w:bCs/>
          <w:i/>
          <w:iCs/>
        </w:rPr>
        <w:t>Bonus Issue</w:t>
      </w:r>
      <w:bookmarkEnd w:id="42"/>
    </w:p>
    <w:p w14:paraId="11543576" w14:textId="77777777" w:rsidR="00F3012E" w:rsidRPr="00437F01" w:rsidRDefault="00F3012E" w:rsidP="00F3012E">
      <w:pPr>
        <w:pStyle w:val="BodyText"/>
        <w:ind w:left="720"/>
      </w:pPr>
      <w:r w:rsidRPr="006B6AC0">
        <w:rPr>
          <w:lang w:val="sv-SE"/>
        </w:rPr>
        <w:t xml:space="preserve">Genomför Bolaget en </w:t>
      </w:r>
      <w:r w:rsidRPr="006B6AC0">
        <w:rPr>
          <w:u w:val="single"/>
          <w:lang w:val="sv-SE"/>
        </w:rPr>
        <w:t>fondemission</w:t>
      </w:r>
      <w:r w:rsidRPr="006B6AC0">
        <w:rPr>
          <w:lang w:val="sv-SE"/>
        </w:rPr>
        <w:t xml:space="preserve"> ska Teckning – där anmälan om Teckning görs på sådan</w:t>
      </w:r>
      <w:r w:rsidRPr="00A50800">
        <w:rPr>
          <w:lang w:val="sv-SE"/>
        </w:rPr>
        <w:t xml:space="preserve"> tid att den inte kan verkställas senast på tionde kalenderdagen före bolagsstämma som beslutar om emissionen – verkställas först sedan stämman beslutat om denna. Aktier, som tillkommit på grund av Teckning verkställd efter </w:t>
      </w:r>
      <w:proofErr w:type="spellStart"/>
      <w:r w:rsidRPr="00A50800">
        <w:rPr>
          <w:lang w:val="sv-SE"/>
        </w:rPr>
        <w:t>emissionsbeslutet</w:t>
      </w:r>
      <w:proofErr w:type="spellEnd"/>
      <w:r w:rsidRPr="00A50800">
        <w:rPr>
          <w:lang w:val="sv-SE"/>
        </w:rPr>
        <w:t xml:space="preserve">, registreras interimistiskt på avstämningskonto, vilket innebär att </w:t>
      </w:r>
      <w:r>
        <w:rPr>
          <w:lang w:val="sv-SE"/>
        </w:rPr>
        <w:t>Optionsinnehavaren</w:t>
      </w:r>
      <w:r w:rsidRPr="00A50800">
        <w:rPr>
          <w:lang w:val="sv-SE"/>
        </w:rPr>
        <w:t xml:space="preserve"> inte har rätt att deltaga i emissionen. Slutlig registrering på avstämningskonto sker först efter avstämningsdagen för </w:t>
      </w:r>
      <w:r>
        <w:rPr>
          <w:lang w:val="sv-SE"/>
        </w:rPr>
        <w:t>fond</w:t>
      </w:r>
      <w:r w:rsidRPr="00A50800">
        <w:rPr>
          <w:lang w:val="sv-SE"/>
        </w:rPr>
        <w:t>emissionen.</w:t>
      </w:r>
      <w:r w:rsidRPr="00A50800">
        <w:rPr>
          <w:lang w:val="sv-SE"/>
        </w:rPr>
        <w:br/>
      </w:r>
      <w:r w:rsidRPr="00437F01">
        <w:rPr>
          <w:i/>
        </w:rPr>
        <w:t xml:space="preserve">In the event the Company carries out a </w:t>
      </w:r>
      <w:r w:rsidRPr="00437F01">
        <w:rPr>
          <w:i/>
          <w:u w:val="single"/>
        </w:rPr>
        <w:t>bonus issue</w:t>
      </w:r>
      <w:r w:rsidRPr="00437F01">
        <w:rPr>
          <w:i/>
        </w:rPr>
        <w:t xml:space="preserve">, Subscription shall – where notice of Subscription is made at such time that it cannot be effected at the latest on the tenth calendar day prior to the shareholders' meeting which resolves upon the issue – be effected only after the shareholders' meeting has resolved to carry out the bonus issue. Shares which </w:t>
      </w:r>
      <w:proofErr w:type="gramStart"/>
      <w:r w:rsidRPr="00437F01">
        <w:rPr>
          <w:i/>
        </w:rPr>
        <w:t>is</w:t>
      </w:r>
      <w:proofErr w:type="gramEnd"/>
      <w:r w:rsidRPr="00437F01">
        <w:rPr>
          <w:i/>
        </w:rPr>
        <w:t xml:space="preserve"> issued </w:t>
      </w:r>
      <w:proofErr w:type="gramStart"/>
      <w:r w:rsidRPr="00437F01">
        <w:rPr>
          <w:i/>
        </w:rPr>
        <w:t>as a consequence of</w:t>
      </w:r>
      <w:proofErr w:type="gramEnd"/>
      <w:r w:rsidRPr="00437F01">
        <w:rPr>
          <w:i/>
        </w:rPr>
        <w:t xml:space="preserve"> Subscription executed after such a resolution shall be registered on an interim basis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and do not entitle </w:t>
      </w:r>
      <w:r>
        <w:rPr>
          <w:i/>
        </w:rPr>
        <w:t>the Warrant Holder to</w:t>
      </w:r>
      <w:r w:rsidRPr="00437F01">
        <w:rPr>
          <w:i/>
        </w:rPr>
        <w:t xml:space="preserve"> participa</w:t>
      </w:r>
      <w:r>
        <w:rPr>
          <w:i/>
        </w:rPr>
        <w:t>te</w:t>
      </w:r>
      <w:r w:rsidRPr="00437F01">
        <w:rPr>
          <w:i/>
        </w:rPr>
        <w:t xml:space="preserve"> in the issue. Final registration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shall take place only after the record date for the </w:t>
      </w:r>
      <w:r>
        <w:rPr>
          <w:i/>
        </w:rPr>
        <w:t xml:space="preserve">bonus </w:t>
      </w:r>
      <w:r w:rsidRPr="00437F01">
        <w:rPr>
          <w:i/>
        </w:rPr>
        <w:t>issue.</w:t>
      </w:r>
    </w:p>
    <w:p w14:paraId="6693B22D" w14:textId="77777777" w:rsidR="00F3012E" w:rsidRPr="00437F01" w:rsidRDefault="00F3012E" w:rsidP="00F3012E">
      <w:pPr>
        <w:pStyle w:val="BodyText"/>
        <w:ind w:left="720"/>
      </w:pPr>
      <w:r w:rsidRPr="00F31BD1">
        <w:rPr>
          <w:lang w:val="sv-SE"/>
        </w:rPr>
        <w:t xml:space="preserve">Vid Teckning som verkställs efter beslutet om fondemission tillämpas en omräknad Teckningskurs liksom en omräkning av det antal Aktier som varje Teckningsoption berättigar till Teckning av. </w:t>
      </w:r>
      <w:proofErr w:type="spellStart"/>
      <w:r w:rsidRPr="006B6AC0">
        <w:rPr>
          <w:lang w:val="en-US"/>
        </w:rPr>
        <w:t>Omräkningarna</w:t>
      </w:r>
      <w:proofErr w:type="spellEnd"/>
      <w:r w:rsidRPr="006B6AC0">
        <w:rPr>
          <w:lang w:val="en-US"/>
        </w:rPr>
        <w:t xml:space="preserve"> </w:t>
      </w:r>
      <w:proofErr w:type="spellStart"/>
      <w:r w:rsidRPr="006B6AC0">
        <w:rPr>
          <w:lang w:val="en-US"/>
        </w:rPr>
        <w:t>utförs</w:t>
      </w:r>
      <w:proofErr w:type="spellEnd"/>
      <w:r w:rsidRPr="006B6AC0">
        <w:rPr>
          <w:lang w:val="en-US"/>
        </w:rPr>
        <w:t xml:space="preserve"> av </w:t>
      </w:r>
      <w:proofErr w:type="spellStart"/>
      <w:r w:rsidRPr="006B6AC0">
        <w:rPr>
          <w:lang w:val="en-US"/>
        </w:rPr>
        <w:t>Bolaget</w:t>
      </w:r>
      <w:proofErr w:type="spellEnd"/>
      <w:r w:rsidRPr="006B6AC0">
        <w:rPr>
          <w:lang w:val="en-US"/>
        </w:rPr>
        <w:t xml:space="preserve"> </w:t>
      </w:r>
      <w:proofErr w:type="spellStart"/>
      <w:r w:rsidRPr="006B6AC0">
        <w:rPr>
          <w:lang w:val="en-US"/>
        </w:rPr>
        <w:t>enligt</w:t>
      </w:r>
      <w:proofErr w:type="spellEnd"/>
      <w:r w:rsidRPr="006B6AC0">
        <w:rPr>
          <w:lang w:val="en-US"/>
        </w:rPr>
        <w:t xml:space="preserve"> </w:t>
      </w:r>
      <w:proofErr w:type="spellStart"/>
      <w:r w:rsidRPr="006B6AC0">
        <w:rPr>
          <w:lang w:val="en-US"/>
        </w:rPr>
        <w:t>följande</w:t>
      </w:r>
      <w:proofErr w:type="spellEnd"/>
      <w:r w:rsidRPr="006B6AC0">
        <w:rPr>
          <w:lang w:val="en-US"/>
        </w:rPr>
        <w:t xml:space="preserve"> </w:t>
      </w:r>
      <w:proofErr w:type="spellStart"/>
      <w:r w:rsidRPr="006B6AC0">
        <w:rPr>
          <w:lang w:val="en-US"/>
        </w:rPr>
        <w:t>formler</w:t>
      </w:r>
      <w:proofErr w:type="spellEnd"/>
      <w:r w:rsidRPr="006B6AC0">
        <w:rPr>
          <w:lang w:val="en-US"/>
        </w:rPr>
        <w:t>:</w:t>
      </w:r>
      <w:r w:rsidRPr="00437F01">
        <w:br/>
      </w:r>
      <w:r w:rsidRPr="00437F01">
        <w:rPr>
          <w:i/>
        </w:rPr>
        <w:t>In conjunction with Subscription effected after the resolution to carry out the bonus issue, a re-calculated Subscription Price as well as a re-calculated number of Shares which each Warrant shall entitle to Subscribe for shall apply. The recalculations shall be made by the Company in accordance with the following formulas:</w:t>
      </w:r>
    </w:p>
    <w:tbl>
      <w:tblPr>
        <w:tblW w:w="0" w:type="auto"/>
        <w:tblInd w:w="630" w:type="dxa"/>
        <w:tblBorders>
          <w:top w:val="nil"/>
          <w:left w:val="nil"/>
          <w:bottom w:val="nil"/>
          <w:right w:val="nil"/>
          <w:insideH w:val="nil"/>
          <w:insideV w:val="nil"/>
        </w:tblBorders>
        <w:tblLook w:val="04A0" w:firstRow="1" w:lastRow="0" w:firstColumn="1" w:lastColumn="0" w:noHBand="0" w:noVBand="1"/>
      </w:tblPr>
      <w:tblGrid>
        <w:gridCol w:w="1890"/>
        <w:gridCol w:w="450"/>
        <w:gridCol w:w="6030"/>
      </w:tblGrid>
      <w:tr w:rsidR="00F3012E" w:rsidRPr="00D00630" w14:paraId="3CFBA49A" w14:textId="77777777" w:rsidTr="00695A7D">
        <w:trPr>
          <w:cantSplit/>
        </w:trPr>
        <w:tc>
          <w:tcPr>
            <w:tcW w:w="1890" w:type="dxa"/>
            <w:vMerge w:val="restart"/>
            <w:vAlign w:val="center"/>
          </w:tcPr>
          <w:p w14:paraId="4B275F09" w14:textId="77777777" w:rsidR="00F3012E" w:rsidRPr="006B6AC0" w:rsidRDefault="00F3012E" w:rsidP="00695A7D">
            <w:pPr>
              <w:pStyle w:val="TableText"/>
              <w:spacing w:after="0"/>
              <w:rPr>
                <w:lang w:val="sv-SE"/>
              </w:rPr>
            </w:pPr>
            <w:r w:rsidRPr="006B6AC0">
              <w:rPr>
                <w:lang w:val="sv-SE"/>
              </w:rPr>
              <w:t>Omräknad Teckningskurs</w:t>
            </w:r>
          </w:p>
        </w:tc>
        <w:tc>
          <w:tcPr>
            <w:tcW w:w="450" w:type="dxa"/>
            <w:vMerge w:val="restart"/>
            <w:vAlign w:val="center"/>
          </w:tcPr>
          <w:p w14:paraId="4075AB52" w14:textId="77777777" w:rsidR="00F3012E" w:rsidRPr="00437F01" w:rsidRDefault="00F3012E" w:rsidP="00695A7D">
            <w:pPr>
              <w:pStyle w:val="TableText"/>
              <w:spacing w:after="0"/>
              <w:jc w:val="center"/>
            </w:pPr>
            <w:r w:rsidRPr="00437F01">
              <w:t>=</w:t>
            </w:r>
          </w:p>
        </w:tc>
        <w:tc>
          <w:tcPr>
            <w:tcW w:w="6030" w:type="dxa"/>
            <w:tcBorders>
              <w:bottom w:val="single" w:sz="4" w:space="0" w:color="auto"/>
            </w:tcBorders>
          </w:tcPr>
          <w:p w14:paraId="7D3A3477"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antalet Aktier före fondemissionen</w:t>
            </w:r>
          </w:p>
        </w:tc>
      </w:tr>
      <w:tr w:rsidR="00F3012E" w:rsidRPr="00437F01" w14:paraId="4F74CAF1" w14:textId="77777777" w:rsidTr="00695A7D">
        <w:trPr>
          <w:cantSplit/>
        </w:trPr>
        <w:tc>
          <w:tcPr>
            <w:tcW w:w="1890" w:type="dxa"/>
            <w:vMerge/>
          </w:tcPr>
          <w:p w14:paraId="1CE68D07" w14:textId="77777777" w:rsidR="00F3012E" w:rsidRPr="00A50800" w:rsidRDefault="00F3012E" w:rsidP="00695A7D">
            <w:pPr>
              <w:pStyle w:val="TableText"/>
              <w:spacing w:after="0"/>
              <w:rPr>
                <w:lang w:val="sv-SE"/>
              </w:rPr>
            </w:pPr>
          </w:p>
        </w:tc>
        <w:tc>
          <w:tcPr>
            <w:tcW w:w="450" w:type="dxa"/>
            <w:vMerge/>
            <w:vAlign w:val="center"/>
          </w:tcPr>
          <w:p w14:paraId="53BCFA4B" w14:textId="77777777" w:rsidR="00F3012E" w:rsidRPr="00A50800" w:rsidRDefault="00F3012E" w:rsidP="00695A7D">
            <w:pPr>
              <w:pStyle w:val="TableText"/>
              <w:spacing w:after="0"/>
              <w:jc w:val="center"/>
              <w:rPr>
                <w:lang w:val="sv-SE"/>
              </w:rPr>
            </w:pPr>
          </w:p>
        </w:tc>
        <w:tc>
          <w:tcPr>
            <w:tcW w:w="6030" w:type="dxa"/>
            <w:tcBorders>
              <w:top w:val="single" w:sz="4" w:space="0" w:color="auto"/>
            </w:tcBorders>
          </w:tcPr>
          <w:p w14:paraId="13DAE44B" w14:textId="77777777" w:rsidR="00F3012E" w:rsidRPr="006B6AC0" w:rsidRDefault="00F3012E" w:rsidP="00695A7D">
            <w:pPr>
              <w:pStyle w:val="TableText"/>
              <w:spacing w:after="0"/>
              <w:rPr>
                <w:lang w:val="sv-SE"/>
              </w:rPr>
            </w:pPr>
            <w:r w:rsidRPr="006B6AC0">
              <w:rPr>
                <w:lang w:val="sv-SE"/>
              </w:rPr>
              <w:t>Antalet Aktier efter fondemissionen</w:t>
            </w:r>
          </w:p>
        </w:tc>
      </w:tr>
      <w:tr w:rsidR="00F3012E" w:rsidRPr="00437F01" w14:paraId="6B952C5B" w14:textId="77777777" w:rsidTr="00695A7D">
        <w:trPr>
          <w:cantSplit/>
        </w:trPr>
        <w:tc>
          <w:tcPr>
            <w:tcW w:w="1890" w:type="dxa"/>
          </w:tcPr>
          <w:p w14:paraId="4E9A5425" w14:textId="77777777" w:rsidR="00F3012E" w:rsidRPr="00437F01" w:rsidRDefault="00F3012E" w:rsidP="00695A7D">
            <w:pPr>
              <w:pStyle w:val="TableText"/>
              <w:spacing w:after="0"/>
              <w:rPr>
                <w:i/>
              </w:rPr>
            </w:pPr>
          </w:p>
        </w:tc>
        <w:tc>
          <w:tcPr>
            <w:tcW w:w="450" w:type="dxa"/>
            <w:vAlign w:val="center"/>
          </w:tcPr>
          <w:p w14:paraId="119AEC0E" w14:textId="77777777" w:rsidR="00F3012E" w:rsidRPr="00437F01" w:rsidRDefault="00F3012E" w:rsidP="00695A7D">
            <w:pPr>
              <w:pStyle w:val="TableText"/>
              <w:spacing w:after="0"/>
              <w:jc w:val="center"/>
            </w:pPr>
          </w:p>
        </w:tc>
        <w:tc>
          <w:tcPr>
            <w:tcW w:w="6030" w:type="dxa"/>
          </w:tcPr>
          <w:p w14:paraId="7F5E9C0A" w14:textId="77777777" w:rsidR="00F3012E" w:rsidRPr="00437F01" w:rsidRDefault="00F3012E" w:rsidP="00695A7D">
            <w:pPr>
              <w:pStyle w:val="TableText"/>
              <w:spacing w:after="0"/>
            </w:pPr>
          </w:p>
        </w:tc>
      </w:tr>
      <w:tr w:rsidR="00F3012E" w:rsidRPr="00D00630" w14:paraId="12C5204A" w14:textId="77777777" w:rsidTr="00695A7D">
        <w:trPr>
          <w:cantSplit/>
          <w:trHeight w:val="630"/>
        </w:trPr>
        <w:tc>
          <w:tcPr>
            <w:tcW w:w="1890" w:type="dxa"/>
            <w:vMerge w:val="restart"/>
            <w:vAlign w:val="center"/>
          </w:tcPr>
          <w:p w14:paraId="54D3A1A8" w14:textId="77777777" w:rsidR="00F3012E" w:rsidRPr="00A50800" w:rsidRDefault="00F3012E" w:rsidP="00695A7D">
            <w:pPr>
              <w:pStyle w:val="TableText"/>
              <w:spacing w:after="0"/>
              <w:rPr>
                <w:lang w:val="sv-SE"/>
              </w:rPr>
            </w:pPr>
            <w:r w:rsidRPr="00A50800">
              <w:rPr>
                <w:lang w:val="sv-SE"/>
              </w:rPr>
              <w:t>Omräknat antal Aktier som varje Teckningsoption berättigar till Teckning av</w:t>
            </w:r>
          </w:p>
        </w:tc>
        <w:tc>
          <w:tcPr>
            <w:tcW w:w="450" w:type="dxa"/>
            <w:vMerge w:val="restart"/>
            <w:vAlign w:val="center"/>
          </w:tcPr>
          <w:p w14:paraId="55ED9AF2" w14:textId="77777777" w:rsidR="00F3012E" w:rsidRPr="00437F01" w:rsidRDefault="00F3012E" w:rsidP="00695A7D">
            <w:pPr>
              <w:pStyle w:val="TableText"/>
              <w:spacing w:after="0"/>
              <w:jc w:val="center"/>
            </w:pPr>
            <w:r w:rsidRPr="00437F01">
              <w:t>=</w:t>
            </w:r>
          </w:p>
        </w:tc>
        <w:tc>
          <w:tcPr>
            <w:tcW w:w="6030" w:type="dxa"/>
            <w:tcBorders>
              <w:bottom w:val="single" w:sz="4" w:space="0" w:color="auto"/>
            </w:tcBorders>
            <w:vAlign w:val="bottom"/>
          </w:tcPr>
          <w:p w14:paraId="175E2BDB"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antalet Aktier efter fondemissionen</w:t>
            </w:r>
          </w:p>
        </w:tc>
      </w:tr>
      <w:tr w:rsidR="00F3012E" w:rsidRPr="00437F01" w14:paraId="56FC4898" w14:textId="77777777" w:rsidTr="00695A7D">
        <w:trPr>
          <w:cantSplit/>
        </w:trPr>
        <w:tc>
          <w:tcPr>
            <w:tcW w:w="1890" w:type="dxa"/>
            <w:vMerge/>
          </w:tcPr>
          <w:p w14:paraId="2F748569" w14:textId="77777777" w:rsidR="00F3012E" w:rsidRPr="00A50800" w:rsidRDefault="00F3012E" w:rsidP="00695A7D">
            <w:pPr>
              <w:pStyle w:val="TableText"/>
              <w:spacing w:after="0"/>
              <w:rPr>
                <w:lang w:val="sv-SE"/>
              </w:rPr>
            </w:pPr>
          </w:p>
        </w:tc>
        <w:tc>
          <w:tcPr>
            <w:tcW w:w="450" w:type="dxa"/>
            <w:vMerge/>
            <w:vAlign w:val="center"/>
          </w:tcPr>
          <w:p w14:paraId="242ECE69" w14:textId="77777777" w:rsidR="00F3012E" w:rsidRPr="00A50800" w:rsidRDefault="00F3012E" w:rsidP="00695A7D">
            <w:pPr>
              <w:pStyle w:val="TableText"/>
              <w:spacing w:after="0"/>
              <w:jc w:val="center"/>
              <w:rPr>
                <w:lang w:val="sv-SE"/>
              </w:rPr>
            </w:pPr>
          </w:p>
        </w:tc>
        <w:tc>
          <w:tcPr>
            <w:tcW w:w="6030" w:type="dxa"/>
            <w:tcBorders>
              <w:top w:val="single" w:sz="4" w:space="0" w:color="auto"/>
            </w:tcBorders>
          </w:tcPr>
          <w:p w14:paraId="32B14DA4" w14:textId="77777777" w:rsidR="00F3012E" w:rsidRPr="006B6AC0" w:rsidRDefault="00F3012E" w:rsidP="00695A7D">
            <w:pPr>
              <w:pStyle w:val="TableText"/>
              <w:spacing w:after="0"/>
              <w:rPr>
                <w:lang w:val="sv-SE"/>
              </w:rPr>
            </w:pPr>
            <w:r w:rsidRPr="006B6AC0">
              <w:rPr>
                <w:lang w:val="sv-SE"/>
              </w:rPr>
              <w:t>Antalet Aktier före fondemissionen</w:t>
            </w:r>
          </w:p>
        </w:tc>
      </w:tr>
      <w:tr w:rsidR="00F3012E" w:rsidRPr="007F470D" w14:paraId="6E6A2431" w14:textId="77777777" w:rsidTr="00695A7D">
        <w:trPr>
          <w:cantSplit/>
          <w:trHeight w:val="423"/>
        </w:trPr>
        <w:tc>
          <w:tcPr>
            <w:tcW w:w="1890" w:type="dxa"/>
            <w:vMerge w:val="restart"/>
            <w:vAlign w:val="center"/>
          </w:tcPr>
          <w:p w14:paraId="2779DC04" w14:textId="77777777" w:rsidR="00F3012E" w:rsidRPr="00437F01" w:rsidRDefault="00F3012E" w:rsidP="00695A7D">
            <w:pPr>
              <w:pStyle w:val="TableText"/>
              <w:spacing w:after="0"/>
              <w:rPr>
                <w:i/>
                <w:iCs/>
              </w:rPr>
            </w:pPr>
            <w:r w:rsidRPr="00437F01">
              <w:rPr>
                <w:i/>
                <w:iCs/>
              </w:rPr>
              <w:t>Re-calculated Subscription Price</w:t>
            </w:r>
          </w:p>
        </w:tc>
        <w:tc>
          <w:tcPr>
            <w:tcW w:w="450" w:type="dxa"/>
            <w:vMerge w:val="restart"/>
            <w:vAlign w:val="center"/>
          </w:tcPr>
          <w:p w14:paraId="08FA5568" w14:textId="77777777" w:rsidR="00F3012E" w:rsidRPr="00437F01" w:rsidRDefault="00F3012E" w:rsidP="00695A7D">
            <w:pPr>
              <w:pStyle w:val="TableText"/>
              <w:spacing w:after="0"/>
              <w:jc w:val="center"/>
              <w:rPr>
                <w:i/>
                <w:iCs/>
              </w:rPr>
            </w:pPr>
            <w:r w:rsidRPr="00437F01">
              <w:rPr>
                <w:i/>
                <w:iCs/>
              </w:rPr>
              <w:t>=</w:t>
            </w:r>
          </w:p>
        </w:tc>
        <w:tc>
          <w:tcPr>
            <w:tcW w:w="6030" w:type="dxa"/>
            <w:tcBorders>
              <w:bottom w:val="single" w:sz="4" w:space="0" w:color="auto"/>
            </w:tcBorders>
          </w:tcPr>
          <w:p w14:paraId="06AB22FE" w14:textId="77777777" w:rsidR="00F3012E" w:rsidRPr="00437F01" w:rsidRDefault="00F3012E" w:rsidP="00695A7D">
            <w:pPr>
              <w:pStyle w:val="TableText"/>
              <w:spacing w:after="0"/>
              <w:rPr>
                <w:i/>
                <w:iCs/>
              </w:rPr>
            </w:pPr>
            <w:r w:rsidRPr="00437F01">
              <w:rPr>
                <w:i/>
                <w:iCs/>
              </w:rPr>
              <w:t xml:space="preserve">Previous Subscription Price x number of </w:t>
            </w:r>
            <w:r>
              <w:rPr>
                <w:i/>
                <w:iCs/>
              </w:rPr>
              <w:t>Share</w:t>
            </w:r>
            <w:r w:rsidRPr="00437F01">
              <w:rPr>
                <w:i/>
                <w:iCs/>
              </w:rPr>
              <w:t>s prior to the bonus issue</w:t>
            </w:r>
          </w:p>
        </w:tc>
      </w:tr>
      <w:tr w:rsidR="00F3012E" w:rsidRPr="007F470D" w14:paraId="48FA120D" w14:textId="77777777" w:rsidTr="00695A7D">
        <w:trPr>
          <w:cantSplit/>
          <w:trHeight w:val="145"/>
        </w:trPr>
        <w:tc>
          <w:tcPr>
            <w:tcW w:w="1890" w:type="dxa"/>
            <w:vMerge/>
          </w:tcPr>
          <w:p w14:paraId="78FB554C" w14:textId="77777777" w:rsidR="00F3012E" w:rsidRPr="00437F01" w:rsidRDefault="00F3012E" w:rsidP="00695A7D">
            <w:pPr>
              <w:pStyle w:val="TableText"/>
              <w:spacing w:after="0"/>
              <w:rPr>
                <w:i/>
                <w:iCs/>
              </w:rPr>
            </w:pPr>
          </w:p>
        </w:tc>
        <w:tc>
          <w:tcPr>
            <w:tcW w:w="450" w:type="dxa"/>
            <w:vMerge/>
            <w:vAlign w:val="center"/>
          </w:tcPr>
          <w:p w14:paraId="5D043B38" w14:textId="77777777" w:rsidR="00F3012E" w:rsidRPr="00437F01" w:rsidRDefault="00F3012E" w:rsidP="00695A7D">
            <w:pPr>
              <w:pStyle w:val="TableText"/>
              <w:spacing w:after="0"/>
              <w:jc w:val="center"/>
              <w:rPr>
                <w:i/>
                <w:iCs/>
              </w:rPr>
            </w:pPr>
          </w:p>
        </w:tc>
        <w:tc>
          <w:tcPr>
            <w:tcW w:w="6030" w:type="dxa"/>
            <w:tcBorders>
              <w:top w:val="single" w:sz="4" w:space="0" w:color="auto"/>
            </w:tcBorders>
          </w:tcPr>
          <w:p w14:paraId="0660C1DE" w14:textId="77777777" w:rsidR="00F3012E" w:rsidRPr="00437F01" w:rsidRDefault="00F3012E" w:rsidP="00695A7D">
            <w:pPr>
              <w:pStyle w:val="TableText"/>
              <w:spacing w:after="0"/>
              <w:rPr>
                <w:i/>
                <w:iCs/>
              </w:rPr>
            </w:pPr>
            <w:r w:rsidRPr="00437F01">
              <w:rPr>
                <w:i/>
                <w:iCs/>
              </w:rPr>
              <w:t xml:space="preserve">Number of </w:t>
            </w:r>
            <w:r>
              <w:rPr>
                <w:i/>
                <w:iCs/>
              </w:rPr>
              <w:t>Share</w:t>
            </w:r>
            <w:r w:rsidRPr="00437F01">
              <w:rPr>
                <w:i/>
                <w:iCs/>
              </w:rPr>
              <w:t>s following the bonus issue</w:t>
            </w:r>
          </w:p>
        </w:tc>
      </w:tr>
      <w:tr w:rsidR="00F3012E" w:rsidRPr="007F470D" w14:paraId="773CEFC4" w14:textId="77777777" w:rsidTr="00695A7D">
        <w:trPr>
          <w:cantSplit/>
          <w:trHeight w:val="269"/>
        </w:trPr>
        <w:tc>
          <w:tcPr>
            <w:tcW w:w="1890" w:type="dxa"/>
          </w:tcPr>
          <w:p w14:paraId="3C93639A" w14:textId="77777777" w:rsidR="00F3012E" w:rsidRPr="00437F01" w:rsidRDefault="00F3012E" w:rsidP="00695A7D">
            <w:pPr>
              <w:pStyle w:val="TableText"/>
              <w:spacing w:after="0"/>
              <w:rPr>
                <w:i/>
                <w:iCs/>
              </w:rPr>
            </w:pPr>
          </w:p>
        </w:tc>
        <w:tc>
          <w:tcPr>
            <w:tcW w:w="450" w:type="dxa"/>
            <w:vAlign w:val="center"/>
          </w:tcPr>
          <w:p w14:paraId="7D60CD7A" w14:textId="77777777" w:rsidR="00F3012E" w:rsidRPr="00437F01" w:rsidRDefault="00F3012E" w:rsidP="00695A7D">
            <w:pPr>
              <w:pStyle w:val="TableText"/>
              <w:spacing w:after="0"/>
              <w:jc w:val="center"/>
              <w:rPr>
                <w:i/>
                <w:iCs/>
              </w:rPr>
            </w:pPr>
          </w:p>
        </w:tc>
        <w:tc>
          <w:tcPr>
            <w:tcW w:w="6030" w:type="dxa"/>
          </w:tcPr>
          <w:p w14:paraId="05B7CCEA" w14:textId="77777777" w:rsidR="00F3012E" w:rsidRPr="00437F01" w:rsidRDefault="00F3012E" w:rsidP="00695A7D">
            <w:pPr>
              <w:pStyle w:val="TableText"/>
              <w:spacing w:after="0"/>
              <w:rPr>
                <w:i/>
                <w:iCs/>
              </w:rPr>
            </w:pPr>
          </w:p>
        </w:tc>
      </w:tr>
      <w:tr w:rsidR="00F3012E" w:rsidRPr="007F470D" w14:paraId="0994CADD" w14:textId="77777777" w:rsidTr="00695A7D">
        <w:trPr>
          <w:cantSplit/>
          <w:trHeight w:val="612"/>
        </w:trPr>
        <w:tc>
          <w:tcPr>
            <w:tcW w:w="1890" w:type="dxa"/>
            <w:vMerge w:val="restart"/>
            <w:vAlign w:val="center"/>
          </w:tcPr>
          <w:p w14:paraId="77C72C55" w14:textId="77777777" w:rsidR="00F3012E" w:rsidRPr="00437F01" w:rsidRDefault="00F3012E" w:rsidP="00695A7D">
            <w:pPr>
              <w:pStyle w:val="TableText"/>
              <w:spacing w:after="0"/>
              <w:rPr>
                <w:i/>
                <w:iCs/>
              </w:rPr>
            </w:pPr>
            <w:r w:rsidRPr="00437F01">
              <w:rPr>
                <w:i/>
                <w:iCs/>
              </w:rPr>
              <w:t>Re-calculated number of Shares that each Warrant entitles to Subscribe for</w:t>
            </w:r>
          </w:p>
        </w:tc>
        <w:tc>
          <w:tcPr>
            <w:tcW w:w="450" w:type="dxa"/>
            <w:vMerge w:val="restart"/>
            <w:vAlign w:val="center"/>
          </w:tcPr>
          <w:p w14:paraId="2EFCBC14" w14:textId="77777777" w:rsidR="00F3012E" w:rsidRPr="00437F01" w:rsidRDefault="00F3012E" w:rsidP="00695A7D">
            <w:pPr>
              <w:pStyle w:val="TableText"/>
              <w:spacing w:after="0"/>
              <w:jc w:val="center"/>
              <w:rPr>
                <w:i/>
                <w:iCs/>
              </w:rPr>
            </w:pPr>
            <w:r w:rsidRPr="00437F01">
              <w:rPr>
                <w:i/>
                <w:iCs/>
              </w:rPr>
              <w:t>=</w:t>
            </w:r>
          </w:p>
        </w:tc>
        <w:tc>
          <w:tcPr>
            <w:tcW w:w="6030" w:type="dxa"/>
            <w:tcBorders>
              <w:bottom w:val="single" w:sz="4" w:space="0" w:color="auto"/>
            </w:tcBorders>
          </w:tcPr>
          <w:p w14:paraId="30C82734" w14:textId="77777777" w:rsidR="00F3012E" w:rsidRPr="00437F01" w:rsidRDefault="00F3012E" w:rsidP="00695A7D">
            <w:pPr>
              <w:pStyle w:val="TableText"/>
              <w:spacing w:after="0"/>
              <w:rPr>
                <w:i/>
                <w:iCs/>
              </w:rPr>
            </w:pPr>
            <w:r w:rsidRPr="00437F01">
              <w:rPr>
                <w:i/>
                <w:iCs/>
              </w:rPr>
              <w:t>The previous number of Shares that each Warrant entitled to Subscribe for x number</w:t>
            </w:r>
            <w:r w:rsidRPr="00437F01">
              <w:rPr>
                <w:i/>
                <w:iCs/>
              </w:rPr>
              <w:br/>
              <w:t>of Shares following the bonus issue</w:t>
            </w:r>
          </w:p>
        </w:tc>
      </w:tr>
      <w:tr w:rsidR="00F3012E" w:rsidRPr="007F470D" w14:paraId="006F7463" w14:textId="77777777" w:rsidTr="00695A7D">
        <w:trPr>
          <w:cantSplit/>
          <w:trHeight w:val="145"/>
        </w:trPr>
        <w:tc>
          <w:tcPr>
            <w:tcW w:w="1890" w:type="dxa"/>
            <w:vMerge/>
          </w:tcPr>
          <w:p w14:paraId="2C373303" w14:textId="77777777" w:rsidR="00F3012E" w:rsidRPr="00437F01" w:rsidRDefault="00F3012E" w:rsidP="00695A7D">
            <w:pPr>
              <w:pStyle w:val="TableText"/>
              <w:spacing w:after="0"/>
              <w:rPr>
                <w:i/>
                <w:iCs/>
              </w:rPr>
            </w:pPr>
          </w:p>
        </w:tc>
        <w:tc>
          <w:tcPr>
            <w:tcW w:w="450" w:type="dxa"/>
            <w:vMerge/>
          </w:tcPr>
          <w:p w14:paraId="5CACD2CE" w14:textId="77777777" w:rsidR="00F3012E" w:rsidRPr="00437F01" w:rsidRDefault="00F3012E" w:rsidP="00695A7D">
            <w:pPr>
              <w:pStyle w:val="TableText"/>
              <w:spacing w:after="0"/>
              <w:rPr>
                <w:i/>
                <w:iCs/>
              </w:rPr>
            </w:pPr>
          </w:p>
        </w:tc>
        <w:tc>
          <w:tcPr>
            <w:tcW w:w="6030" w:type="dxa"/>
            <w:tcBorders>
              <w:top w:val="single" w:sz="4" w:space="0" w:color="auto"/>
              <w:bottom w:val="nil"/>
            </w:tcBorders>
          </w:tcPr>
          <w:p w14:paraId="6D200512" w14:textId="77777777" w:rsidR="00F3012E" w:rsidRPr="00437F01" w:rsidRDefault="00F3012E" w:rsidP="00695A7D">
            <w:pPr>
              <w:pStyle w:val="TableText"/>
              <w:spacing w:after="0"/>
              <w:rPr>
                <w:i/>
                <w:iCs/>
              </w:rPr>
            </w:pPr>
            <w:r w:rsidRPr="00437F01">
              <w:rPr>
                <w:i/>
                <w:iCs/>
              </w:rPr>
              <w:t xml:space="preserve">Number of Shares </w:t>
            </w:r>
            <w:r>
              <w:rPr>
                <w:i/>
                <w:iCs/>
              </w:rPr>
              <w:t>prior to</w:t>
            </w:r>
            <w:r w:rsidRPr="00437F01">
              <w:rPr>
                <w:i/>
                <w:iCs/>
              </w:rPr>
              <w:t xml:space="preserve"> the bonus issue</w:t>
            </w:r>
          </w:p>
        </w:tc>
      </w:tr>
      <w:tr w:rsidR="00F3012E" w:rsidRPr="007F470D" w14:paraId="39A444CA" w14:textId="77777777" w:rsidTr="00695A7D">
        <w:trPr>
          <w:cantSplit/>
          <w:trHeight w:val="145"/>
        </w:trPr>
        <w:tc>
          <w:tcPr>
            <w:tcW w:w="1890" w:type="dxa"/>
          </w:tcPr>
          <w:p w14:paraId="4ED09C5B" w14:textId="77777777" w:rsidR="00F3012E" w:rsidRPr="00437F01" w:rsidRDefault="00F3012E" w:rsidP="00695A7D">
            <w:pPr>
              <w:pStyle w:val="TableText"/>
              <w:spacing w:after="0"/>
              <w:rPr>
                <w:i/>
                <w:iCs/>
              </w:rPr>
            </w:pPr>
          </w:p>
        </w:tc>
        <w:tc>
          <w:tcPr>
            <w:tcW w:w="450" w:type="dxa"/>
            <w:tcBorders>
              <w:right w:val="nil"/>
            </w:tcBorders>
          </w:tcPr>
          <w:p w14:paraId="340B3736" w14:textId="77777777" w:rsidR="00F3012E" w:rsidRPr="00437F01" w:rsidRDefault="00F3012E" w:rsidP="00695A7D">
            <w:pPr>
              <w:pStyle w:val="TableText"/>
              <w:spacing w:after="0"/>
              <w:rPr>
                <w:i/>
                <w:iCs/>
              </w:rPr>
            </w:pPr>
          </w:p>
        </w:tc>
        <w:tc>
          <w:tcPr>
            <w:tcW w:w="6030" w:type="dxa"/>
            <w:tcBorders>
              <w:top w:val="nil"/>
              <w:left w:val="nil"/>
              <w:bottom w:val="nil"/>
              <w:right w:val="nil"/>
            </w:tcBorders>
          </w:tcPr>
          <w:p w14:paraId="2D51E3FE" w14:textId="77777777" w:rsidR="00F3012E" w:rsidRPr="00437F01" w:rsidRDefault="00F3012E" w:rsidP="00695A7D">
            <w:pPr>
              <w:pStyle w:val="TableText"/>
              <w:spacing w:after="0"/>
              <w:rPr>
                <w:i/>
                <w:iCs/>
              </w:rPr>
            </w:pPr>
          </w:p>
        </w:tc>
      </w:tr>
    </w:tbl>
    <w:p w14:paraId="6DEFD817" w14:textId="77777777" w:rsidR="00F3012E" w:rsidRPr="00437F01" w:rsidRDefault="00F3012E" w:rsidP="00F3012E">
      <w:pPr>
        <w:pStyle w:val="BodyText"/>
        <w:ind w:left="720"/>
      </w:pPr>
      <w:r w:rsidRPr="00A50800">
        <w:rPr>
          <w:lang w:val="sv-SE"/>
        </w:rPr>
        <w:lastRenderedPageBreak/>
        <w:t>Vid omräkning enligt ovanstående form</w:t>
      </w:r>
      <w:r>
        <w:rPr>
          <w:lang w:val="sv-SE"/>
        </w:rPr>
        <w:t>ler</w:t>
      </w:r>
      <w:r w:rsidRPr="00A50800">
        <w:rPr>
          <w:lang w:val="sv-SE"/>
        </w:rPr>
        <w:t xml:space="preserve"> </w:t>
      </w:r>
      <w:r>
        <w:rPr>
          <w:lang w:val="sv-SE"/>
        </w:rPr>
        <w:t>ska</w:t>
      </w:r>
      <w:r w:rsidRPr="00A50800">
        <w:rPr>
          <w:lang w:val="sv-SE"/>
        </w:rPr>
        <w:t xml:space="preserve"> bortses från Aktier som innehas av Bolaget. Enligt ovan omräknad Teckningskurs och omräknat antal Aktier fastställs av Bolaget snarast möjligt efter bolagsstämmans beslut om fondemission, men tillämpas först efter avstämningsdagen för emissionen.</w:t>
      </w:r>
      <w:r w:rsidRPr="00A50800">
        <w:rPr>
          <w:lang w:val="sv-SE"/>
        </w:rPr>
        <w:br/>
      </w:r>
      <w:r w:rsidRPr="00437F01">
        <w:rPr>
          <w:i/>
        </w:rPr>
        <w:t>When recalculating in accordance with the above formula</w:t>
      </w:r>
      <w:r>
        <w:rPr>
          <w:i/>
        </w:rPr>
        <w:t>s</w:t>
      </w:r>
      <w:r w:rsidRPr="00437F01">
        <w:rPr>
          <w:i/>
        </w:rPr>
        <w:t xml:space="preserve">, any </w:t>
      </w:r>
      <w:r>
        <w:rPr>
          <w:i/>
        </w:rPr>
        <w:t>Share</w:t>
      </w:r>
      <w:r w:rsidRPr="00437F01">
        <w:rPr>
          <w:i/>
        </w:rPr>
        <w:t xml:space="preserve">s held by the Company shall be disregarded. The recalculated Subscription Price and number of Shares, recalculated in accordance with the above, shall be determined by the Company as soon as possible following the </w:t>
      </w:r>
      <w:r>
        <w:rPr>
          <w:i/>
        </w:rPr>
        <w:t>general meeting's</w:t>
      </w:r>
      <w:r w:rsidRPr="00437F01">
        <w:rPr>
          <w:i/>
        </w:rPr>
        <w:t xml:space="preserve"> resolution regarding the bonus issue, but will not be applied until after the record date for the issue.</w:t>
      </w:r>
    </w:p>
    <w:p w14:paraId="2541DAFA" w14:textId="77777777" w:rsidR="00F3012E" w:rsidRPr="00A50800" w:rsidRDefault="00F3012E" w:rsidP="006350FE">
      <w:pPr>
        <w:pStyle w:val="BodyText"/>
        <w:numPr>
          <w:ilvl w:val="2"/>
          <w:numId w:val="56"/>
        </w:numPr>
        <w:spacing w:after="0"/>
        <w:rPr>
          <w:b/>
          <w:lang w:val="sv-SE"/>
        </w:rPr>
      </w:pPr>
      <w:r w:rsidRPr="00A50800">
        <w:rPr>
          <w:b/>
          <w:lang w:val="sv-SE"/>
        </w:rPr>
        <w:t>Sammanläggning eller uppdelning/</w:t>
      </w:r>
      <w:proofErr w:type="spellStart"/>
      <w:r w:rsidRPr="00A50800">
        <w:rPr>
          <w:b/>
          <w:i/>
          <w:lang w:val="sv-SE"/>
        </w:rPr>
        <w:t>Reverse</w:t>
      </w:r>
      <w:proofErr w:type="spellEnd"/>
      <w:r w:rsidRPr="00A50800">
        <w:rPr>
          <w:b/>
          <w:i/>
          <w:lang w:val="sv-SE"/>
        </w:rPr>
        <w:t xml:space="preserve"> split or split</w:t>
      </w:r>
    </w:p>
    <w:p w14:paraId="6A7A5C98" w14:textId="77777777" w:rsidR="00F3012E" w:rsidRPr="00437F01" w:rsidRDefault="00F3012E" w:rsidP="00F3012E">
      <w:pPr>
        <w:pStyle w:val="BodyText"/>
        <w:ind w:left="720"/>
      </w:pPr>
      <w:r w:rsidRPr="00A50800">
        <w:rPr>
          <w:lang w:val="sv-SE"/>
        </w:rPr>
        <w:t xml:space="preserve">Genomför Bolaget en </w:t>
      </w:r>
      <w:r w:rsidRPr="00A50800">
        <w:rPr>
          <w:u w:val="single"/>
          <w:lang w:val="sv-SE"/>
        </w:rPr>
        <w:t>sammanläggning eller uppdelning</w:t>
      </w:r>
      <w:r w:rsidRPr="00A50800">
        <w:rPr>
          <w:lang w:val="sv-SE"/>
        </w:rPr>
        <w:t xml:space="preserve"> av Aktier </w:t>
      </w:r>
      <w:r>
        <w:rPr>
          <w:lang w:val="sv-SE"/>
        </w:rPr>
        <w:t>ska</w:t>
      </w:r>
      <w:r w:rsidRPr="00A50800">
        <w:rPr>
          <w:lang w:val="sv-SE"/>
        </w:rPr>
        <w:t xml:space="preserve"> punkt </w:t>
      </w:r>
      <w:r>
        <w:fldChar w:fldCharType="begin"/>
      </w:r>
      <w:r>
        <w:rPr>
          <w:lang w:val="sv-SE"/>
        </w:rPr>
        <w:instrText xml:space="preserve"> REF _Ref419826047 \r \h </w:instrText>
      </w:r>
      <w:r>
        <w:fldChar w:fldCharType="separate"/>
      </w:r>
      <w:r>
        <w:rPr>
          <w:lang w:val="sv-SE"/>
        </w:rPr>
        <w:t>8.2.2</w:t>
      </w:r>
      <w:r>
        <w:fldChar w:fldCharType="end"/>
      </w:r>
      <w:r w:rsidRPr="003679A8">
        <w:rPr>
          <w:lang w:val="sv-SE"/>
        </w:rPr>
        <w:t xml:space="preserve"> </w:t>
      </w:r>
      <w:r w:rsidRPr="00A50800">
        <w:rPr>
          <w:lang w:val="sv-SE"/>
        </w:rPr>
        <w:t xml:space="preserve">ovan äga motsvarande tillämpning, varvid som avstämningsdag </w:t>
      </w:r>
      <w:r>
        <w:rPr>
          <w:lang w:val="sv-SE"/>
        </w:rPr>
        <w:t>ska</w:t>
      </w:r>
      <w:r w:rsidRPr="00A50800">
        <w:rPr>
          <w:lang w:val="sv-SE"/>
        </w:rPr>
        <w:t xml:space="preserve"> anses den dag då sammanläggning respektive uppdelning, på Bolagets begäran, sker hos Euroclear.</w:t>
      </w:r>
      <w:r w:rsidRPr="00A50800">
        <w:rPr>
          <w:lang w:val="sv-SE"/>
        </w:rPr>
        <w:br/>
      </w:r>
      <w:r w:rsidRPr="00437F01">
        <w:rPr>
          <w:i/>
        </w:rPr>
        <w:t xml:space="preserve">If the Company </w:t>
      </w:r>
      <w:r w:rsidRPr="006B6AC0">
        <w:rPr>
          <w:i/>
          <w:u w:val="single"/>
        </w:rPr>
        <w:t>c</w:t>
      </w:r>
      <w:r w:rsidRPr="00437F01">
        <w:rPr>
          <w:i/>
          <w:u w:val="single"/>
        </w:rPr>
        <w:t xml:space="preserve">arries out a reverse </w:t>
      </w:r>
      <w:r>
        <w:rPr>
          <w:i/>
          <w:u w:val="single"/>
        </w:rPr>
        <w:t>share</w:t>
      </w:r>
      <w:r w:rsidRPr="00437F01">
        <w:rPr>
          <w:i/>
          <w:u w:val="single"/>
        </w:rPr>
        <w:t xml:space="preserve"> split or a </w:t>
      </w:r>
      <w:r>
        <w:rPr>
          <w:i/>
          <w:u w:val="single"/>
        </w:rPr>
        <w:t>share</w:t>
      </w:r>
      <w:r w:rsidRPr="00437F01">
        <w:rPr>
          <w:i/>
          <w:u w:val="single"/>
        </w:rPr>
        <w:t xml:space="preserve"> split</w:t>
      </w:r>
      <w:r w:rsidRPr="00437F01">
        <w:rPr>
          <w:i/>
        </w:rPr>
        <w:t xml:space="preserve">, section </w:t>
      </w:r>
      <w:r>
        <w:rPr>
          <w:i/>
        </w:rPr>
        <w:fldChar w:fldCharType="begin"/>
      </w:r>
      <w:r>
        <w:rPr>
          <w:i/>
        </w:rPr>
        <w:instrText xml:space="preserve"> REF _Ref419826047 \r \h </w:instrText>
      </w:r>
      <w:r>
        <w:rPr>
          <w:i/>
        </w:rPr>
      </w:r>
      <w:r>
        <w:rPr>
          <w:i/>
        </w:rPr>
        <w:fldChar w:fldCharType="separate"/>
      </w:r>
      <w:r>
        <w:rPr>
          <w:i/>
        </w:rPr>
        <w:t>8.2.2</w:t>
      </w:r>
      <w:r>
        <w:rPr>
          <w:i/>
        </w:rPr>
        <w:fldChar w:fldCharType="end"/>
      </w:r>
      <w:r w:rsidRPr="00437F01">
        <w:rPr>
          <w:i/>
        </w:rPr>
        <w:t xml:space="preserve"> above shall apply correspondingly, whereby the record date shall be deemed to be the date on which the reverse </w:t>
      </w:r>
      <w:r>
        <w:rPr>
          <w:i/>
        </w:rPr>
        <w:t>share</w:t>
      </w:r>
      <w:r w:rsidRPr="00437F01">
        <w:rPr>
          <w:i/>
        </w:rPr>
        <w:t xml:space="preserve"> split or </w:t>
      </w:r>
      <w:r>
        <w:rPr>
          <w:i/>
        </w:rPr>
        <w:t>share</w:t>
      </w:r>
      <w:r w:rsidRPr="00437F01">
        <w:rPr>
          <w:i/>
        </w:rPr>
        <w:t xml:space="preserve"> split is effected by Euroclear upon request by the Company.</w:t>
      </w:r>
    </w:p>
    <w:p w14:paraId="733F20C3" w14:textId="77777777" w:rsidR="00F3012E" w:rsidRPr="00437F01" w:rsidRDefault="00F3012E" w:rsidP="006350FE">
      <w:pPr>
        <w:pStyle w:val="BodyText"/>
        <w:numPr>
          <w:ilvl w:val="2"/>
          <w:numId w:val="56"/>
        </w:numPr>
        <w:spacing w:after="0"/>
        <w:rPr>
          <w:b/>
        </w:rPr>
      </w:pPr>
      <w:bookmarkStart w:id="43" w:name="_Ref445997720"/>
      <w:proofErr w:type="spellStart"/>
      <w:r w:rsidRPr="006B6AC0">
        <w:rPr>
          <w:b/>
          <w:lang w:val="en-US"/>
        </w:rPr>
        <w:t>Nyemission</w:t>
      </w:r>
      <w:proofErr w:type="spellEnd"/>
      <w:r w:rsidRPr="006B6AC0">
        <w:rPr>
          <w:b/>
          <w:lang w:val="en-US"/>
        </w:rPr>
        <w:t xml:space="preserve"> med </w:t>
      </w:r>
      <w:proofErr w:type="spellStart"/>
      <w:r w:rsidRPr="006B6AC0">
        <w:rPr>
          <w:b/>
          <w:lang w:val="en-US"/>
        </w:rPr>
        <w:t>företrädesrätt</w:t>
      </w:r>
      <w:proofErr w:type="spellEnd"/>
      <w:r w:rsidRPr="00437F01">
        <w:rPr>
          <w:b/>
        </w:rPr>
        <w:t>/</w:t>
      </w:r>
      <w:r w:rsidRPr="00437F01">
        <w:rPr>
          <w:b/>
          <w:i/>
        </w:rPr>
        <w:t xml:space="preserve">New </w:t>
      </w:r>
      <w:r>
        <w:rPr>
          <w:b/>
          <w:i/>
        </w:rPr>
        <w:t>Share</w:t>
      </w:r>
      <w:r w:rsidRPr="00437F01">
        <w:rPr>
          <w:b/>
          <w:i/>
        </w:rPr>
        <w:t xml:space="preserve"> issue in accordance with the shareholders' priority rights</w:t>
      </w:r>
      <w:bookmarkEnd w:id="43"/>
    </w:p>
    <w:p w14:paraId="57D8C81B" w14:textId="77777777" w:rsidR="00F3012E" w:rsidRPr="00437F01" w:rsidRDefault="00F3012E" w:rsidP="00F3012E">
      <w:pPr>
        <w:pStyle w:val="BodyText"/>
        <w:ind w:left="720"/>
      </w:pPr>
      <w:proofErr w:type="spellStart"/>
      <w:r w:rsidRPr="006B6AC0">
        <w:rPr>
          <w:lang w:val="en-US"/>
        </w:rPr>
        <w:t>Genomför</w:t>
      </w:r>
      <w:proofErr w:type="spellEnd"/>
      <w:r w:rsidRPr="006B6AC0">
        <w:rPr>
          <w:lang w:val="en-US"/>
        </w:rPr>
        <w:t xml:space="preserve"> </w:t>
      </w:r>
      <w:proofErr w:type="spellStart"/>
      <w:r w:rsidRPr="006B6AC0">
        <w:rPr>
          <w:lang w:val="en-US"/>
        </w:rPr>
        <w:t>Bolaget</w:t>
      </w:r>
      <w:proofErr w:type="spellEnd"/>
      <w:r w:rsidRPr="006B6AC0">
        <w:rPr>
          <w:lang w:val="en-US"/>
        </w:rPr>
        <w:t xml:space="preserve"> </w:t>
      </w:r>
      <w:proofErr w:type="spellStart"/>
      <w:r w:rsidRPr="006B6AC0">
        <w:rPr>
          <w:lang w:val="en-US"/>
        </w:rPr>
        <w:t>en</w:t>
      </w:r>
      <w:proofErr w:type="spellEnd"/>
      <w:r w:rsidRPr="006B6AC0">
        <w:rPr>
          <w:lang w:val="en-US"/>
        </w:rPr>
        <w:t xml:space="preserve"> </w:t>
      </w:r>
      <w:proofErr w:type="spellStart"/>
      <w:r w:rsidRPr="006B6AC0">
        <w:rPr>
          <w:u w:val="single"/>
          <w:lang w:val="en-US"/>
        </w:rPr>
        <w:t>nyemission</w:t>
      </w:r>
      <w:proofErr w:type="spellEnd"/>
      <w:r w:rsidRPr="006B6AC0">
        <w:rPr>
          <w:lang w:val="en-US"/>
        </w:rPr>
        <w:t xml:space="preserve"> – med </w:t>
      </w:r>
      <w:proofErr w:type="spellStart"/>
      <w:r w:rsidRPr="006B6AC0">
        <w:rPr>
          <w:lang w:val="en-US"/>
        </w:rPr>
        <w:t>företrädesrätt</w:t>
      </w:r>
      <w:proofErr w:type="spellEnd"/>
      <w:r w:rsidRPr="006B6AC0">
        <w:rPr>
          <w:lang w:val="en-US"/>
        </w:rPr>
        <w:t xml:space="preserve"> för </w:t>
      </w:r>
      <w:proofErr w:type="spellStart"/>
      <w:r w:rsidRPr="006B6AC0">
        <w:rPr>
          <w:lang w:val="en-US"/>
        </w:rPr>
        <w:t>aktieägarna</w:t>
      </w:r>
      <w:proofErr w:type="spellEnd"/>
      <w:r w:rsidRPr="006B6AC0">
        <w:rPr>
          <w:lang w:val="en-US"/>
        </w:rPr>
        <w:t xml:space="preserve"> </w:t>
      </w:r>
      <w:proofErr w:type="spellStart"/>
      <w:r w:rsidRPr="006B6AC0">
        <w:rPr>
          <w:lang w:val="en-US"/>
        </w:rPr>
        <w:t>att</w:t>
      </w:r>
      <w:proofErr w:type="spellEnd"/>
      <w:r w:rsidRPr="006B6AC0">
        <w:rPr>
          <w:lang w:val="en-US"/>
        </w:rPr>
        <w:t xml:space="preserve"> </w:t>
      </w:r>
      <w:proofErr w:type="spellStart"/>
      <w:r w:rsidRPr="006B6AC0">
        <w:rPr>
          <w:lang w:val="en-US"/>
        </w:rPr>
        <w:t>teckna</w:t>
      </w:r>
      <w:proofErr w:type="spellEnd"/>
      <w:r w:rsidRPr="006B6AC0">
        <w:rPr>
          <w:lang w:val="en-US"/>
        </w:rPr>
        <w:t xml:space="preserve"> </w:t>
      </w:r>
      <w:proofErr w:type="spellStart"/>
      <w:r w:rsidRPr="006B6AC0">
        <w:rPr>
          <w:lang w:val="en-US"/>
        </w:rPr>
        <w:t>nya</w:t>
      </w:r>
      <w:proofErr w:type="spellEnd"/>
      <w:r w:rsidRPr="006B6AC0">
        <w:rPr>
          <w:lang w:val="en-US"/>
        </w:rPr>
        <w:t xml:space="preserve"> </w:t>
      </w:r>
      <w:proofErr w:type="spellStart"/>
      <w:r w:rsidRPr="006B6AC0">
        <w:rPr>
          <w:lang w:val="en-US"/>
        </w:rPr>
        <w:t>Aktier</w:t>
      </w:r>
      <w:proofErr w:type="spellEnd"/>
      <w:r w:rsidRPr="006B6AC0">
        <w:rPr>
          <w:lang w:val="en-US"/>
        </w:rPr>
        <w:t xml:space="preserve"> mot </w:t>
      </w:r>
      <w:proofErr w:type="spellStart"/>
      <w:r w:rsidRPr="006B6AC0">
        <w:rPr>
          <w:lang w:val="en-US"/>
        </w:rPr>
        <w:t>kontant</w:t>
      </w:r>
      <w:proofErr w:type="spellEnd"/>
      <w:r w:rsidRPr="006B6AC0">
        <w:rPr>
          <w:lang w:val="en-US"/>
        </w:rPr>
        <w:t xml:space="preserve"> </w:t>
      </w:r>
      <w:proofErr w:type="spellStart"/>
      <w:r w:rsidRPr="006B6AC0">
        <w:rPr>
          <w:lang w:val="en-US"/>
        </w:rPr>
        <w:t>betalning</w:t>
      </w:r>
      <w:proofErr w:type="spellEnd"/>
      <w:r w:rsidRPr="006B6AC0">
        <w:rPr>
          <w:lang w:val="en-US"/>
        </w:rPr>
        <w:t xml:space="preserve"> </w:t>
      </w:r>
      <w:proofErr w:type="spellStart"/>
      <w:r w:rsidRPr="006B6AC0">
        <w:rPr>
          <w:lang w:val="en-US"/>
        </w:rPr>
        <w:t>eller</w:t>
      </w:r>
      <w:proofErr w:type="spellEnd"/>
      <w:r w:rsidRPr="006B6AC0">
        <w:rPr>
          <w:lang w:val="en-US"/>
        </w:rPr>
        <w:t xml:space="preserve"> </w:t>
      </w:r>
      <w:proofErr w:type="spellStart"/>
      <w:r w:rsidRPr="006B6AC0">
        <w:rPr>
          <w:lang w:val="en-US"/>
        </w:rPr>
        <w:t>kvittning</w:t>
      </w:r>
      <w:proofErr w:type="spellEnd"/>
      <w:r w:rsidRPr="006B6AC0">
        <w:rPr>
          <w:lang w:val="en-US"/>
        </w:rPr>
        <w:t xml:space="preserve"> – ska </w:t>
      </w:r>
      <w:proofErr w:type="spellStart"/>
      <w:r w:rsidRPr="006B6AC0">
        <w:rPr>
          <w:lang w:val="en-US"/>
        </w:rPr>
        <w:t>följande</w:t>
      </w:r>
      <w:proofErr w:type="spellEnd"/>
      <w:r w:rsidRPr="006B6AC0">
        <w:rPr>
          <w:lang w:val="en-US"/>
        </w:rPr>
        <w:t xml:space="preserve"> </w:t>
      </w:r>
      <w:proofErr w:type="spellStart"/>
      <w:r w:rsidRPr="006B6AC0">
        <w:rPr>
          <w:lang w:val="en-US"/>
        </w:rPr>
        <w:t>gälla</w:t>
      </w:r>
      <w:proofErr w:type="spellEnd"/>
      <w:r w:rsidRPr="006B6AC0">
        <w:rPr>
          <w:lang w:val="en-US"/>
        </w:rPr>
        <w:t xml:space="preserve"> </w:t>
      </w:r>
      <w:proofErr w:type="spellStart"/>
      <w:r w:rsidRPr="006B6AC0">
        <w:rPr>
          <w:lang w:val="en-US"/>
        </w:rPr>
        <w:t>beträffande</w:t>
      </w:r>
      <w:proofErr w:type="spellEnd"/>
      <w:r w:rsidRPr="006B6AC0">
        <w:rPr>
          <w:lang w:val="en-US"/>
        </w:rPr>
        <w:t xml:space="preserve"> </w:t>
      </w:r>
      <w:proofErr w:type="spellStart"/>
      <w:r w:rsidRPr="006B6AC0">
        <w:rPr>
          <w:lang w:val="en-US"/>
        </w:rPr>
        <w:t>rätten</w:t>
      </w:r>
      <w:proofErr w:type="spellEnd"/>
      <w:r w:rsidRPr="006B6AC0">
        <w:rPr>
          <w:lang w:val="en-US"/>
        </w:rPr>
        <w:t xml:space="preserve"> till </w:t>
      </w:r>
      <w:proofErr w:type="spellStart"/>
      <w:r w:rsidRPr="006B6AC0">
        <w:rPr>
          <w:lang w:val="en-US"/>
        </w:rPr>
        <w:t>deltagande</w:t>
      </w:r>
      <w:proofErr w:type="spellEnd"/>
      <w:r w:rsidRPr="006B6AC0">
        <w:rPr>
          <w:lang w:val="en-US"/>
        </w:rPr>
        <w:t xml:space="preserve"> </w:t>
      </w:r>
      <w:proofErr w:type="spellStart"/>
      <w:r w:rsidRPr="006B6AC0">
        <w:rPr>
          <w:lang w:val="en-US"/>
        </w:rPr>
        <w:t>i</w:t>
      </w:r>
      <w:proofErr w:type="spellEnd"/>
      <w:r w:rsidRPr="006B6AC0">
        <w:rPr>
          <w:lang w:val="en-US"/>
        </w:rPr>
        <w:t xml:space="preserve"> </w:t>
      </w:r>
      <w:proofErr w:type="spellStart"/>
      <w:r w:rsidRPr="006B6AC0">
        <w:rPr>
          <w:lang w:val="en-US"/>
        </w:rPr>
        <w:t>emissionen</w:t>
      </w:r>
      <w:proofErr w:type="spellEnd"/>
      <w:r w:rsidRPr="006B6AC0">
        <w:rPr>
          <w:lang w:val="en-US"/>
        </w:rPr>
        <w:t xml:space="preserve"> för </w:t>
      </w:r>
      <w:proofErr w:type="spellStart"/>
      <w:r w:rsidRPr="006B6AC0">
        <w:rPr>
          <w:lang w:val="en-US"/>
        </w:rPr>
        <w:t>Aktie</w:t>
      </w:r>
      <w:proofErr w:type="spellEnd"/>
      <w:r w:rsidRPr="006B6AC0">
        <w:rPr>
          <w:lang w:val="en-US"/>
        </w:rPr>
        <w:t xml:space="preserve"> </w:t>
      </w:r>
      <w:proofErr w:type="spellStart"/>
      <w:r w:rsidRPr="006B6AC0">
        <w:rPr>
          <w:lang w:val="en-US"/>
        </w:rPr>
        <w:t>som</w:t>
      </w:r>
      <w:proofErr w:type="spellEnd"/>
      <w:r w:rsidRPr="006B6AC0">
        <w:rPr>
          <w:lang w:val="en-US"/>
        </w:rPr>
        <w:t xml:space="preserve"> </w:t>
      </w:r>
      <w:proofErr w:type="spellStart"/>
      <w:r w:rsidRPr="006B6AC0">
        <w:rPr>
          <w:lang w:val="en-US"/>
        </w:rPr>
        <w:t>tillkommit</w:t>
      </w:r>
      <w:proofErr w:type="spellEnd"/>
      <w:r w:rsidRPr="006B6AC0">
        <w:rPr>
          <w:lang w:val="en-US"/>
        </w:rPr>
        <w:t xml:space="preserve"> </w:t>
      </w:r>
      <w:proofErr w:type="spellStart"/>
      <w:r w:rsidRPr="006B6AC0">
        <w:rPr>
          <w:lang w:val="en-US"/>
        </w:rPr>
        <w:t>på</w:t>
      </w:r>
      <w:proofErr w:type="spellEnd"/>
      <w:r w:rsidRPr="006B6AC0">
        <w:rPr>
          <w:lang w:val="en-US"/>
        </w:rPr>
        <w:t xml:space="preserve"> </w:t>
      </w:r>
      <w:proofErr w:type="spellStart"/>
      <w:r w:rsidRPr="006B6AC0">
        <w:rPr>
          <w:lang w:val="en-US"/>
        </w:rPr>
        <w:t>grund</w:t>
      </w:r>
      <w:proofErr w:type="spellEnd"/>
      <w:r w:rsidRPr="006B6AC0">
        <w:rPr>
          <w:lang w:val="en-US"/>
        </w:rPr>
        <w:t xml:space="preserve"> av </w:t>
      </w:r>
      <w:proofErr w:type="spellStart"/>
      <w:r w:rsidRPr="006B6AC0">
        <w:rPr>
          <w:lang w:val="en-US"/>
        </w:rPr>
        <w:t>Teckning</w:t>
      </w:r>
      <w:proofErr w:type="spellEnd"/>
      <w:r w:rsidRPr="006B6AC0">
        <w:rPr>
          <w:lang w:val="en-US"/>
        </w:rPr>
        <w:t xml:space="preserve"> med </w:t>
      </w:r>
      <w:proofErr w:type="spellStart"/>
      <w:r w:rsidRPr="006B6AC0">
        <w:rPr>
          <w:lang w:val="en-US"/>
        </w:rPr>
        <w:t>utnyttjande</w:t>
      </w:r>
      <w:proofErr w:type="spellEnd"/>
      <w:r w:rsidRPr="006B6AC0">
        <w:rPr>
          <w:lang w:val="en-US"/>
        </w:rPr>
        <w:t xml:space="preserve"> av </w:t>
      </w:r>
      <w:proofErr w:type="spellStart"/>
      <w:r w:rsidRPr="006B6AC0">
        <w:rPr>
          <w:lang w:val="en-US"/>
        </w:rPr>
        <w:t>Teckningsoption</w:t>
      </w:r>
      <w:proofErr w:type="spellEnd"/>
      <w:r w:rsidRPr="006B6AC0">
        <w:rPr>
          <w:lang w:val="en-US"/>
        </w:rPr>
        <w:t>:</w:t>
      </w:r>
      <w:r w:rsidRPr="00437F01">
        <w:br/>
      </w:r>
      <w:r w:rsidRPr="00437F01">
        <w:rPr>
          <w:i/>
        </w:rPr>
        <w:t xml:space="preserve">In the event the Company carries out a </w:t>
      </w:r>
      <w:r w:rsidRPr="00437F01">
        <w:rPr>
          <w:i/>
          <w:u w:val="single"/>
        </w:rPr>
        <w:t xml:space="preserve">new issue of </w:t>
      </w:r>
      <w:r>
        <w:rPr>
          <w:i/>
          <w:u w:val="single"/>
        </w:rPr>
        <w:t>Share</w:t>
      </w:r>
      <w:r w:rsidRPr="00437F01">
        <w:rPr>
          <w:i/>
          <w:u w:val="single"/>
        </w:rPr>
        <w:t>s</w:t>
      </w:r>
      <w:r w:rsidRPr="00437F01">
        <w:rPr>
          <w:i/>
        </w:rPr>
        <w:t xml:space="preserve"> – with </w:t>
      </w:r>
      <w:r>
        <w:rPr>
          <w:i/>
        </w:rPr>
        <w:t>preferential</w:t>
      </w:r>
      <w:r w:rsidRPr="00437F01">
        <w:rPr>
          <w:i/>
        </w:rPr>
        <w:t xml:space="preserve"> rights for shareholders to </w:t>
      </w:r>
      <w:r>
        <w:rPr>
          <w:i/>
        </w:rPr>
        <w:t>s</w:t>
      </w:r>
      <w:r w:rsidRPr="00437F01">
        <w:rPr>
          <w:i/>
        </w:rPr>
        <w:t>ubscribe for new Shares in exchange for cash payment or payment through set-off of claims – the following shall apply with respect to the right to participate in the issue for Shares which are issued as a consequence of the Subscription through exercise of Warrants:</w:t>
      </w:r>
    </w:p>
    <w:p w14:paraId="3281A9F9" w14:textId="77777777" w:rsidR="00F3012E" w:rsidRPr="00437F01" w:rsidRDefault="00F3012E" w:rsidP="006350FE">
      <w:pPr>
        <w:pStyle w:val="BodyText"/>
        <w:numPr>
          <w:ilvl w:val="4"/>
          <w:numId w:val="56"/>
        </w:numPr>
      </w:pPr>
      <w:bookmarkStart w:id="44" w:name="_Ref167349330"/>
      <w:r w:rsidRPr="00A50800">
        <w:rPr>
          <w:lang w:val="sv-SE"/>
        </w:rPr>
        <w:t xml:space="preserve">Om Bolagets Aktier vid tidpunkten för emissionen inte är föremål för marknadsnotering, </w:t>
      </w:r>
      <w:r>
        <w:rPr>
          <w:lang w:val="sv-SE"/>
        </w:rPr>
        <w:t>ska</w:t>
      </w:r>
      <w:r w:rsidRPr="00A50800">
        <w:rPr>
          <w:lang w:val="sv-SE"/>
        </w:rPr>
        <w:t xml:space="preserve"> omräkning ske, dels av Teckningskursen, dels av det antal Aktier som varje Teckningsoption ger rätt att teckna i enlighet med denna punkt </w:t>
      </w:r>
      <w:r>
        <w:rPr>
          <w:lang w:val="sv-SE"/>
        </w:rPr>
        <w:fldChar w:fldCharType="begin"/>
      </w:r>
      <w:r>
        <w:rPr>
          <w:lang w:val="sv-SE"/>
        </w:rPr>
        <w:instrText xml:space="preserve"> REF _Ref445997720 \r \h </w:instrText>
      </w:r>
      <w:r>
        <w:rPr>
          <w:lang w:val="sv-SE"/>
        </w:rPr>
      </w:r>
      <w:r>
        <w:rPr>
          <w:lang w:val="sv-SE"/>
        </w:rPr>
        <w:fldChar w:fldCharType="separate"/>
      </w:r>
      <w:r>
        <w:rPr>
          <w:lang w:val="sv-SE"/>
        </w:rPr>
        <w:t>8.2.4</w:t>
      </w:r>
      <w:r>
        <w:rPr>
          <w:lang w:val="sv-SE"/>
        </w:rPr>
        <w:fldChar w:fldCharType="end"/>
      </w:r>
      <w:r w:rsidRPr="00A50800">
        <w:rPr>
          <w:lang w:val="sv-SE"/>
        </w:rPr>
        <w:t xml:space="preserve"> angivna principer. Omräkningen</w:t>
      </w:r>
      <w:r>
        <w:rPr>
          <w:lang w:val="sv-SE"/>
        </w:rPr>
        <w:t xml:space="preserve"> ska</w:t>
      </w:r>
      <w:r w:rsidRPr="00A50800">
        <w:rPr>
          <w:lang w:val="sv-SE"/>
        </w:rPr>
        <w:t xml:space="preserve"> utföras av Bolaget</w:t>
      </w:r>
      <w:r>
        <w:rPr>
          <w:lang w:val="sv-SE"/>
        </w:rPr>
        <w:t xml:space="preserve"> och ska</w:t>
      </w:r>
      <w:r w:rsidRPr="00A50800">
        <w:rPr>
          <w:lang w:val="sv-SE"/>
        </w:rPr>
        <w:t xml:space="preserve"> ha som utgångspunkt att värdet på Teckningsoptionerna </w:t>
      </w:r>
      <w:r>
        <w:rPr>
          <w:lang w:val="sv-SE"/>
        </w:rPr>
        <w:t>ska</w:t>
      </w:r>
      <w:r w:rsidRPr="00A50800">
        <w:rPr>
          <w:lang w:val="sv-SE"/>
        </w:rPr>
        <w:t xml:space="preserve"> lämnas oförändrat.</w:t>
      </w:r>
      <w:r w:rsidRPr="00A50800">
        <w:rPr>
          <w:lang w:val="sv-SE"/>
        </w:rPr>
        <w:br/>
      </w:r>
      <w:r>
        <w:rPr>
          <w:i/>
        </w:rPr>
        <w:t xml:space="preserve">If </w:t>
      </w:r>
      <w:r w:rsidRPr="00437F01">
        <w:rPr>
          <w:i/>
        </w:rPr>
        <w:t xml:space="preserve">the Company's Shares </w:t>
      </w:r>
      <w:r>
        <w:rPr>
          <w:i/>
        </w:rPr>
        <w:t>are not</w:t>
      </w:r>
      <w:r w:rsidRPr="00437F01">
        <w:rPr>
          <w:i/>
        </w:rPr>
        <w:t xml:space="preserve"> listed</w:t>
      </w:r>
      <w:r>
        <w:rPr>
          <w:i/>
        </w:rPr>
        <w:t xml:space="preserve"> </w:t>
      </w:r>
      <w:r w:rsidRPr="00437F01">
        <w:rPr>
          <w:i/>
        </w:rPr>
        <w:t xml:space="preserve">at the time of the issuance, a recalculation of the Subscription Price and the number of Shares each Warrant entitles to subscribe for shall be adjusted in accordance with the principles set forth in this section </w:t>
      </w:r>
      <w:r>
        <w:rPr>
          <w:i/>
        </w:rPr>
        <w:fldChar w:fldCharType="begin"/>
      </w:r>
      <w:r>
        <w:rPr>
          <w:i/>
        </w:rPr>
        <w:instrText xml:space="preserve"> REF _Ref445997720 \r \h </w:instrText>
      </w:r>
      <w:r>
        <w:rPr>
          <w:i/>
        </w:rPr>
      </w:r>
      <w:r>
        <w:rPr>
          <w:i/>
        </w:rPr>
        <w:fldChar w:fldCharType="separate"/>
      </w:r>
      <w:r>
        <w:rPr>
          <w:i/>
        </w:rPr>
        <w:t>8.2.4</w:t>
      </w:r>
      <w:r>
        <w:rPr>
          <w:i/>
        </w:rPr>
        <w:fldChar w:fldCharType="end"/>
      </w:r>
      <w:r w:rsidRPr="00437F01">
        <w:rPr>
          <w:i/>
        </w:rPr>
        <w:t>. The recalculation shall be made by the Company and shall be made on the basis that the value of the Warrants shall remain unchanged.</w:t>
      </w:r>
      <w:bookmarkEnd w:id="44"/>
    </w:p>
    <w:p w14:paraId="33627A18" w14:textId="77777777" w:rsidR="00F3012E" w:rsidRPr="00B61BC0" w:rsidRDefault="00F3012E" w:rsidP="006350FE">
      <w:pPr>
        <w:pStyle w:val="BodyText"/>
        <w:numPr>
          <w:ilvl w:val="4"/>
          <w:numId w:val="56"/>
        </w:numPr>
      </w:pPr>
      <w:bookmarkStart w:id="45" w:name="_Ref167349244"/>
      <w:r w:rsidRPr="006B6AC0">
        <w:rPr>
          <w:lang w:val="en-US"/>
        </w:rPr>
        <w:t xml:space="preserve">Om </w:t>
      </w:r>
      <w:proofErr w:type="spellStart"/>
      <w:r w:rsidRPr="006B6AC0">
        <w:rPr>
          <w:lang w:val="en-US"/>
        </w:rPr>
        <w:t>Bolagets</w:t>
      </w:r>
      <w:proofErr w:type="spellEnd"/>
      <w:r w:rsidRPr="006B6AC0">
        <w:rPr>
          <w:lang w:val="en-US"/>
        </w:rPr>
        <w:t xml:space="preserve"> </w:t>
      </w:r>
      <w:proofErr w:type="spellStart"/>
      <w:r w:rsidRPr="006B6AC0">
        <w:rPr>
          <w:lang w:val="en-US"/>
        </w:rPr>
        <w:t>Aktier</w:t>
      </w:r>
      <w:proofErr w:type="spellEnd"/>
      <w:r w:rsidRPr="006B6AC0">
        <w:rPr>
          <w:lang w:val="en-US"/>
        </w:rPr>
        <w:t xml:space="preserve"> vid </w:t>
      </w:r>
      <w:proofErr w:type="spellStart"/>
      <w:r w:rsidRPr="006B6AC0">
        <w:rPr>
          <w:lang w:val="en-US"/>
        </w:rPr>
        <w:t>tidpunkten</w:t>
      </w:r>
      <w:proofErr w:type="spellEnd"/>
      <w:r w:rsidRPr="006B6AC0">
        <w:rPr>
          <w:lang w:val="en-US"/>
        </w:rPr>
        <w:t xml:space="preserve"> för </w:t>
      </w:r>
      <w:proofErr w:type="spellStart"/>
      <w:r w:rsidRPr="006B6AC0">
        <w:rPr>
          <w:lang w:val="en-US"/>
        </w:rPr>
        <w:t>emissionen</w:t>
      </w:r>
      <w:proofErr w:type="spellEnd"/>
      <w:r w:rsidRPr="006B6AC0">
        <w:rPr>
          <w:lang w:val="en-US"/>
        </w:rPr>
        <w:t xml:space="preserve"> </w:t>
      </w:r>
      <w:proofErr w:type="spellStart"/>
      <w:r w:rsidRPr="006B6AC0">
        <w:rPr>
          <w:lang w:val="en-US"/>
        </w:rPr>
        <w:t>är</w:t>
      </w:r>
      <w:proofErr w:type="spellEnd"/>
      <w:r w:rsidRPr="006B6AC0">
        <w:rPr>
          <w:lang w:val="en-US"/>
        </w:rPr>
        <w:t xml:space="preserve"> </w:t>
      </w:r>
      <w:proofErr w:type="spellStart"/>
      <w:r w:rsidRPr="006B6AC0">
        <w:rPr>
          <w:lang w:val="en-US"/>
        </w:rPr>
        <w:t>föremål</w:t>
      </w:r>
      <w:proofErr w:type="spellEnd"/>
      <w:r w:rsidRPr="006B6AC0">
        <w:rPr>
          <w:lang w:val="en-US"/>
        </w:rPr>
        <w:t xml:space="preserve"> för </w:t>
      </w:r>
      <w:proofErr w:type="spellStart"/>
      <w:r w:rsidRPr="006B6AC0">
        <w:rPr>
          <w:lang w:val="en-US"/>
        </w:rPr>
        <w:t>marknadsnotering</w:t>
      </w:r>
      <w:proofErr w:type="spellEnd"/>
      <w:r w:rsidRPr="006B6AC0">
        <w:rPr>
          <w:lang w:val="en-US"/>
        </w:rPr>
        <w:t xml:space="preserve">, ska </w:t>
      </w:r>
      <w:proofErr w:type="spellStart"/>
      <w:r w:rsidRPr="006B6AC0">
        <w:rPr>
          <w:lang w:val="en-US"/>
        </w:rPr>
        <w:t>följande</w:t>
      </w:r>
      <w:proofErr w:type="spellEnd"/>
      <w:r w:rsidRPr="006B6AC0">
        <w:rPr>
          <w:lang w:val="en-US"/>
        </w:rPr>
        <w:t xml:space="preserve"> </w:t>
      </w:r>
      <w:proofErr w:type="spellStart"/>
      <w:r w:rsidRPr="006B6AC0">
        <w:rPr>
          <w:lang w:val="en-US"/>
        </w:rPr>
        <w:t>gälla</w:t>
      </w:r>
      <w:proofErr w:type="spellEnd"/>
      <w:r w:rsidRPr="006B6AC0">
        <w:rPr>
          <w:lang w:val="en-US"/>
        </w:rPr>
        <w:t xml:space="preserve"> </w:t>
      </w:r>
      <w:proofErr w:type="spellStart"/>
      <w:r w:rsidRPr="006B6AC0">
        <w:rPr>
          <w:lang w:val="en-US"/>
        </w:rPr>
        <w:t>beträffande</w:t>
      </w:r>
      <w:proofErr w:type="spellEnd"/>
      <w:r w:rsidRPr="006B6AC0">
        <w:rPr>
          <w:lang w:val="en-US"/>
        </w:rPr>
        <w:t xml:space="preserve"> </w:t>
      </w:r>
      <w:proofErr w:type="spellStart"/>
      <w:r w:rsidRPr="006B6AC0">
        <w:rPr>
          <w:lang w:val="en-US"/>
        </w:rPr>
        <w:t>rätten</w:t>
      </w:r>
      <w:proofErr w:type="spellEnd"/>
      <w:r w:rsidRPr="006B6AC0">
        <w:rPr>
          <w:lang w:val="en-US"/>
        </w:rPr>
        <w:t xml:space="preserve"> </w:t>
      </w:r>
      <w:proofErr w:type="spellStart"/>
      <w:r w:rsidRPr="006B6AC0">
        <w:rPr>
          <w:lang w:val="en-US"/>
        </w:rPr>
        <w:t>att</w:t>
      </w:r>
      <w:proofErr w:type="spellEnd"/>
      <w:r w:rsidRPr="006B6AC0">
        <w:rPr>
          <w:lang w:val="en-US"/>
        </w:rPr>
        <w:t xml:space="preserve"> delta </w:t>
      </w:r>
      <w:proofErr w:type="spellStart"/>
      <w:r w:rsidRPr="006B6AC0">
        <w:rPr>
          <w:lang w:val="en-US"/>
        </w:rPr>
        <w:t>i</w:t>
      </w:r>
      <w:proofErr w:type="spellEnd"/>
      <w:r w:rsidRPr="006B6AC0">
        <w:rPr>
          <w:lang w:val="en-US"/>
        </w:rPr>
        <w:t xml:space="preserve"> </w:t>
      </w:r>
      <w:proofErr w:type="spellStart"/>
      <w:r w:rsidRPr="006B6AC0">
        <w:rPr>
          <w:lang w:val="en-US"/>
        </w:rPr>
        <w:t>emissionen</w:t>
      </w:r>
      <w:proofErr w:type="spellEnd"/>
      <w:r w:rsidRPr="006B6AC0">
        <w:rPr>
          <w:lang w:val="en-US"/>
        </w:rPr>
        <w:t>:</w:t>
      </w:r>
      <w:r w:rsidRPr="00B61BC0">
        <w:br/>
      </w:r>
      <w:r>
        <w:rPr>
          <w:i/>
        </w:rPr>
        <w:t xml:space="preserve">If the </w:t>
      </w:r>
      <w:r w:rsidRPr="00B61BC0">
        <w:rPr>
          <w:i/>
        </w:rPr>
        <w:t xml:space="preserve">Company's Shares </w:t>
      </w:r>
      <w:r>
        <w:rPr>
          <w:i/>
        </w:rPr>
        <w:t xml:space="preserve">are </w:t>
      </w:r>
      <w:r w:rsidRPr="00B61BC0">
        <w:rPr>
          <w:i/>
        </w:rPr>
        <w:t>listed at the time of the issuance, the following shall apply with respect to the rights to participate in the new issue:</w:t>
      </w:r>
      <w:bookmarkEnd w:id="45"/>
    </w:p>
    <w:p w14:paraId="63F2ACE1" w14:textId="77777777" w:rsidR="00F3012E" w:rsidRPr="00437F01" w:rsidRDefault="00F3012E" w:rsidP="006350FE">
      <w:pPr>
        <w:pStyle w:val="BodyText"/>
        <w:numPr>
          <w:ilvl w:val="5"/>
          <w:numId w:val="56"/>
        </w:numPr>
      </w:pPr>
      <w:r w:rsidRPr="00B61BC0">
        <w:rPr>
          <w:lang w:val="sv-SE"/>
        </w:rPr>
        <w:t xml:space="preserve">Beslutas emissionen av styrelsen under förutsättning av bolagsstämmans godkännande eller med stöd av bolagsstämmans bemyndigande, </w:t>
      </w:r>
      <w:r>
        <w:rPr>
          <w:lang w:val="sv-SE"/>
        </w:rPr>
        <w:t>ska</w:t>
      </w:r>
      <w:r w:rsidRPr="00B61BC0">
        <w:rPr>
          <w:lang w:val="sv-SE"/>
        </w:rPr>
        <w:t xml:space="preserve"> i beslutet anges den senaste dag då Teckning </w:t>
      </w:r>
      <w:r>
        <w:rPr>
          <w:lang w:val="sv-SE"/>
        </w:rPr>
        <w:t>ska</w:t>
      </w:r>
      <w:r w:rsidRPr="00B61BC0">
        <w:rPr>
          <w:lang w:val="sv-SE"/>
        </w:rPr>
        <w:t xml:space="preserve"> vara verkställd för att Aktie, som tillkommit genom Teckning, </w:t>
      </w:r>
      <w:r>
        <w:rPr>
          <w:lang w:val="sv-SE"/>
        </w:rPr>
        <w:t>ska</w:t>
      </w:r>
      <w:r w:rsidRPr="00B61BC0">
        <w:rPr>
          <w:lang w:val="sv-SE"/>
        </w:rPr>
        <w:t xml:space="preserve"> medföra rätt att delta i emissionen. Sådan dag får inte infalla tidigare än tionde kalenderdagen efter </w:t>
      </w:r>
      <w:proofErr w:type="spellStart"/>
      <w:r w:rsidRPr="00B61BC0">
        <w:rPr>
          <w:lang w:val="sv-SE"/>
        </w:rPr>
        <w:t>emissionsbeslutet</w:t>
      </w:r>
      <w:proofErr w:type="spellEnd"/>
      <w:r w:rsidRPr="00B61BC0">
        <w:rPr>
          <w:lang w:val="sv-SE"/>
        </w:rPr>
        <w:t>.</w:t>
      </w:r>
      <w:r w:rsidRPr="00B61BC0">
        <w:rPr>
          <w:lang w:val="sv-SE"/>
        </w:rPr>
        <w:br/>
      </w:r>
      <w:r w:rsidRPr="00B61BC0">
        <w:rPr>
          <w:i/>
        </w:rPr>
        <w:t xml:space="preserve">Where the board of directors resolves to issue Shares subject to approval by the </w:t>
      </w:r>
      <w:r>
        <w:rPr>
          <w:i/>
        </w:rPr>
        <w:t>general meeting</w:t>
      </w:r>
      <w:r w:rsidRPr="00B61BC0">
        <w:rPr>
          <w:i/>
        </w:rPr>
        <w:t xml:space="preserve"> or in accordance with an authorization by the </w:t>
      </w:r>
      <w:r>
        <w:rPr>
          <w:i/>
        </w:rPr>
        <w:t>general meeting</w:t>
      </w:r>
      <w:r w:rsidRPr="00B61BC0">
        <w:rPr>
          <w:i/>
        </w:rPr>
        <w:t xml:space="preserve">, the resolution to issue Shares shall set forth the last date on which Subscription through the exercise of Warrants shall be executed in order for Shares, which is issued as a consequence of </w:t>
      </w:r>
      <w:r w:rsidRPr="00B61BC0">
        <w:rPr>
          <w:i/>
        </w:rPr>
        <w:lastRenderedPageBreak/>
        <w:t>Subscription, shall entitle the Warrant Holders to participate in the issue. Such date may not be earlier than ten calendar days following the resolution to issue Shares.</w:t>
      </w:r>
    </w:p>
    <w:p w14:paraId="6FDF1C7C" w14:textId="77777777" w:rsidR="00F3012E" w:rsidRPr="00437F01" w:rsidRDefault="00F3012E" w:rsidP="006350FE">
      <w:pPr>
        <w:pStyle w:val="BodyText"/>
        <w:numPr>
          <w:ilvl w:val="5"/>
          <w:numId w:val="56"/>
        </w:numPr>
      </w:pPr>
      <w:r w:rsidRPr="00A50800">
        <w:rPr>
          <w:lang w:val="sv-SE"/>
        </w:rPr>
        <w:t xml:space="preserve">Beslutas emissionen av bolagsstämman, </w:t>
      </w:r>
      <w:r>
        <w:rPr>
          <w:lang w:val="sv-SE"/>
        </w:rPr>
        <w:t>ska</w:t>
      </w:r>
      <w:r w:rsidRPr="00A50800">
        <w:rPr>
          <w:lang w:val="sv-SE"/>
        </w:rPr>
        <w:t xml:space="preserve"> Teckning – som påkallas på sådan tid att Teckningen inte kan verkställas senast på tionde kalenderdagen före den bolagsstämma som beslutar om emissionen – verkställas först sedan Bolaget verkställt omräkning enligt de</w:t>
      </w:r>
      <w:r>
        <w:rPr>
          <w:lang w:val="sv-SE"/>
        </w:rPr>
        <w:t>nn</w:t>
      </w:r>
      <w:r w:rsidRPr="00A50800">
        <w:rPr>
          <w:lang w:val="sv-SE"/>
        </w:rPr>
        <w:t xml:space="preserve">a punkt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Aktie, som tillkommit på grund av sådan Teckning, registreras interimistiskt på avstämningskonto, vilket innebär att de inte har rätt att delta i emissionen.</w:t>
      </w:r>
      <w:r w:rsidRPr="00A50800">
        <w:rPr>
          <w:lang w:val="sv-SE"/>
        </w:rPr>
        <w:br/>
      </w:r>
      <w:r w:rsidRPr="00437F01">
        <w:rPr>
          <w:i/>
        </w:rPr>
        <w:t xml:space="preserve">Where the </w:t>
      </w:r>
      <w:r>
        <w:rPr>
          <w:i/>
        </w:rPr>
        <w:t>general meeting</w:t>
      </w:r>
      <w:r w:rsidRPr="00437F01">
        <w:rPr>
          <w:i/>
        </w:rPr>
        <w:t xml:space="preserve"> ha</w:t>
      </w:r>
      <w:r>
        <w:rPr>
          <w:i/>
        </w:rPr>
        <w:t>s</w:t>
      </w:r>
      <w:r w:rsidRPr="00437F01">
        <w:rPr>
          <w:i/>
        </w:rPr>
        <w:t xml:space="preserve"> resolved upon the issue, the Subscription – for which notice for Subscription is made at such time that it cannot be effected on or before the tenth calendar day prior to the </w:t>
      </w:r>
      <w:r>
        <w:rPr>
          <w:i/>
        </w:rPr>
        <w:t>general</w:t>
      </w:r>
      <w:r w:rsidRPr="00437F01">
        <w:rPr>
          <w:i/>
        </w:rPr>
        <w:t xml:space="preserve"> meeting which decides upon the issue – shall be effected only after the Company has effected recalculation in accordance with this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Shares which are issued </w:t>
      </w:r>
      <w:proofErr w:type="gramStart"/>
      <w:r w:rsidRPr="00437F01">
        <w:rPr>
          <w:i/>
        </w:rPr>
        <w:t>as a consequence of</w:t>
      </w:r>
      <w:proofErr w:type="gramEnd"/>
      <w:r w:rsidRPr="00437F01">
        <w:rPr>
          <w:i/>
        </w:rPr>
        <w:t xml:space="preserve"> such Subscription shall be registered on an interim basis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ry account and shall not entitle to participation in the issue.</w:t>
      </w:r>
    </w:p>
    <w:p w14:paraId="5D54BEB3" w14:textId="77777777" w:rsidR="00F3012E" w:rsidRPr="00437F01" w:rsidRDefault="00F3012E" w:rsidP="00F3012E">
      <w:pPr>
        <w:pStyle w:val="BodyText"/>
        <w:ind w:left="720"/>
      </w:pPr>
      <w:r w:rsidRPr="00A50800">
        <w:rPr>
          <w:lang w:val="sv-SE"/>
        </w:rPr>
        <w:t xml:space="preserve">Vid Teckning som verkställts på sådan tid att rätt till deltagande i nyemissionen inte uppkommer tillämpas en omräknad Teckningskurs liksom en omräkning av det antal Aktier som varje Teckningsoption berättigar till Teckning av. </w:t>
      </w:r>
      <w:proofErr w:type="spellStart"/>
      <w:r w:rsidRPr="00437F01">
        <w:t>Omräkningarna</w:t>
      </w:r>
      <w:proofErr w:type="spellEnd"/>
      <w:r w:rsidRPr="00437F01">
        <w:t xml:space="preserve"> </w:t>
      </w:r>
      <w:proofErr w:type="spellStart"/>
      <w:r w:rsidRPr="00437F01">
        <w:t>utför</w:t>
      </w:r>
      <w:r>
        <w:t>s</w:t>
      </w:r>
      <w:proofErr w:type="spellEnd"/>
      <w:r w:rsidRPr="00437F01">
        <w:t xml:space="preserve"> </w:t>
      </w:r>
      <w:proofErr w:type="spellStart"/>
      <w:r w:rsidRPr="00437F01">
        <w:t>av</w:t>
      </w:r>
      <w:proofErr w:type="spellEnd"/>
      <w:r w:rsidRPr="00437F01">
        <w:t xml:space="preserve"> </w:t>
      </w:r>
      <w:proofErr w:type="spellStart"/>
      <w:r w:rsidRPr="00437F01">
        <w:t>Bolaget</w:t>
      </w:r>
      <w:proofErr w:type="spellEnd"/>
      <w:r w:rsidRPr="00437F01">
        <w:t xml:space="preserve"> </w:t>
      </w:r>
      <w:proofErr w:type="spellStart"/>
      <w:r w:rsidRPr="00437F01">
        <w:t>enligt</w:t>
      </w:r>
      <w:proofErr w:type="spellEnd"/>
      <w:r w:rsidRPr="00437F01">
        <w:t xml:space="preserve"> </w:t>
      </w:r>
      <w:proofErr w:type="spellStart"/>
      <w:r w:rsidRPr="00437F01">
        <w:t>nedan</w:t>
      </w:r>
      <w:proofErr w:type="spellEnd"/>
      <w:r w:rsidRPr="00437F01">
        <w:t>:</w:t>
      </w:r>
      <w:r w:rsidRPr="00437F01">
        <w:br/>
      </w:r>
      <w:r w:rsidRPr="00437F01">
        <w:rPr>
          <w:i/>
        </w:rPr>
        <w:t>Where Subscription is made at such time that no right to participate in the new issue arises, a recalculated Subscription Price as well as a recalculated number of Shares which each Warrant entitles to subscribe for shall apply. Recalculations shall be made by the Company in accordance with the following formulas:</w:t>
      </w:r>
    </w:p>
    <w:tbl>
      <w:tblPr>
        <w:tblW w:w="8370" w:type="dxa"/>
        <w:tblInd w:w="630" w:type="dxa"/>
        <w:tblLook w:val="04A0" w:firstRow="1" w:lastRow="0" w:firstColumn="1" w:lastColumn="0" w:noHBand="0" w:noVBand="1"/>
      </w:tblPr>
      <w:tblGrid>
        <w:gridCol w:w="2125"/>
        <w:gridCol w:w="574"/>
        <w:gridCol w:w="5664"/>
        <w:gridCol w:w="7"/>
      </w:tblGrid>
      <w:tr w:rsidR="00F3012E" w:rsidRPr="00D00630" w14:paraId="563689AE" w14:textId="77777777" w:rsidTr="00695A7D">
        <w:trPr>
          <w:gridAfter w:val="1"/>
          <w:wAfter w:w="7" w:type="dxa"/>
          <w:cantSplit/>
          <w:trHeight w:val="675"/>
        </w:trPr>
        <w:tc>
          <w:tcPr>
            <w:tcW w:w="2126" w:type="dxa"/>
            <w:vMerge w:val="restart"/>
            <w:vAlign w:val="center"/>
          </w:tcPr>
          <w:p w14:paraId="1724CA66" w14:textId="77777777" w:rsidR="00F3012E" w:rsidRPr="006B6AC0" w:rsidRDefault="00F3012E" w:rsidP="00695A7D">
            <w:pPr>
              <w:pStyle w:val="TableText"/>
              <w:spacing w:after="0"/>
              <w:rPr>
                <w:lang w:val="sv-SE"/>
              </w:rPr>
            </w:pPr>
            <w:r w:rsidRPr="006B6AC0">
              <w:rPr>
                <w:lang w:val="sv-SE"/>
              </w:rPr>
              <w:t>Omräknad</w:t>
            </w:r>
            <w:r w:rsidRPr="006B6AC0">
              <w:rPr>
                <w:lang w:val="sv-SE"/>
              </w:rPr>
              <w:br/>
              <w:t>Teckningskurs</w:t>
            </w:r>
          </w:p>
        </w:tc>
        <w:tc>
          <w:tcPr>
            <w:tcW w:w="574" w:type="dxa"/>
            <w:vMerge w:val="restart"/>
            <w:vAlign w:val="center"/>
          </w:tcPr>
          <w:p w14:paraId="797557B5" w14:textId="77777777" w:rsidR="00F3012E" w:rsidRPr="00437F01" w:rsidRDefault="00F3012E" w:rsidP="00695A7D">
            <w:pPr>
              <w:pStyle w:val="TableText"/>
              <w:spacing w:after="0"/>
              <w:jc w:val="center"/>
            </w:pPr>
            <w:r w:rsidRPr="00437F01">
              <w:t>=</w:t>
            </w:r>
          </w:p>
        </w:tc>
        <w:tc>
          <w:tcPr>
            <w:tcW w:w="5663" w:type="dxa"/>
            <w:tcBorders>
              <w:bottom w:val="single" w:sz="4" w:space="0" w:color="auto"/>
            </w:tcBorders>
          </w:tcPr>
          <w:p w14:paraId="25B2C4D9"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w:t>
            </w:r>
            <w:r>
              <w:rPr>
                <w:lang w:val="sv-SE"/>
              </w:rPr>
              <w:t>Aktie</w:t>
            </w:r>
            <w:r w:rsidRPr="00A50800">
              <w:rPr>
                <w:lang w:val="sv-SE"/>
              </w:rPr>
              <w:t xml:space="preserve">ns genomsnittliga aktiekurs under den i </w:t>
            </w:r>
            <w:proofErr w:type="spellStart"/>
            <w:r w:rsidRPr="00A50800">
              <w:rPr>
                <w:lang w:val="sv-SE"/>
              </w:rPr>
              <w:t>emissionsbeslutet</w:t>
            </w:r>
            <w:proofErr w:type="spellEnd"/>
            <w:r w:rsidRPr="00A50800">
              <w:rPr>
                <w:lang w:val="sv-SE"/>
              </w:rPr>
              <w:t xml:space="preserve"> fastställda </w:t>
            </w:r>
            <w:r>
              <w:rPr>
                <w:lang w:val="sv-SE"/>
              </w:rPr>
              <w:t>t</w:t>
            </w:r>
            <w:r w:rsidRPr="00A50800">
              <w:rPr>
                <w:lang w:val="sv-SE"/>
              </w:rPr>
              <w:t>eckningstiden (</w:t>
            </w:r>
            <w:r>
              <w:rPr>
                <w:lang w:val="sv-SE"/>
              </w:rPr>
              <w:t>Aktie</w:t>
            </w:r>
            <w:r w:rsidRPr="00A50800">
              <w:rPr>
                <w:lang w:val="sv-SE"/>
              </w:rPr>
              <w:t>ns genomsnittskurs)</w:t>
            </w:r>
          </w:p>
        </w:tc>
      </w:tr>
      <w:tr w:rsidR="00F3012E" w:rsidRPr="00D00630" w14:paraId="28004CD8" w14:textId="77777777" w:rsidTr="00695A7D">
        <w:trPr>
          <w:gridAfter w:val="1"/>
          <w:wAfter w:w="7" w:type="dxa"/>
          <w:cantSplit/>
        </w:trPr>
        <w:tc>
          <w:tcPr>
            <w:tcW w:w="2126" w:type="dxa"/>
            <w:vMerge/>
          </w:tcPr>
          <w:p w14:paraId="054CB1AE" w14:textId="77777777" w:rsidR="00F3012E" w:rsidRPr="00A50800" w:rsidRDefault="00F3012E" w:rsidP="00695A7D">
            <w:pPr>
              <w:pStyle w:val="TableText"/>
              <w:spacing w:after="0"/>
              <w:rPr>
                <w:lang w:val="sv-SE"/>
              </w:rPr>
            </w:pPr>
          </w:p>
        </w:tc>
        <w:tc>
          <w:tcPr>
            <w:tcW w:w="574" w:type="dxa"/>
            <w:vMerge/>
            <w:vAlign w:val="center"/>
          </w:tcPr>
          <w:p w14:paraId="6A490F0A" w14:textId="77777777" w:rsidR="00F3012E" w:rsidRPr="00A50800" w:rsidRDefault="00F3012E" w:rsidP="00695A7D">
            <w:pPr>
              <w:pStyle w:val="TableText"/>
              <w:spacing w:after="0"/>
              <w:jc w:val="center"/>
              <w:rPr>
                <w:lang w:val="sv-SE"/>
              </w:rPr>
            </w:pPr>
          </w:p>
        </w:tc>
        <w:tc>
          <w:tcPr>
            <w:tcW w:w="5663" w:type="dxa"/>
            <w:tcBorders>
              <w:top w:val="single" w:sz="4" w:space="0" w:color="auto"/>
            </w:tcBorders>
          </w:tcPr>
          <w:p w14:paraId="0FD2E0A1" w14:textId="77777777" w:rsidR="00F3012E" w:rsidRPr="00A50800" w:rsidRDefault="00F3012E" w:rsidP="00695A7D">
            <w:pPr>
              <w:pStyle w:val="TableText"/>
              <w:spacing w:after="0"/>
              <w:rPr>
                <w:lang w:val="sv-SE"/>
              </w:rPr>
            </w:pPr>
            <w:r w:rsidRPr="00A50800">
              <w:rPr>
                <w:lang w:val="sv-SE"/>
              </w:rPr>
              <w:t>Aktiens genomsnittskurs ökad med det på grundval därav framräknade teoretiska värdet på teckningsrätten</w:t>
            </w:r>
          </w:p>
        </w:tc>
      </w:tr>
      <w:tr w:rsidR="00F3012E" w:rsidRPr="00D00630" w14:paraId="185E6ADC" w14:textId="77777777" w:rsidTr="00695A7D">
        <w:trPr>
          <w:cantSplit/>
        </w:trPr>
        <w:tc>
          <w:tcPr>
            <w:tcW w:w="2126" w:type="dxa"/>
            <w:vAlign w:val="center"/>
          </w:tcPr>
          <w:p w14:paraId="2E90B178" w14:textId="77777777" w:rsidR="00F3012E" w:rsidRPr="00A50800" w:rsidRDefault="00F3012E" w:rsidP="00695A7D">
            <w:pPr>
              <w:pStyle w:val="TableText"/>
              <w:spacing w:after="0"/>
              <w:rPr>
                <w:i/>
                <w:lang w:val="sv-SE"/>
              </w:rPr>
            </w:pPr>
          </w:p>
        </w:tc>
        <w:tc>
          <w:tcPr>
            <w:tcW w:w="574" w:type="dxa"/>
            <w:vAlign w:val="center"/>
          </w:tcPr>
          <w:p w14:paraId="7FF50881" w14:textId="77777777" w:rsidR="00F3012E" w:rsidRPr="00A50800" w:rsidRDefault="00F3012E" w:rsidP="00695A7D">
            <w:pPr>
              <w:pStyle w:val="TableText"/>
              <w:spacing w:after="0"/>
              <w:jc w:val="center"/>
              <w:rPr>
                <w:lang w:val="sv-SE"/>
              </w:rPr>
            </w:pPr>
          </w:p>
        </w:tc>
        <w:tc>
          <w:tcPr>
            <w:tcW w:w="5670" w:type="dxa"/>
            <w:gridSpan w:val="2"/>
          </w:tcPr>
          <w:p w14:paraId="76543ABD" w14:textId="77777777" w:rsidR="00F3012E" w:rsidRPr="00A50800" w:rsidRDefault="00F3012E" w:rsidP="00695A7D">
            <w:pPr>
              <w:pStyle w:val="TableText"/>
              <w:spacing w:after="0"/>
              <w:rPr>
                <w:lang w:val="sv-SE"/>
              </w:rPr>
            </w:pPr>
          </w:p>
        </w:tc>
      </w:tr>
      <w:tr w:rsidR="00F3012E" w:rsidRPr="00D00630" w14:paraId="57AEEF96" w14:textId="77777777" w:rsidTr="00695A7D">
        <w:trPr>
          <w:gridAfter w:val="1"/>
          <w:wAfter w:w="7" w:type="dxa"/>
          <w:cantSplit/>
        </w:trPr>
        <w:tc>
          <w:tcPr>
            <w:tcW w:w="2126" w:type="dxa"/>
            <w:vMerge w:val="restart"/>
            <w:vAlign w:val="center"/>
          </w:tcPr>
          <w:p w14:paraId="793639AF" w14:textId="77777777" w:rsidR="00F3012E" w:rsidRPr="00A50800" w:rsidRDefault="00F3012E" w:rsidP="00695A7D">
            <w:pPr>
              <w:pStyle w:val="TableText"/>
              <w:spacing w:after="0"/>
              <w:rPr>
                <w:lang w:val="sv-SE"/>
              </w:rPr>
            </w:pPr>
            <w:r w:rsidRPr="00A50800">
              <w:rPr>
                <w:lang w:val="sv-SE"/>
              </w:rPr>
              <w:t>Omräknat antal Aktier som varje Teckningsoption berättigar till Teckning av</w:t>
            </w:r>
          </w:p>
        </w:tc>
        <w:tc>
          <w:tcPr>
            <w:tcW w:w="574" w:type="dxa"/>
            <w:vMerge w:val="restart"/>
            <w:vAlign w:val="center"/>
          </w:tcPr>
          <w:p w14:paraId="304FDE85" w14:textId="77777777" w:rsidR="00F3012E" w:rsidRPr="00437F01" w:rsidRDefault="00F3012E" w:rsidP="00695A7D">
            <w:pPr>
              <w:pStyle w:val="TableText"/>
              <w:spacing w:after="0"/>
              <w:jc w:val="center"/>
              <w:rPr>
                <w:highlight w:val="magenta"/>
              </w:rPr>
            </w:pPr>
            <w:r w:rsidRPr="00437F01">
              <w:t>=</w:t>
            </w:r>
          </w:p>
        </w:tc>
        <w:tc>
          <w:tcPr>
            <w:tcW w:w="5663" w:type="dxa"/>
            <w:tcBorders>
              <w:bottom w:val="single" w:sz="4" w:space="0" w:color="auto"/>
            </w:tcBorders>
          </w:tcPr>
          <w:p w14:paraId="0318562F"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(Aktiens genomsnittskurs ökad med det på grundval därav framräknade teoretiska värdet på teckningsrätten)</w:t>
            </w:r>
          </w:p>
        </w:tc>
      </w:tr>
      <w:tr w:rsidR="00F3012E" w:rsidRPr="00437F01" w14:paraId="71AF8A47" w14:textId="77777777" w:rsidTr="00695A7D">
        <w:trPr>
          <w:gridAfter w:val="1"/>
          <w:wAfter w:w="7" w:type="dxa"/>
          <w:cantSplit/>
        </w:trPr>
        <w:tc>
          <w:tcPr>
            <w:tcW w:w="2126" w:type="dxa"/>
            <w:vMerge/>
          </w:tcPr>
          <w:p w14:paraId="6D2A3545" w14:textId="77777777" w:rsidR="00F3012E" w:rsidRPr="00A50800" w:rsidRDefault="00F3012E" w:rsidP="00695A7D">
            <w:pPr>
              <w:pStyle w:val="TableText"/>
              <w:spacing w:after="0"/>
              <w:rPr>
                <w:lang w:val="sv-SE"/>
              </w:rPr>
            </w:pPr>
          </w:p>
        </w:tc>
        <w:tc>
          <w:tcPr>
            <w:tcW w:w="574" w:type="dxa"/>
            <w:vMerge/>
            <w:vAlign w:val="center"/>
          </w:tcPr>
          <w:p w14:paraId="074A7881" w14:textId="77777777" w:rsidR="00F3012E" w:rsidRPr="00A50800" w:rsidRDefault="00F3012E" w:rsidP="00695A7D">
            <w:pPr>
              <w:pStyle w:val="TableText"/>
              <w:spacing w:after="0"/>
              <w:jc w:val="center"/>
              <w:rPr>
                <w:lang w:val="sv-SE"/>
              </w:rPr>
            </w:pPr>
          </w:p>
        </w:tc>
        <w:tc>
          <w:tcPr>
            <w:tcW w:w="5663" w:type="dxa"/>
          </w:tcPr>
          <w:p w14:paraId="4EFD97A6" w14:textId="77777777" w:rsidR="00F3012E" w:rsidRPr="006B6AC0" w:rsidRDefault="00F3012E" w:rsidP="00695A7D">
            <w:pPr>
              <w:pStyle w:val="TableText"/>
              <w:spacing w:after="0"/>
              <w:rPr>
                <w:lang w:val="sv-SE"/>
              </w:rPr>
            </w:pPr>
            <w:r w:rsidRPr="006B6AC0">
              <w:rPr>
                <w:lang w:val="sv-SE"/>
              </w:rPr>
              <w:t>Aktiens genomsnittskurs</w:t>
            </w:r>
          </w:p>
        </w:tc>
      </w:tr>
      <w:tr w:rsidR="00F3012E" w:rsidRPr="007F470D" w14:paraId="71FE4229" w14:textId="77777777" w:rsidTr="00695A7D">
        <w:trPr>
          <w:gridAfter w:val="1"/>
          <w:wAfter w:w="7" w:type="dxa"/>
          <w:cantSplit/>
        </w:trPr>
        <w:tc>
          <w:tcPr>
            <w:tcW w:w="2126" w:type="dxa"/>
            <w:vMerge w:val="restart"/>
            <w:vAlign w:val="center"/>
          </w:tcPr>
          <w:p w14:paraId="7658B0DD" w14:textId="77777777" w:rsidR="00F3012E" w:rsidRPr="00437F01" w:rsidRDefault="00F3012E" w:rsidP="00695A7D">
            <w:pPr>
              <w:pStyle w:val="TableText"/>
              <w:spacing w:after="0"/>
            </w:pPr>
            <w:r w:rsidRPr="00437F01">
              <w:rPr>
                <w:i/>
              </w:rPr>
              <w:t>Recalculated Subscription Price</w:t>
            </w:r>
          </w:p>
        </w:tc>
        <w:tc>
          <w:tcPr>
            <w:tcW w:w="574" w:type="dxa"/>
            <w:vMerge w:val="restart"/>
            <w:vAlign w:val="center"/>
          </w:tcPr>
          <w:p w14:paraId="4385FDDA" w14:textId="77777777" w:rsidR="00F3012E" w:rsidRPr="00437F01" w:rsidRDefault="00F3012E" w:rsidP="00695A7D">
            <w:pPr>
              <w:pStyle w:val="TableText"/>
              <w:spacing w:after="0"/>
              <w:jc w:val="center"/>
            </w:pPr>
            <w:r w:rsidRPr="00437F01">
              <w:t>=</w:t>
            </w:r>
          </w:p>
        </w:tc>
        <w:tc>
          <w:tcPr>
            <w:tcW w:w="5663" w:type="dxa"/>
            <w:tcBorders>
              <w:bottom w:val="single" w:sz="4" w:space="0" w:color="auto"/>
            </w:tcBorders>
          </w:tcPr>
          <w:p w14:paraId="06687FDF" w14:textId="77777777" w:rsidR="00F3012E" w:rsidRPr="00437F01" w:rsidRDefault="00F3012E" w:rsidP="00695A7D">
            <w:pPr>
              <w:pStyle w:val="TableText"/>
              <w:spacing w:after="0"/>
            </w:pPr>
            <w:r w:rsidRPr="00437F01">
              <w:rPr>
                <w:i/>
              </w:rPr>
              <w:t xml:space="preserve">The Subscription Price x the average share price of the Share during the </w:t>
            </w:r>
            <w:r>
              <w:rPr>
                <w:i/>
              </w:rPr>
              <w:t>s</w:t>
            </w:r>
            <w:r w:rsidRPr="00437F01">
              <w:rPr>
                <w:i/>
              </w:rPr>
              <w:t xml:space="preserve">ubscription </w:t>
            </w:r>
            <w:r>
              <w:rPr>
                <w:i/>
              </w:rPr>
              <w:t>p</w:t>
            </w:r>
            <w:r w:rsidRPr="00437F01">
              <w:rPr>
                <w:i/>
              </w:rPr>
              <w:t>eriod set forth in the issue resolution</w:t>
            </w:r>
            <w:r>
              <w:rPr>
                <w:i/>
              </w:rPr>
              <w:t xml:space="preserve"> </w:t>
            </w:r>
            <w:r w:rsidRPr="00437F01">
              <w:rPr>
                <w:i/>
              </w:rPr>
              <w:t>(average price of Share)</w:t>
            </w:r>
          </w:p>
        </w:tc>
      </w:tr>
      <w:tr w:rsidR="00F3012E" w:rsidRPr="007F470D" w14:paraId="4D4F0CF6" w14:textId="77777777" w:rsidTr="00695A7D">
        <w:trPr>
          <w:gridAfter w:val="1"/>
          <w:wAfter w:w="7" w:type="dxa"/>
          <w:cantSplit/>
        </w:trPr>
        <w:tc>
          <w:tcPr>
            <w:tcW w:w="2126" w:type="dxa"/>
            <w:vMerge/>
          </w:tcPr>
          <w:p w14:paraId="423D08EB" w14:textId="77777777" w:rsidR="00F3012E" w:rsidRPr="00437F01" w:rsidRDefault="00F3012E" w:rsidP="00695A7D">
            <w:pPr>
              <w:pStyle w:val="TableText"/>
              <w:spacing w:after="0"/>
            </w:pPr>
          </w:p>
        </w:tc>
        <w:tc>
          <w:tcPr>
            <w:tcW w:w="574" w:type="dxa"/>
            <w:vMerge/>
            <w:vAlign w:val="center"/>
          </w:tcPr>
          <w:p w14:paraId="3A8BFA1C" w14:textId="77777777" w:rsidR="00F3012E" w:rsidRPr="00437F01" w:rsidRDefault="00F3012E" w:rsidP="00695A7D">
            <w:pPr>
              <w:pStyle w:val="TableText"/>
              <w:spacing w:after="0"/>
              <w:jc w:val="center"/>
            </w:pPr>
          </w:p>
        </w:tc>
        <w:tc>
          <w:tcPr>
            <w:tcW w:w="5663" w:type="dxa"/>
            <w:tcBorders>
              <w:top w:val="single" w:sz="4" w:space="0" w:color="auto"/>
            </w:tcBorders>
          </w:tcPr>
          <w:p w14:paraId="2706DCBD" w14:textId="77777777" w:rsidR="00F3012E" w:rsidRPr="00437F01" w:rsidRDefault="00F3012E" w:rsidP="00695A7D">
            <w:pPr>
              <w:pStyle w:val="TableText"/>
              <w:spacing w:after="0"/>
            </w:pPr>
            <w:r w:rsidRPr="00437F01">
              <w:rPr>
                <w:i/>
              </w:rPr>
              <w:t>The average price of Share increased by the theoretical value of the subscription right calculated on the basis thereof</w:t>
            </w:r>
          </w:p>
        </w:tc>
      </w:tr>
      <w:tr w:rsidR="00F3012E" w:rsidRPr="007F470D" w14:paraId="6404203E" w14:textId="77777777" w:rsidTr="00695A7D">
        <w:trPr>
          <w:cantSplit/>
        </w:trPr>
        <w:tc>
          <w:tcPr>
            <w:tcW w:w="2126" w:type="dxa"/>
            <w:vAlign w:val="center"/>
          </w:tcPr>
          <w:p w14:paraId="6CB10C16" w14:textId="77777777" w:rsidR="00F3012E" w:rsidRPr="00437F01" w:rsidRDefault="00F3012E" w:rsidP="00695A7D">
            <w:pPr>
              <w:pStyle w:val="TableText"/>
              <w:spacing w:after="0"/>
              <w:rPr>
                <w:i/>
              </w:rPr>
            </w:pPr>
          </w:p>
        </w:tc>
        <w:tc>
          <w:tcPr>
            <w:tcW w:w="574" w:type="dxa"/>
            <w:vAlign w:val="center"/>
          </w:tcPr>
          <w:p w14:paraId="5F299636" w14:textId="77777777" w:rsidR="00F3012E" w:rsidRPr="00437F01" w:rsidRDefault="00F3012E" w:rsidP="00695A7D">
            <w:pPr>
              <w:pStyle w:val="TableText"/>
              <w:spacing w:after="0"/>
              <w:jc w:val="center"/>
            </w:pPr>
          </w:p>
        </w:tc>
        <w:tc>
          <w:tcPr>
            <w:tcW w:w="5670" w:type="dxa"/>
            <w:gridSpan w:val="2"/>
          </w:tcPr>
          <w:p w14:paraId="597476F3" w14:textId="77777777" w:rsidR="00F3012E" w:rsidRPr="00437F01" w:rsidRDefault="00F3012E" w:rsidP="00695A7D">
            <w:pPr>
              <w:pStyle w:val="TableText"/>
              <w:spacing w:after="0"/>
            </w:pPr>
          </w:p>
        </w:tc>
      </w:tr>
      <w:tr w:rsidR="00F3012E" w:rsidRPr="007F470D" w14:paraId="6E7932F6" w14:textId="77777777" w:rsidTr="00695A7D">
        <w:trPr>
          <w:cantSplit/>
        </w:trPr>
        <w:tc>
          <w:tcPr>
            <w:tcW w:w="2126" w:type="dxa"/>
            <w:vMerge w:val="restart"/>
            <w:vAlign w:val="center"/>
          </w:tcPr>
          <w:p w14:paraId="0D55CDCF" w14:textId="77777777" w:rsidR="00F3012E" w:rsidRPr="00437F01" w:rsidRDefault="00F3012E" w:rsidP="00695A7D">
            <w:pPr>
              <w:pStyle w:val="TableText"/>
              <w:spacing w:after="0"/>
            </w:pPr>
            <w:r w:rsidRPr="00437F01">
              <w:rPr>
                <w:i/>
              </w:rPr>
              <w:t>Recalculated number of Shares that each Warrant entitles to Subscribe for</w:t>
            </w:r>
          </w:p>
        </w:tc>
        <w:tc>
          <w:tcPr>
            <w:tcW w:w="574" w:type="dxa"/>
            <w:vMerge w:val="restart"/>
            <w:vAlign w:val="center"/>
          </w:tcPr>
          <w:p w14:paraId="2FC5252A" w14:textId="77777777" w:rsidR="00F3012E" w:rsidRPr="00437F01" w:rsidRDefault="00F3012E" w:rsidP="00695A7D">
            <w:pPr>
              <w:pStyle w:val="TableText"/>
              <w:spacing w:after="0"/>
              <w:jc w:val="center"/>
            </w:pPr>
            <w:r w:rsidRPr="00437F01">
              <w:t>=</w:t>
            </w:r>
          </w:p>
        </w:tc>
        <w:tc>
          <w:tcPr>
            <w:tcW w:w="5670" w:type="dxa"/>
            <w:gridSpan w:val="2"/>
            <w:tcBorders>
              <w:bottom w:val="single" w:sz="4" w:space="0" w:color="auto"/>
            </w:tcBorders>
          </w:tcPr>
          <w:p w14:paraId="392F811E" w14:textId="77777777" w:rsidR="00F3012E" w:rsidRPr="00437F01" w:rsidRDefault="00F3012E" w:rsidP="00695A7D">
            <w:pPr>
              <w:pStyle w:val="TableText"/>
              <w:spacing w:after="0"/>
            </w:pPr>
            <w:r w:rsidRPr="00437F01">
              <w:rPr>
                <w:i/>
              </w:rPr>
              <w:t>The previous number of Shares that each Warrant entitled to subscribe for x (the average price of Share increased by the theoretical value of the subscription right calculated on the basis thereof)</w:t>
            </w:r>
          </w:p>
        </w:tc>
      </w:tr>
      <w:tr w:rsidR="00F3012E" w:rsidRPr="007F470D" w14:paraId="5D0F823C" w14:textId="77777777" w:rsidTr="00695A7D">
        <w:trPr>
          <w:cantSplit/>
        </w:trPr>
        <w:tc>
          <w:tcPr>
            <w:tcW w:w="2126" w:type="dxa"/>
            <w:vMerge/>
          </w:tcPr>
          <w:p w14:paraId="3AA50A1E" w14:textId="77777777" w:rsidR="00F3012E" w:rsidRPr="00437F01" w:rsidRDefault="00F3012E" w:rsidP="00695A7D">
            <w:pPr>
              <w:pStyle w:val="TableText"/>
              <w:spacing w:after="0"/>
            </w:pPr>
          </w:p>
        </w:tc>
        <w:tc>
          <w:tcPr>
            <w:tcW w:w="574" w:type="dxa"/>
            <w:vMerge/>
          </w:tcPr>
          <w:p w14:paraId="6881F963" w14:textId="77777777" w:rsidR="00F3012E" w:rsidRPr="00437F01" w:rsidRDefault="00F3012E" w:rsidP="00695A7D">
            <w:pPr>
              <w:pStyle w:val="TableText"/>
              <w:spacing w:after="0"/>
            </w:pPr>
          </w:p>
        </w:tc>
        <w:tc>
          <w:tcPr>
            <w:tcW w:w="5670" w:type="dxa"/>
            <w:gridSpan w:val="2"/>
          </w:tcPr>
          <w:p w14:paraId="5D4938A9" w14:textId="77777777" w:rsidR="00F3012E" w:rsidRPr="00437F01" w:rsidRDefault="00F3012E" w:rsidP="00695A7D">
            <w:pPr>
              <w:pStyle w:val="TableText"/>
              <w:spacing w:after="0"/>
            </w:pPr>
            <w:r w:rsidRPr="00437F01">
              <w:rPr>
                <w:i/>
              </w:rPr>
              <w:t>The average price of Share</w:t>
            </w:r>
          </w:p>
        </w:tc>
      </w:tr>
      <w:tr w:rsidR="00F3012E" w:rsidRPr="007F470D" w14:paraId="34F991EC" w14:textId="77777777" w:rsidTr="00695A7D">
        <w:trPr>
          <w:gridAfter w:val="1"/>
          <w:wAfter w:w="7" w:type="dxa"/>
          <w:cantSplit/>
        </w:trPr>
        <w:tc>
          <w:tcPr>
            <w:tcW w:w="2126" w:type="dxa"/>
          </w:tcPr>
          <w:p w14:paraId="370425A5" w14:textId="77777777" w:rsidR="00F3012E" w:rsidRPr="00437F01" w:rsidRDefault="00F3012E" w:rsidP="00695A7D">
            <w:pPr>
              <w:pStyle w:val="TableText"/>
              <w:spacing w:after="0"/>
            </w:pPr>
          </w:p>
        </w:tc>
        <w:tc>
          <w:tcPr>
            <w:tcW w:w="574" w:type="dxa"/>
          </w:tcPr>
          <w:p w14:paraId="3524E95C" w14:textId="77777777" w:rsidR="00F3012E" w:rsidRPr="00437F01" w:rsidRDefault="00F3012E" w:rsidP="00695A7D">
            <w:pPr>
              <w:pStyle w:val="TableText"/>
              <w:spacing w:after="0"/>
            </w:pPr>
          </w:p>
        </w:tc>
        <w:tc>
          <w:tcPr>
            <w:tcW w:w="5670" w:type="dxa"/>
          </w:tcPr>
          <w:p w14:paraId="64192DA9" w14:textId="77777777" w:rsidR="00F3012E" w:rsidRPr="00437F01" w:rsidRDefault="00F3012E" w:rsidP="00695A7D">
            <w:pPr>
              <w:pStyle w:val="TableText"/>
              <w:spacing w:after="0"/>
              <w:rPr>
                <w:i/>
              </w:rPr>
            </w:pPr>
          </w:p>
        </w:tc>
      </w:tr>
    </w:tbl>
    <w:p w14:paraId="655FE94B" w14:textId="77777777" w:rsidR="00F3012E" w:rsidRPr="00437F01" w:rsidRDefault="00F3012E" w:rsidP="00F3012E">
      <w:pPr>
        <w:pStyle w:val="BodyText"/>
        <w:ind w:left="720"/>
      </w:pPr>
      <w:r w:rsidRPr="00A50800">
        <w:rPr>
          <w:lang w:val="sv-SE"/>
        </w:rPr>
        <w:t xml:space="preserve">Aktiens genomsnittskurs </w:t>
      </w:r>
      <w:r>
        <w:rPr>
          <w:lang w:val="sv-SE"/>
        </w:rPr>
        <w:t>ska</w:t>
      </w:r>
      <w:r w:rsidRPr="00A50800">
        <w:rPr>
          <w:lang w:val="sv-SE"/>
        </w:rPr>
        <w:t xml:space="preserve"> anses motsvara genomsnittet av det för varje handelsdag under teckningstiden framräknade medeltalet av den under dagen noterade högsta och lägsta betalkursen för </w:t>
      </w:r>
      <w:r>
        <w:rPr>
          <w:lang w:val="sv-SE"/>
        </w:rPr>
        <w:t>Aktie</w:t>
      </w:r>
      <w:r w:rsidRPr="00A50800">
        <w:rPr>
          <w:lang w:val="sv-SE"/>
        </w:rPr>
        <w:t xml:space="preserve">n enligt marknadsnotering. I avsaknad av notering av betalkurs </w:t>
      </w:r>
      <w:r>
        <w:rPr>
          <w:lang w:val="sv-SE"/>
        </w:rPr>
        <w:t>ska</w:t>
      </w:r>
      <w:r w:rsidRPr="00A50800">
        <w:rPr>
          <w:lang w:val="sv-SE"/>
        </w:rPr>
        <w:t xml:space="preserve"> i stället den som slutkurs noterade köpkursen ingå i beräkningen. Dag utan notering av vare sig betalkurs eller köpkurs </w:t>
      </w:r>
      <w:r>
        <w:rPr>
          <w:lang w:val="sv-SE"/>
        </w:rPr>
        <w:t>ska</w:t>
      </w:r>
      <w:r w:rsidRPr="00A50800">
        <w:rPr>
          <w:lang w:val="sv-SE"/>
        </w:rPr>
        <w:t xml:space="preserve"> inte ingå i beräkningen.</w:t>
      </w:r>
      <w:r w:rsidRPr="00A50800">
        <w:rPr>
          <w:lang w:val="sv-SE"/>
        </w:rPr>
        <w:br/>
      </w:r>
      <w:r w:rsidRPr="00437F01">
        <w:rPr>
          <w:i/>
        </w:rPr>
        <w:t xml:space="preserve">The average price of a Share shall be deemed to correspond to the average for each trading day during the </w:t>
      </w:r>
      <w:r>
        <w:rPr>
          <w:i/>
        </w:rPr>
        <w:t>s</w:t>
      </w:r>
      <w:r w:rsidRPr="00437F01">
        <w:rPr>
          <w:i/>
        </w:rPr>
        <w:t xml:space="preserve">ubscription </w:t>
      </w:r>
      <w:r>
        <w:rPr>
          <w:i/>
        </w:rPr>
        <w:t>p</w:t>
      </w:r>
      <w:r w:rsidRPr="00437F01">
        <w:rPr>
          <w:i/>
        </w:rPr>
        <w:t xml:space="preserve">eriod of the calculated mean value of the highest and lowest </w:t>
      </w:r>
      <w:r w:rsidRPr="00437F01">
        <w:rPr>
          <w:i/>
        </w:rPr>
        <w:lastRenderedPageBreak/>
        <w:t>price paid for the Share according to market quotation. In the absence of a quoted paid price, the bid price which is quoted as the closing price shall form the basis for the calculation. Days when no paid price or bid price is quoted, shall be excluded from the calculation.</w:t>
      </w:r>
    </w:p>
    <w:p w14:paraId="2B85C4EE" w14:textId="77777777" w:rsidR="00F3012E" w:rsidRPr="00437F01" w:rsidRDefault="00F3012E" w:rsidP="00F3012E">
      <w:pPr>
        <w:pStyle w:val="BodyText"/>
        <w:ind w:left="720"/>
      </w:pPr>
      <w:r w:rsidRPr="006B6AC0">
        <w:rPr>
          <w:lang w:val="en-US"/>
        </w:rPr>
        <w:t xml:space="preserve">Det </w:t>
      </w:r>
      <w:proofErr w:type="spellStart"/>
      <w:r w:rsidRPr="006B6AC0">
        <w:rPr>
          <w:lang w:val="en-US"/>
        </w:rPr>
        <w:t>teoretiska</w:t>
      </w:r>
      <w:proofErr w:type="spellEnd"/>
      <w:r w:rsidRPr="006B6AC0">
        <w:rPr>
          <w:lang w:val="en-US"/>
        </w:rPr>
        <w:t xml:space="preserve"> </w:t>
      </w:r>
      <w:proofErr w:type="spellStart"/>
      <w:r w:rsidRPr="006B6AC0">
        <w:rPr>
          <w:lang w:val="en-US"/>
        </w:rPr>
        <w:t>värdet</w:t>
      </w:r>
      <w:proofErr w:type="spellEnd"/>
      <w:r w:rsidRPr="006B6AC0">
        <w:rPr>
          <w:lang w:val="en-US"/>
        </w:rPr>
        <w:t xml:space="preserve"> </w:t>
      </w:r>
      <w:proofErr w:type="spellStart"/>
      <w:r w:rsidRPr="006B6AC0">
        <w:rPr>
          <w:lang w:val="en-US"/>
        </w:rPr>
        <w:t>på</w:t>
      </w:r>
      <w:proofErr w:type="spellEnd"/>
      <w:r w:rsidRPr="006B6AC0">
        <w:rPr>
          <w:lang w:val="en-US"/>
        </w:rPr>
        <w:t xml:space="preserve"> </w:t>
      </w:r>
      <w:proofErr w:type="spellStart"/>
      <w:r w:rsidRPr="006B6AC0">
        <w:rPr>
          <w:lang w:val="en-US"/>
        </w:rPr>
        <w:t>teckningsrätten</w:t>
      </w:r>
      <w:proofErr w:type="spellEnd"/>
      <w:r w:rsidRPr="006B6AC0">
        <w:rPr>
          <w:lang w:val="en-US"/>
        </w:rPr>
        <w:t xml:space="preserve"> </w:t>
      </w:r>
      <w:proofErr w:type="spellStart"/>
      <w:r w:rsidRPr="006B6AC0">
        <w:rPr>
          <w:lang w:val="en-US"/>
        </w:rPr>
        <w:t>framräknas</w:t>
      </w:r>
      <w:proofErr w:type="spellEnd"/>
      <w:r w:rsidRPr="006B6AC0">
        <w:rPr>
          <w:lang w:val="en-US"/>
        </w:rPr>
        <w:t xml:space="preserve"> </w:t>
      </w:r>
      <w:proofErr w:type="spellStart"/>
      <w:r w:rsidRPr="006B6AC0">
        <w:rPr>
          <w:lang w:val="en-US"/>
        </w:rPr>
        <w:t>enligt</w:t>
      </w:r>
      <w:proofErr w:type="spellEnd"/>
      <w:r w:rsidRPr="006B6AC0">
        <w:rPr>
          <w:lang w:val="en-US"/>
        </w:rPr>
        <w:t xml:space="preserve"> </w:t>
      </w:r>
      <w:proofErr w:type="spellStart"/>
      <w:r w:rsidRPr="006B6AC0">
        <w:rPr>
          <w:lang w:val="en-US"/>
        </w:rPr>
        <w:t>följande</w:t>
      </w:r>
      <w:proofErr w:type="spellEnd"/>
      <w:r w:rsidRPr="006B6AC0">
        <w:rPr>
          <w:lang w:val="en-US"/>
        </w:rPr>
        <w:t xml:space="preserve"> </w:t>
      </w:r>
      <w:proofErr w:type="spellStart"/>
      <w:r w:rsidRPr="006B6AC0">
        <w:rPr>
          <w:lang w:val="en-US"/>
        </w:rPr>
        <w:t>formel</w:t>
      </w:r>
      <w:proofErr w:type="spellEnd"/>
      <w:r w:rsidRPr="006B6AC0">
        <w:rPr>
          <w:lang w:val="en-US"/>
        </w:rPr>
        <w:t>:</w:t>
      </w:r>
      <w:r w:rsidRPr="00437F01">
        <w:br/>
      </w:r>
      <w:r w:rsidRPr="00437F01">
        <w:rPr>
          <w:i/>
        </w:rPr>
        <w:t>The theoretical value of the subscription right shall be calculated according to the following formula:</w:t>
      </w:r>
    </w:p>
    <w:tbl>
      <w:tblPr>
        <w:tblW w:w="0" w:type="auto"/>
        <w:tblInd w:w="630" w:type="dxa"/>
        <w:tblBorders>
          <w:top w:val="nil"/>
          <w:left w:val="nil"/>
          <w:bottom w:val="nil"/>
          <w:right w:val="nil"/>
          <w:insideH w:val="nil"/>
          <w:insideV w:val="nil"/>
        </w:tblBorders>
        <w:tblLook w:val="04A0" w:firstRow="1" w:lastRow="0" w:firstColumn="1" w:lastColumn="0" w:noHBand="0" w:noVBand="1"/>
      </w:tblPr>
      <w:tblGrid>
        <w:gridCol w:w="2126"/>
        <w:gridCol w:w="567"/>
        <w:gridCol w:w="5677"/>
      </w:tblGrid>
      <w:tr w:rsidR="00F3012E" w:rsidRPr="00D00630" w14:paraId="2312FC34" w14:textId="77777777" w:rsidTr="00695A7D">
        <w:trPr>
          <w:cantSplit/>
        </w:trPr>
        <w:tc>
          <w:tcPr>
            <w:tcW w:w="2126" w:type="dxa"/>
            <w:vMerge w:val="restart"/>
            <w:vAlign w:val="center"/>
          </w:tcPr>
          <w:p w14:paraId="45E09A67" w14:textId="77777777" w:rsidR="00F3012E" w:rsidRPr="00437F01" w:rsidRDefault="00F3012E" w:rsidP="00695A7D">
            <w:pPr>
              <w:pStyle w:val="TableText"/>
              <w:spacing w:after="0"/>
            </w:pPr>
            <w:proofErr w:type="spellStart"/>
            <w:r w:rsidRPr="00437F01">
              <w:t>Teckningsrättens</w:t>
            </w:r>
            <w:proofErr w:type="spellEnd"/>
            <w:r w:rsidRPr="00437F01">
              <w:t xml:space="preserve"> </w:t>
            </w:r>
            <w:proofErr w:type="spellStart"/>
            <w:r w:rsidRPr="00437F01">
              <w:t>värde</w:t>
            </w:r>
            <w:proofErr w:type="spellEnd"/>
          </w:p>
        </w:tc>
        <w:tc>
          <w:tcPr>
            <w:tcW w:w="567" w:type="dxa"/>
            <w:vMerge w:val="restart"/>
            <w:vAlign w:val="center"/>
          </w:tcPr>
          <w:p w14:paraId="5490473F" w14:textId="77777777" w:rsidR="00F3012E" w:rsidRPr="00437F01" w:rsidRDefault="00F3012E" w:rsidP="00695A7D">
            <w:pPr>
              <w:pStyle w:val="TableText"/>
              <w:spacing w:after="0"/>
            </w:pPr>
            <w:r w:rsidRPr="00437F01">
              <w:t>=</w:t>
            </w:r>
          </w:p>
        </w:tc>
        <w:tc>
          <w:tcPr>
            <w:tcW w:w="5677" w:type="dxa"/>
            <w:tcBorders>
              <w:bottom w:val="single" w:sz="4" w:space="0" w:color="auto"/>
            </w:tcBorders>
          </w:tcPr>
          <w:p w14:paraId="3E0A0FF5" w14:textId="77777777" w:rsidR="00F3012E" w:rsidRPr="00A50800" w:rsidRDefault="00F3012E" w:rsidP="00695A7D">
            <w:pPr>
              <w:pStyle w:val="TableText"/>
              <w:spacing w:after="0"/>
              <w:rPr>
                <w:lang w:val="sv-SE"/>
              </w:rPr>
            </w:pPr>
            <w:r w:rsidRPr="00A50800">
              <w:rPr>
                <w:lang w:val="sv-SE"/>
              </w:rPr>
              <w:t xml:space="preserve">Det </w:t>
            </w:r>
            <w:r w:rsidRPr="00463194">
              <w:rPr>
                <w:lang w:val="sv-SE"/>
              </w:rPr>
              <w:t>antal</w:t>
            </w:r>
            <w:r w:rsidRPr="00A50800">
              <w:rPr>
                <w:lang w:val="sv-SE"/>
              </w:rPr>
              <w:t xml:space="preserve"> nya Aktier som högst kan komma att utges enligt </w:t>
            </w:r>
            <w:proofErr w:type="spellStart"/>
            <w:r w:rsidRPr="00A50800">
              <w:rPr>
                <w:lang w:val="sv-SE"/>
              </w:rPr>
              <w:t>emissionsbeslutet</w:t>
            </w:r>
            <w:proofErr w:type="spellEnd"/>
            <w:r w:rsidRPr="00A50800">
              <w:rPr>
                <w:lang w:val="sv-SE"/>
              </w:rPr>
              <w:t xml:space="preserve"> </w:t>
            </w:r>
            <w:r w:rsidRPr="00A50800">
              <w:rPr>
                <w:i/>
                <w:lang w:val="sv-SE"/>
              </w:rPr>
              <w:t>x</w:t>
            </w:r>
            <w:r w:rsidRPr="00A50800">
              <w:rPr>
                <w:lang w:val="sv-SE"/>
              </w:rPr>
              <w:t xml:space="preserve"> (</w:t>
            </w:r>
            <w:r>
              <w:rPr>
                <w:lang w:val="sv-SE"/>
              </w:rPr>
              <w:t>Aktie</w:t>
            </w:r>
            <w:r w:rsidRPr="00A50800">
              <w:rPr>
                <w:lang w:val="sv-SE"/>
              </w:rPr>
              <w:t>ns genomsnittskurs minus teckningskursen för den nya Aktien)</w:t>
            </w:r>
          </w:p>
        </w:tc>
      </w:tr>
      <w:tr w:rsidR="00F3012E" w:rsidRPr="00437F01" w14:paraId="6C508A67" w14:textId="77777777" w:rsidTr="00695A7D">
        <w:trPr>
          <w:cantSplit/>
        </w:trPr>
        <w:tc>
          <w:tcPr>
            <w:tcW w:w="2126" w:type="dxa"/>
            <w:vMerge/>
          </w:tcPr>
          <w:p w14:paraId="2A621455" w14:textId="77777777" w:rsidR="00F3012E" w:rsidRPr="00A50800" w:rsidRDefault="00F3012E" w:rsidP="00695A7D">
            <w:pPr>
              <w:pStyle w:val="TableText"/>
              <w:spacing w:after="0"/>
              <w:rPr>
                <w:lang w:val="sv-SE"/>
              </w:rPr>
            </w:pPr>
          </w:p>
        </w:tc>
        <w:tc>
          <w:tcPr>
            <w:tcW w:w="567" w:type="dxa"/>
            <w:vMerge/>
          </w:tcPr>
          <w:p w14:paraId="0FB2D8A0" w14:textId="77777777" w:rsidR="00F3012E" w:rsidRPr="00A50800" w:rsidRDefault="00F3012E" w:rsidP="00695A7D">
            <w:pPr>
              <w:pStyle w:val="TableText"/>
              <w:spacing w:after="0"/>
              <w:rPr>
                <w:lang w:val="sv-SE"/>
              </w:rPr>
            </w:pPr>
          </w:p>
        </w:tc>
        <w:tc>
          <w:tcPr>
            <w:tcW w:w="5677" w:type="dxa"/>
            <w:tcBorders>
              <w:top w:val="single" w:sz="4" w:space="0" w:color="auto"/>
            </w:tcBorders>
          </w:tcPr>
          <w:p w14:paraId="5B2D1A23" w14:textId="77777777" w:rsidR="00F3012E" w:rsidRPr="00437F01" w:rsidRDefault="00F3012E" w:rsidP="00695A7D">
            <w:pPr>
              <w:pStyle w:val="TableText"/>
              <w:spacing w:after="0"/>
            </w:pPr>
            <w:proofErr w:type="spellStart"/>
            <w:r w:rsidRPr="00437F01">
              <w:t>Antalet</w:t>
            </w:r>
            <w:proofErr w:type="spellEnd"/>
            <w:r w:rsidRPr="00437F01">
              <w:t xml:space="preserve"> </w:t>
            </w:r>
            <w:proofErr w:type="spellStart"/>
            <w:r w:rsidRPr="00437F01">
              <w:t>Aktier</w:t>
            </w:r>
            <w:proofErr w:type="spellEnd"/>
            <w:r w:rsidRPr="00437F01">
              <w:t xml:space="preserve"> </w:t>
            </w:r>
            <w:proofErr w:type="spellStart"/>
            <w:r w:rsidRPr="00437F01">
              <w:t>före</w:t>
            </w:r>
            <w:proofErr w:type="spellEnd"/>
            <w:r w:rsidRPr="00437F01">
              <w:t xml:space="preserve"> </w:t>
            </w:r>
            <w:proofErr w:type="spellStart"/>
            <w:r w:rsidRPr="00437F01">
              <w:t>emissionsbeslutet</w:t>
            </w:r>
            <w:proofErr w:type="spellEnd"/>
          </w:p>
        </w:tc>
      </w:tr>
      <w:tr w:rsidR="00F3012E" w:rsidRPr="007F470D" w14:paraId="5152DFE4" w14:textId="77777777" w:rsidTr="00695A7D">
        <w:trPr>
          <w:cantSplit/>
        </w:trPr>
        <w:tc>
          <w:tcPr>
            <w:tcW w:w="2126" w:type="dxa"/>
            <w:vMerge w:val="restart"/>
            <w:vAlign w:val="center"/>
          </w:tcPr>
          <w:p w14:paraId="68DA7B84" w14:textId="77777777" w:rsidR="00F3012E" w:rsidRPr="00437F01" w:rsidRDefault="00F3012E" w:rsidP="00695A7D">
            <w:pPr>
              <w:pStyle w:val="TableText"/>
              <w:spacing w:after="0"/>
            </w:pPr>
            <w:r w:rsidRPr="00437F01">
              <w:rPr>
                <w:i/>
              </w:rPr>
              <w:t>The value of a subscription right</w:t>
            </w:r>
          </w:p>
        </w:tc>
        <w:tc>
          <w:tcPr>
            <w:tcW w:w="567" w:type="dxa"/>
            <w:vMerge w:val="restart"/>
            <w:vAlign w:val="center"/>
          </w:tcPr>
          <w:p w14:paraId="20C15896" w14:textId="77777777" w:rsidR="00F3012E" w:rsidRPr="00437F01" w:rsidRDefault="00F3012E" w:rsidP="00695A7D">
            <w:pPr>
              <w:pStyle w:val="TableText"/>
              <w:spacing w:after="0"/>
            </w:pPr>
            <w:r w:rsidRPr="00437F01">
              <w:t>=</w:t>
            </w:r>
          </w:p>
        </w:tc>
        <w:tc>
          <w:tcPr>
            <w:tcW w:w="5677" w:type="dxa"/>
            <w:tcBorders>
              <w:bottom w:val="single" w:sz="4" w:space="0" w:color="auto"/>
            </w:tcBorders>
          </w:tcPr>
          <w:p w14:paraId="34703FF8" w14:textId="77777777" w:rsidR="00F3012E" w:rsidRPr="00437F01" w:rsidRDefault="00F3012E" w:rsidP="00695A7D">
            <w:pPr>
              <w:pStyle w:val="TableText"/>
              <w:spacing w:after="0"/>
              <w:rPr>
                <w:i/>
              </w:rPr>
            </w:pPr>
            <w:r w:rsidRPr="00437F01">
              <w:rPr>
                <w:i/>
              </w:rPr>
              <w:t xml:space="preserve">The </w:t>
            </w:r>
            <w:r w:rsidRPr="006B6AC0">
              <w:t>maximum</w:t>
            </w:r>
            <w:r w:rsidRPr="00437F01">
              <w:rPr>
                <w:i/>
              </w:rPr>
              <w:t xml:space="preserve"> number of new Shares which may be issued pursuant to the issue resolution x (the average price of share minus the Subscription Price for the new Share)</w:t>
            </w:r>
          </w:p>
        </w:tc>
      </w:tr>
      <w:tr w:rsidR="00F3012E" w:rsidRPr="007F470D" w14:paraId="2E40CC01" w14:textId="77777777" w:rsidTr="00695A7D">
        <w:trPr>
          <w:cantSplit/>
        </w:trPr>
        <w:tc>
          <w:tcPr>
            <w:tcW w:w="2126" w:type="dxa"/>
            <w:vMerge/>
          </w:tcPr>
          <w:p w14:paraId="7363FCA6" w14:textId="77777777" w:rsidR="00F3012E" w:rsidRPr="00437F01" w:rsidRDefault="00F3012E" w:rsidP="00695A7D">
            <w:pPr>
              <w:pStyle w:val="TableText"/>
              <w:spacing w:after="0"/>
            </w:pPr>
          </w:p>
        </w:tc>
        <w:tc>
          <w:tcPr>
            <w:tcW w:w="567" w:type="dxa"/>
            <w:vMerge/>
          </w:tcPr>
          <w:p w14:paraId="5DE06FCD" w14:textId="77777777" w:rsidR="00F3012E" w:rsidRPr="00437F01" w:rsidRDefault="00F3012E" w:rsidP="00695A7D">
            <w:pPr>
              <w:pStyle w:val="TableText"/>
              <w:spacing w:after="0"/>
            </w:pPr>
          </w:p>
        </w:tc>
        <w:tc>
          <w:tcPr>
            <w:tcW w:w="5677" w:type="dxa"/>
            <w:tcBorders>
              <w:top w:val="single" w:sz="4" w:space="0" w:color="auto"/>
              <w:bottom w:val="nil"/>
            </w:tcBorders>
          </w:tcPr>
          <w:p w14:paraId="062E0349" w14:textId="77777777" w:rsidR="00F3012E" w:rsidRPr="00437F01" w:rsidRDefault="00F3012E" w:rsidP="00695A7D">
            <w:pPr>
              <w:pStyle w:val="TableText"/>
              <w:spacing w:after="0"/>
            </w:pPr>
            <w:r w:rsidRPr="006B6AC0">
              <w:rPr>
                <w:i/>
                <w:iCs/>
              </w:rPr>
              <w:t>The number of Shares prior to the issue resolution</w:t>
            </w:r>
          </w:p>
        </w:tc>
      </w:tr>
      <w:tr w:rsidR="00F3012E" w:rsidRPr="007F470D" w14:paraId="16688AA5" w14:textId="77777777" w:rsidTr="00695A7D">
        <w:trPr>
          <w:cantSplit/>
        </w:trPr>
        <w:tc>
          <w:tcPr>
            <w:tcW w:w="2126" w:type="dxa"/>
          </w:tcPr>
          <w:p w14:paraId="06DF1CF5" w14:textId="77777777" w:rsidR="00F3012E" w:rsidRPr="00437F01" w:rsidRDefault="00F3012E" w:rsidP="00695A7D">
            <w:pPr>
              <w:pStyle w:val="TableText"/>
              <w:spacing w:after="0"/>
            </w:pPr>
          </w:p>
        </w:tc>
        <w:tc>
          <w:tcPr>
            <w:tcW w:w="567" w:type="dxa"/>
            <w:tcBorders>
              <w:right w:val="nil"/>
            </w:tcBorders>
          </w:tcPr>
          <w:p w14:paraId="38668745" w14:textId="77777777" w:rsidR="00F3012E" w:rsidRPr="00437F01" w:rsidRDefault="00F3012E" w:rsidP="00695A7D">
            <w:pPr>
              <w:pStyle w:val="TableText"/>
              <w:spacing w:after="0"/>
            </w:pPr>
          </w:p>
        </w:tc>
        <w:tc>
          <w:tcPr>
            <w:tcW w:w="5677" w:type="dxa"/>
            <w:tcBorders>
              <w:top w:val="nil"/>
              <w:left w:val="nil"/>
              <w:bottom w:val="nil"/>
              <w:right w:val="nil"/>
            </w:tcBorders>
          </w:tcPr>
          <w:p w14:paraId="5060389C" w14:textId="77777777" w:rsidR="00F3012E" w:rsidRPr="002A1EA0" w:rsidRDefault="00F3012E" w:rsidP="00695A7D">
            <w:pPr>
              <w:pStyle w:val="TableText"/>
              <w:spacing w:after="120"/>
              <w:rPr>
                <w:i/>
                <w:iCs/>
              </w:rPr>
            </w:pPr>
          </w:p>
        </w:tc>
      </w:tr>
    </w:tbl>
    <w:p w14:paraId="439BAAD7" w14:textId="77777777" w:rsidR="00F3012E" w:rsidRPr="00437F01" w:rsidRDefault="00F3012E" w:rsidP="00F3012E">
      <w:pPr>
        <w:pStyle w:val="BodyText"/>
        <w:ind w:left="720"/>
      </w:pPr>
      <w:r w:rsidRPr="00A50800">
        <w:rPr>
          <w:lang w:val="sv-SE"/>
        </w:rPr>
        <w:t xml:space="preserve">Vid omräkning enligt ovanstående formel </w:t>
      </w:r>
      <w:r>
        <w:rPr>
          <w:lang w:val="sv-SE"/>
        </w:rPr>
        <w:t>ska</w:t>
      </w:r>
      <w:r w:rsidRPr="00A50800">
        <w:rPr>
          <w:lang w:val="sv-SE"/>
        </w:rPr>
        <w:t xml:space="preserve"> bortses från Aktier som innehas av Bolaget. Uppstår ett negativt värde, </w:t>
      </w:r>
      <w:r>
        <w:rPr>
          <w:lang w:val="sv-SE"/>
        </w:rPr>
        <w:t>ska</w:t>
      </w:r>
      <w:r w:rsidRPr="00A50800">
        <w:rPr>
          <w:lang w:val="sv-SE"/>
        </w:rPr>
        <w:t xml:space="preserve"> det teoretiska värdet på teckningsrätten bestämmas till noll.</w:t>
      </w:r>
      <w:r w:rsidRPr="00A50800">
        <w:rPr>
          <w:lang w:val="sv-SE"/>
        </w:rPr>
        <w:br/>
      </w:r>
      <w:r w:rsidRPr="00437F01">
        <w:rPr>
          <w:i/>
        </w:rPr>
        <w:t>When recalculating in accordance with the above formula, any Shares held by the Company shall be disregarded. If a negative value arises, the theoretical value of the subscription right shall be determined to be zero.</w:t>
      </w:r>
    </w:p>
    <w:p w14:paraId="45F5DE36" w14:textId="77777777" w:rsidR="00F3012E" w:rsidRPr="00437F01" w:rsidRDefault="00F3012E" w:rsidP="00F3012E">
      <w:pPr>
        <w:pStyle w:val="BodyText"/>
        <w:ind w:left="720"/>
      </w:pPr>
      <w:r w:rsidRPr="00A50800">
        <w:rPr>
          <w:lang w:val="sv-SE"/>
        </w:rPr>
        <w:t xml:space="preserve">Enligt ovan omräknad Teckningskurs och omräknat antal Aktier </w:t>
      </w:r>
      <w:r>
        <w:rPr>
          <w:lang w:val="sv-SE"/>
        </w:rPr>
        <w:t>ska</w:t>
      </w:r>
      <w:r w:rsidRPr="00A50800">
        <w:rPr>
          <w:lang w:val="sv-SE"/>
        </w:rPr>
        <w:t xml:space="preserve"> fastställas av Bolaget två Bankdagar efter </w:t>
      </w:r>
      <w:r>
        <w:rPr>
          <w:lang w:val="sv-SE"/>
        </w:rPr>
        <w:t>t</w:t>
      </w:r>
      <w:r w:rsidRPr="00A50800">
        <w:rPr>
          <w:lang w:val="sv-SE"/>
        </w:rPr>
        <w:t xml:space="preserve">eckningstidens utgång och </w:t>
      </w:r>
      <w:r>
        <w:rPr>
          <w:lang w:val="sv-SE"/>
        </w:rPr>
        <w:t>ska</w:t>
      </w:r>
      <w:r w:rsidRPr="00A50800">
        <w:rPr>
          <w:lang w:val="sv-SE"/>
        </w:rPr>
        <w:t xml:space="preserve"> tillämpas vid Teckning, som verkställs därefter.</w:t>
      </w:r>
      <w:r w:rsidRPr="00A50800">
        <w:rPr>
          <w:lang w:val="sv-SE"/>
        </w:rPr>
        <w:br/>
      </w:r>
      <w:r w:rsidRPr="00437F01">
        <w:rPr>
          <w:i/>
        </w:rPr>
        <w:t xml:space="preserve">The recalculated Subscription Price and the recalculated number of Shares </w:t>
      </w:r>
      <w:proofErr w:type="gramStart"/>
      <w:r w:rsidRPr="00437F01">
        <w:rPr>
          <w:i/>
        </w:rPr>
        <w:t>as set</w:t>
      </w:r>
      <w:proofErr w:type="gramEnd"/>
      <w:r w:rsidRPr="00437F01">
        <w:rPr>
          <w:i/>
        </w:rPr>
        <w:t xml:space="preserve"> forth above shall be determined by the Company two Business days after the expiration of the </w:t>
      </w:r>
      <w:r>
        <w:rPr>
          <w:i/>
        </w:rPr>
        <w:t>s</w:t>
      </w:r>
      <w:r w:rsidRPr="00437F01">
        <w:rPr>
          <w:i/>
        </w:rPr>
        <w:t xml:space="preserve">ubscription </w:t>
      </w:r>
      <w:proofErr w:type="gramStart"/>
      <w:r>
        <w:rPr>
          <w:i/>
        </w:rPr>
        <w:t>p</w:t>
      </w:r>
      <w:r w:rsidRPr="00437F01">
        <w:rPr>
          <w:i/>
        </w:rPr>
        <w:t>eriod and</w:t>
      </w:r>
      <w:proofErr w:type="gramEnd"/>
      <w:r w:rsidRPr="00437F01">
        <w:rPr>
          <w:i/>
        </w:rPr>
        <w:t xml:space="preserve"> shall apply to Subscriptions executed thereafter.</w:t>
      </w:r>
    </w:p>
    <w:p w14:paraId="045A8ADF" w14:textId="77777777" w:rsidR="00F3012E" w:rsidRPr="00437F01" w:rsidRDefault="00F3012E" w:rsidP="00F3012E">
      <w:pPr>
        <w:pStyle w:val="BodyText"/>
        <w:ind w:left="720"/>
      </w:pPr>
      <w:r w:rsidRPr="002645AA">
        <w:rPr>
          <w:lang w:val="sv-SE"/>
        </w:rPr>
        <w:t xml:space="preserve">Under tiden till dess att omräknad Teckningskurs och omräknat antal Aktier som varje Teckningsoption berättigar till Teckning av fastställts, verkställs Teckning endast preliminärt, varvid det antal Aktier, som varje Teckningsoption före omräkning berättigar till Teckning av, upptas interimistiskt på avstämningskonto. Dessutom noteras särskilt att varje Teckningsoption efter omräkningar kan berättiga till ytterligare Aktier. </w:t>
      </w:r>
      <w:proofErr w:type="spellStart"/>
      <w:r w:rsidRPr="006B6AC0">
        <w:rPr>
          <w:lang w:val="en-US"/>
        </w:rPr>
        <w:t>Slutlig</w:t>
      </w:r>
      <w:proofErr w:type="spellEnd"/>
      <w:r w:rsidRPr="006B6AC0">
        <w:rPr>
          <w:lang w:val="en-US"/>
        </w:rPr>
        <w:t xml:space="preserve"> </w:t>
      </w:r>
      <w:proofErr w:type="spellStart"/>
      <w:r w:rsidRPr="006B6AC0">
        <w:rPr>
          <w:lang w:val="en-US"/>
        </w:rPr>
        <w:t>registrering</w:t>
      </w:r>
      <w:proofErr w:type="spellEnd"/>
      <w:r w:rsidRPr="006B6AC0">
        <w:rPr>
          <w:lang w:val="en-US"/>
        </w:rPr>
        <w:t xml:space="preserve"> </w:t>
      </w:r>
      <w:proofErr w:type="spellStart"/>
      <w:r w:rsidRPr="006B6AC0">
        <w:rPr>
          <w:lang w:val="en-US"/>
        </w:rPr>
        <w:t>på</w:t>
      </w:r>
      <w:proofErr w:type="spellEnd"/>
      <w:r w:rsidRPr="006B6AC0">
        <w:rPr>
          <w:lang w:val="en-US"/>
        </w:rPr>
        <w:t xml:space="preserve"> </w:t>
      </w:r>
      <w:proofErr w:type="spellStart"/>
      <w:r w:rsidRPr="006B6AC0">
        <w:rPr>
          <w:lang w:val="en-US"/>
        </w:rPr>
        <w:t>avstämningskontot</w:t>
      </w:r>
      <w:proofErr w:type="spellEnd"/>
      <w:r w:rsidRPr="006B6AC0">
        <w:rPr>
          <w:lang w:val="en-US"/>
        </w:rPr>
        <w:t xml:space="preserve"> </w:t>
      </w:r>
      <w:proofErr w:type="spellStart"/>
      <w:r w:rsidRPr="006B6AC0">
        <w:rPr>
          <w:lang w:val="en-US"/>
        </w:rPr>
        <w:t>sker</w:t>
      </w:r>
      <w:proofErr w:type="spellEnd"/>
      <w:r w:rsidRPr="006B6AC0">
        <w:rPr>
          <w:lang w:val="en-US"/>
        </w:rPr>
        <w:t xml:space="preserve"> sedan </w:t>
      </w:r>
      <w:proofErr w:type="spellStart"/>
      <w:r w:rsidRPr="006B6AC0">
        <w:rPr>
          <w:lang w:val="en-US"/>
        </w:rPr>
        <w:t>omräkningarna</w:t>
      </w:r>
      <w:proofErr w:type="spellEnd"/>
      <w:r w:rsidRPr="006B6AC0">
        <w:rPr>
          <w:lang w:val="en-US"/>
        </w:rPr>
        <w:t xml:space="preserve"> </w:t>
      </w:r>
      <w:proofErr w:type="spellStart"/>
      <w:r w:rsidRPr="006B6AC0">
        <w:rPr>
          <w:lang w:val="en-US"/>
        </w:rPr>
        <w:t>fastställts</w:t>
      </w:r>
      <w:proofErr w:type="spellEnd"/>
      <w:r w:rsidRPr="006B6AC0">
        <w:rPr>
          <w:lang w:val="en-US"/>
        </w:rPr>
        <w:t>.</w:t>
      </w:r>
      <w:r w:rsidRPr="00437F01">
        <w:br/>
      </w:r>
      <w:r w:rsidRPr="00437F01">
        <w:rPr>
          <w:i/>
        </w:rPr>
        <w:t xml:space="preserve">During the period until the recalculated Subscription Price and recalculated number of Shares that each Warrant entitles to subscribe for are determined, Subscription shall only be executed on a preliminary basis, whereupon the full number of Shares according to the not yet recalculated number of Shares will be registered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on an interim basis. In addition, a special note shall be recorded to the effect that the Warrant may entitle the </w:t>
      </w:r>
      <w:r>
        <w:rPr>
          <w:i/>
        </w:rPr>
        <w:t xml:space="preserve">Warrant </w:t>
      </w:r>
      <w:r w:rsidRPr="00437F01">
        <w:rPr>
          <w:i/>
        </w:rPr>
        <w:t xml:space="preserve">Holder to additional shares pursuant to the recalculated number of Shares. Final registration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shall be </w:t>
      </w:r>
      <w:proofErr w:type="gramStart"/>
      <w:r w:rsidRPr="00437F01">
        <w:rPr>
          <w:i/>
        </w:rPr>
        <w:t>effected</w:t>
      </w:r>
      <w:proofErr w:type="gramEnd"/>
      <w:r w:rsidRPr="00437F01">
        <w:rPr>
          <w:i/>
        </w:rPr>
        <w:t xml:space="preserve"> following the determination of the recalculations.</w:t>
      </w:r>
    </w:p>
    <w:p w14:paraId="208E4AE8" w14:textId="77777777" w:rsidR="00F3012E" w:rsidRPr="00437F01" w:rsidRDefault="00F3012E" w:rsidP="006350FE">
      <w:pPr>
        <w:pStyle w:val="BodyText"/>
        <w:numPr>
          <w:ilvl w:val="2"/>
          <w:numId w:val="56"/>
        </w:numPr>
        <w:spacing w:after="0"/>
        <w:rPr>
          <w:b/>
        </w:rPr>
      </w:pPr>
      <w:bookmarkStart w:id="46" w:name="_Ref445997868"/>
      <w:proofErr w:type="spellStart"/>
      <w:r w:rsidRPr="006B6AC0">
        <w:rPr>
          <w:b/>
          <w:lang w:val="en-US"/>
        </w:rPr>
        <w:t>Nyemission</w:t>
      </w:r>
      <w:proofErr w:type="spellEnd"/>
      <w:r w:rsidRPr="006B6AC0">
        <w:rPr>
          <w:b/>
          <w:lang w:val="en-US"/>
        </w:rPr>
        <w:t xml:space="preserve"> av </w:t>
      </w:r>
      <w:proofErr w:type="spellStart"/>
      <w:r w:rsidRPr="006B6AC0">
        <w:rPr>
          <w:b/>
          <w:lang w:val="en-US"/>
        </w:rPr>
        <w:t>teckningsoptioner</w:t>
      </w:r>
      <w:proofErr w:type="spellEnd"/>
      <w:r w:rsidRPr="006B6AC0">
        <w:rPr>
          <w:b/>
          <w:lang w:val="en-US"/>
        </w:rPr>
        <w:t xml:space="preserve"> </w:t>
      </w:r>
      <w:proofErr w:type="spellStart"/>
      <w:r w:rsidRPr="006B6AC0">
        <w:rPr>
          <w:b/>
          <w:lang w:val="en-US"/>
        </w:rPr>
        <w:t>eller</w:t>
      </w:r>
      <w:proofErr w:type="spellEnd"/>
      <w:r w:rsidRPr="006B6AC0">
        <w:rPr>
          <w:b/>
          <w:lang w:val="en-US"/>
        </w:rPr>
        <w:t xml:space="preserve"> </w:t>
      </w:r>
      <w:proofErr w:type="spellStart"/>
      <w:r w:rsidRPr="006B6AC0">
        <w:rPr>
          <w:b/>
          <w:lang w:val="en-US"/>
        </w:rPr>
        <w:t>konvertibler</w:t>
      </w:r>
      <w:proofErr w:type="spellEnd"/>
      <w:r w:rsidRPr="006B6AC0">
        <w:rPr>
          <w:b/>
          <w:lang w:val="en-US"/>
        </w:rPr>
        <w:t xml:space="preserve"> med </w:t>
      </w:r>
      <w:proofErr w:type="spellStart"/>
      <w:r w:rsidRPr="006B6AC0">
        <w:rPr>
          <w:b/>
          <w:lang w:val="en-US"/>
        </w:rPr>
        <w:t>företrädesrätt</w:t>
      </w:r>
      <w:proofErr w:type="spellEnd"/>
      <w:r w:rsidRPr="00437F01">
        <w:rPr>
          <w:b/>
        </w:rPr>
        <w:t>/</w:t>
      </w:r>
      <w:r w:rsidRPr="00437F01">
        <w:rPr>
          <w:b/>
          <w:i/>
        </w:rPr>
        <w:t>Issue of warrants and convertibles in accordance with the shareholders' priority rights</w:t>
      </w:r>
      <w:bookmarkEnd w:id="46"/>
    </w:p>
    <w:p w14:paraId="0DDC5B1C" w14:textId="77777777" w:rsidR="00F3012E" w:rsidRPr="00437F01" w:rsidRDefault="00F3012E" w:rsidP="00F3012E">
      <w:pPr>
        <w:pStyle w:val="BodyText"/>
        <w:ind w:left="720"/>
      </w:pPr>
      <w:r w:rsidRPr="00A50800">
        <w:rPr>
          <w:lang w:val="sv-SE"/>
        </w:rPr>
        <w:t xml:space="preserve">Genomför Bolaget en </w:t>
      </w:r>
      <w:r w:rsidRPr="00A50800">
        <w:rPr>
          <w:u w:val="single"/>
          <w:lang w:val="sv-SE"/>
        </w:rPr>
        <w:t xml:space="preserve">emission enligt 14 kap. eller 15 kap. </w:t>
      </w:r>
      <w:r>
        <w:rPr>
          <w:u w:val="single"/>
          <w:lang w:val="sv-SE"/>
        </w:rPr>
        <w:t>A</w:t>
      </w:r>
      <w:r w:rsidRPr="00A50800">
        <w:rPr>
          <w:u w:val="single"/>
          <w:lang w:val="sv-SE"/>
        </w:rPr>
        <w:t>ktiebolagslagen</w:t>
      </w:r>
      <w:r w:rsidRPr="00A50800">
        <w:rPr>
          <w:lang w:val="sv-SE"/>
        </w:rPr>
        <w:t xml:space="preserve"> – med företrädesrätt för aktieägarna och mot kontant betalning eller genom kvittning – </w:t>
      </w:r>
      <w:r>
        <w:rPr>
          <w:lang w:val="sv-SE"/>
        </w:rPr>
        <w:t>ska</w:t>
      </w:r>
      <w:r w:rsidRPr="00A50800">
        <w:rPr>
          <w:lang w:val="sv-SE"/>
        </w:rPr>
        <w:t xml:space="preserve"> beträffande rätten till deltagande i emissionen för Aktie, som tillkommit på grund av Teckning med utnyttjande av Teckningsoption bestämmelserna i punkterna</w:t>
      </w:r>
      <w:r w:rsidRPr="003679A8">
        <w:rPr>
          <w:szCs w:val="22"/>
          <w:lang w:val="sv-SE"/>
        </w:rPr>
        <w:t xml:space="preserve"> </w:t>
      </w:r>
      <w:r>
        <w:rPr>
          <w:szCs w:val="22"/>
          <w:lang w:val="sv-SE"/>
        </w:rPr>
        <w:fldChar w:fldCharType="begin"/>
      </w:r>
      <w:r>
        <w:rPr>
          <w:szCs w:val="22"/>
          <w:lang w:val="sv-SE"/>
        </w:rPr>
        <w:instrText xml:space="preserve"> REF _Ref167349330 \r \h </w:instrText>
      </w:r>
      <w:r>
        <w:rPr>
          <w:szCs w:val="22"/>
          <w:lang w:val="sv-SE"/>
        </w:rPr>
      </w:r>
      <w:r>
        <w:rPr>
          <w:szCs w:val="22"/>
          <w:lang w:val="sv-SE"/>
        </w:rPr>
        <w:fldChar w:fldCharType="separate"/>
      </w:r>
      <w:r>
        <w:rPr>
          <w:szCs w:val="22"/>
          <w:lang w:val="sv-SE"/>
        </w:rPr>
        <w:t>8.2.4.I</w:t>
      </w:r>
      <w:r>
        <w:rPr>
          <w:szCs w:val="22"/>
          <w:lang w:val="sv-SE"/>
        </w:rPr>
        <w:fldChar w:fldCharType="end"/>
      </w:r>
      <w:r w:rsidRPr="00A50800">
        <w:rPr>
          <w:lang w:val="sv-SE"/>
        </w:rPr>
        <w:t xml:space="preserve">, och </w:t>
      </w:r>
      <w:r>
        <w:rPr>
          <w:szCs w:val="22"/>
        </w:rPr>
        <w:fldChar w:fldCharType="begin"/>
      </w:r>
      <w:r>
        <w:rPr>
          <w:lang w:val="sv-SE"/>
        </w:rPr>
        <w:instrText xml:space="preserve"> REF _Ref167349244 \r \h </w:instrText>
      </w:r>
      <w:r>
        <w:rPr>
          <w:szCs w:val="22"/>
        </w:rPr>
      </w:r>
      <w:r>
        <w:rPr>
          <w:szCs w:val="22"/>
        </w:rPr>
        <w:fldChar w:fldCharType="separate"/>
      </w:r>
      <w:r>
        <w:rPr>
          <w:lang w:val="sv-SE"/>
        </w:rPr>
        <w:t>8.2.4.II</w:t>
      </w:r>
      <w:r>
        <w:rPr>
          <w:szCs w:val="22"/>
        </w:rPr>
        <w:fldChar w:fldCharType="end"/>
      </w:r>
      <w:r w:rsidRPr="00A50800">
        <w:rPr>
          <w:lang w:val="sv-SE"/>
        </w:rPr>
        <w:t xml:space="preserve"> första stycket (i) och (ii) ovan äga motsvarande tillämpning.</w:t>
      </w:r>
      <w:r w:rsidRPr="00A50800">
        <w:rPr>
          <w:lang w:val="sv-SE"/>
        </w:rPr>
        <w:br/>
      </w:r>
      <w:r w:rsidRPr="00437F01">
        <w:rPr>
          <w:i/>
        </w:rPr>
        <w:t>Where the Company carries out an</w:t>
      </w:r>
      <w:r w:rsidRPr="00437F01">
        <w:rPr>
          <w:i/>
          <w:u w:val="single"/>
        </w:rPr>
        <w:t xml:space="preserve"> issue in accordance with Ch. 14 or Ch. 15 of the </w:t>
      </w:r>
      <w:r>
        <w:rPr>
          <w:i/>
          <w:u w:val="single"/>
        </w:rPr>
        <w:t xml:space="preserve">Swedish </w:t>
      </w:r>
      <w:r w:rsidRPr="00437F01">
        <w:rPr>
          <w:i/>
          <w:u w:val="single"/>
        </w:rPr>
        <w:t>Companies Act</w:t>
      </w:r>
      <w:r w:rsidRPr="00437F01">
        <w:rPr>
          <w:i/>
        </w:rPr>
        <w:t xml:space="preserve"> – with </w:t>
      </w:r>
      <w:r>
        <w:rPr>
          <w:i/>
        </w:rPr>
        <w:t>preferential</w:t>
      </w:r>
      <w:r w:rsidRPr="00437F01">
        <w:rPr>
          <w:i/>
        </w:rPr>
        <w:t xml:space="preserve"> rights for the shareholders in exchange for cash payment </w:t>
      </w:r>
      <w:r w:rsidRPr="00437F01">
        <w:rPr>
          <w:i/>
        </w:rPr>
        <w:lastRenderedPageBreak/>
        <w:t xml:space="preserve">or payment through set-off of claims – the provisions contained in sections </w:t>
      </w:r>
      <w:r>
        <w:rPr>
          <w:i/>
          <w:szCs w:val="22"/>
        </w:rPr>
        <w:fldChar w:fldCharType="begin"/>
      </w:r>
      <w:r>
        <w:rPr>
          <w:i/>
        </w:rPr>
        <w:instrText xml:space="preserve"> REF _Ref167349330 \r \h </w:instrText>
      </w:r>
      <w:r>
        <w:rPr>
          <w:i/>
          <w:szCs w:val="22"/>
        </w:rPr>
      </w:r>
      <w:r>
        <w:rPr>
          <w:i/>
          <w:szCs w:val="22"/>
        </w:rPr>
        <w:fldChar w:fldCharType="separate"/>
      </w:r>
      <w:r>
        <w:rPr>
          <w:i/>
        </w:rPr>
        <w:t>8.2.4.I</w:t>
      </w:r>
      <w:r>
        <w:rPr>
          <w:i/>
          <w:szCs w:val="22"/>
        </w:rPr>
        <w:fldChar w:fldCharType="end"/>
      </w:r>
      <w:r w:rsidRPr="00437F01">
        <w:rPr>
          <w:i/>
        </w:rPr>
        <w:t xml:space="preserve">, and </w:t>
      </w:r>
      <w:r>
        <w:rPr>
          <w:i/>
          <w:szCs w:val="22"/>
        </w:rPr>
        <w:fldChar w:fldCharType="begin"/>
      </w:r>
      <w:r>
        <w:rPr>
          <w:i/>
        </w:rPr>
        <w:instrText xml:space="preserve"> REF _Ref167349244 \r \h </w:instrText>
      </w:r>
      <w:r>
        <w:rPr>
          <w:i/>
          <w:szCs w:val="22"/>
        </w:rPr>
      </w:r>
      <w:r>
        <w:rPr>
          <w:i/>
          <w:szCs w:val="22"/>
        </w:rPr>
        <w:fldChar w:fldCharType="separate"/>
      </w:r>
      <w:r>
        <w:rPr>
          <w:i/>
        </w:rPr>
        <w:t>8.2.4.II</w:t>
      </w:r>
      <w:r>
        <w:rPr>
          <w:i/>
          <w:szCs w:val="22"/>
        </w:rPr>
        <w:fldChar w:fldCharType="end"/>
      </w:r>
      <w:r w:rsidRPr="00437F01">
        <w:rPr>
          <w:i/>
        </w:rPr>
        <w:t xml:space="preserve"> first paragraph (</w:t>
      </w:r>
      <w:proofErr w:type="spellStart"/>
      <w:r w:rsidRPr="00437F01">
        <w:rPr>
          <w:i/>
        </w:rPr>
        <w:t>i</w:t>
      </w:r>
      <w:proofErr w:type="spellEnd"/>
      <w:r w:rsidRPr="00437F01">
        <w:rPr>
          <w:i/>
        </w:rPr>
        <w:t>) and (ii), shall apply correspondingly, with respect to the right to participate in the issue for Shares that have been issued as a consequence of Subscription through exercise of the Warrant.</w:t>
      </w:r>
    </w:p>
    <w:p w14:paraId="599FF6D2" w14:textId="77777777" w:rsidR="00F3012E" w:rsidRPr="00437F01" w:rsidRDefault="00F3012E" w:rsidP="007C4B62">
      <w:pPr>
        <w:pStyle w:val="BodyText"/>
        <w:numPr>
          <w:ilvl w:val="0"/>
          <w:numId w:val="58"/>
        </w:numPr>
        <w:ind w:firstLine="0"/>
      </w:pPr>
      <w:r w:rsidRPr="00A50800">
        <w:rPr>
          <w:rFonts w:eastAsia="Times New Roman"/>
          <w:lang w:val="sv-SE"/>
        </w:rPr>
        <w:t xml:space="preserve">Om Bolagets Aktier eller teckningsrätter vid tidpunkten för emissionen inte är föremål för marknadsnotering, </w:t>
      </w:r>
      <w:r>
        <w:rPr>
          <w:rFonts w:eastAsia="Times New Roman"/>
          <w:lang w:val="sv-SE"/>
        </w:rPr>
        <w:t>ska</w:t>
      </w:r>
      <w:r w:rsidRPr="00A50800">
        <w:rPr>
          <w:rFonts w:eastAsia="Times New Roman"/>
          <w:lang w:val="sv-SE"/>
        </w:rPr>
        <w:t xml:space="preserve"> omräkning ske, dels av Teckningskursen, dels av det antal Aktier som varje Teckningsoption ger rätt att teckna i enlighet med denna punkt </w:t>
      </w:r>
      <w:r>
        <w:fldChar w:fldCharType="begin"/>
      </w:r>
      <w:r>
        <w:rPr>
          <w:rFonts w:eastAsia="Times New Roman"/>
          <w:lang w:val="sv-SE"/>
        </w:rPr>
        <w:instrText xml:space="preserve"> REF _Ref445997868 \r \h </w:instrText>
      </w:r>
      <w:r>
        <w:fldChar w:fldCharType="separate"/>
      </w:r>
      <w:r>
        <w:rPr>
          <w:rFonts w:eastAsia="Times New Roman"/>
          <w:lang w:val="sv-SE"/>
        </w:rPr>
        <w:t>8.2.5</w:t>
      </w:r>
      <w:r>
        <w:fldChar w:fldCharType="end"/>
      </w:r>
      <w:r w:rsidRPr="00A50800">
        <w:rPr>
          <w:rFonts w:eastAsia="Times New Roman"/>
          <w:lang w:val="sv-SE"/>
        </w:rPr>
        <w:t xml:space="preserve"> angivna principer. Omräkningen </w:t>
      </w:r>
      <w:r>
        <w:rPr>
          <w:rFonts w:eastAsia="Times New Roman"/>
          <w:lang w:val="sv-SE"/>
        </w:rPr>
        <w:t>ska</w:t>
      </w:r>
      <w:r w:rsidRPr="00A50800">
        <w:rPr>
          <w:rFonts w:eastAsia="Times New Roman"/>
          <w:lang w:val="sv-SE"/>
        </w:rPr>
        <w:t xml:space="preserve"> utföras av Bolaget</w:t>
      </w:r>
      <w:r>
        <w:rPr>
          <w:rFonts w:eastAsia="Times New Roman"/>
          <w:lang w:val="sv-SE"/>
        </w:rPr>
        <w:t xml:space="preserve"> och</w:t>
      </w:r>
      <w:r w:rsidRPr="00A50800">
        <w:rPr>
          <w:rFonts w:eastAsia="Times New Roman"/>
          <w:lang w:val="sv-SE"/>
        </w:rPr>
        <w:t xml:space="preserve"> </w:t>
      </w:r>
      <w:r>
        <w:rPr>
          <w:rFonts w:eastAsia="Times New Roman"/>
          <w:lang w:val="sv-SE"/>
        </w:rPr>
        <w:t>ska</w:t>
      </w:r>
      <w:r w:rsidRPr="00A50800">
        <w:rPr>
          <w:rFonts w:eastAsia="Times New Roman"/>
          <w:lang w:val="sv-SE"/>
        </w:rPr>
        <w:t xml:space="preserve"> ha som utgångspunkt att värdet på Teckningsoptionerna </w:t>
      </w:r>
      <w:r>
        <w:rPr>
          <w:rFonts w:eastAsia="Times New Roman"/>
          <w:lang w:val="sv-SE"/>
        </w:rPr>
        <w:t>ska</w:t>
      </w:r>
      <w:r w:rsidRPr="00A50800">
        <w:rPr>
          <w:rFonts w:eastAsia="Times New Roman"/>
          <w:lang w:val="sv-SE"/>
        </w:rPr>
        <w:t xml:space="preserve"> lämnas oförändrat.</w:t>
      </w:r>
      <w:r w:rsidRPr="00A50800">
        <w:rPr>
          <w:rFonts w:eastAsia="Times New Roman"/>
          <w:lang w:val="sv-SE"/>
        </w:rPr>
        <w:br/>
      </w:r>
      <w:r w:rsidRPr="00437F01">
        <w:rPr>
          <w:i/>
        </w:rPr>
        <w:t>Should the Company's Shares or subscription rights not be listed, at the time of the issuance, a recalculation of the Subscription Price and the number of Shares each Warrant entitles to subscribe for shall be adjusted in accordance with the principles set forth in this section </w:t>
      </w:r>
      <w:r>
        <w:rPr>
          <w:i/>
        </w:rPr>
        <w:fldChar w:fldCharType="begin"/>
      </w:r>
      <w:r>
        <w:rPr>
          <w:i/>
        </w:rPr>
        <w:instrText xml:space="preserve"> REF _Ref445997868 \r \h </w:instrText>
      </w:r>
      <w:r>
        <w:rPr>
          <w:i/>
        </w:rPr>
      </w:r>
      <w:r>
        <w:rPr>
          <w:i/>
        </w:rPr>
        <w:fldChar w:fldCharType="separate"/>
      </w:r>
      <w:r>
        <w:rPr>
          <w:i/>
        </w:rPr>
        <w:t>8.2.5</w:t>
      </w:r>
      <w:r>
        <w:rPr>
          <w:i/>
        </w:rPr>
        <w:fldChar w:fldCharType="end"/>
      </w:r>
      <w:r w:rsidRPr="00437F01">
        <w:rPr>
          <w:i/>
        </w:rPr>
        <w:t>. The recalculation shall be made by the Company and shall be made on the basis that the value of the Warrants shall remain unchanged.</w:t>
      </w:r>
    </w:p>
    <w:p w14:paraId="68CCB239" w14:textId="77777777" w:rsidR="00F3012E" w:rsidRPr="00437F01" w:rsidRDefault="00F3012E" w:rsidP="007C4B62">
      <w:pPr>
        <w:pStyle w:val="BodyText"/>
        <w:numPr>
          <w:ilvl w:val="0"/>
          <w:numId w:val="58"/>
        </w:numPr>
        <w:ind w:firstLine="0"/>
      </w:pPr>
      <w:r w:rsidRPr="00A50800">
        <w:rPr>
          <w:rFonts w:eastAsia="Times New Roman"/>
          <w:lang w:val="sv-SE"/>
        </w:rPr>
        <w:t xml:space="preserve">Om Bolagets Aktier eller teckningsrätter vid tidpunkten för emissionen är föremål för marknadsnotering, </w:t>
      </w:r>
      <w:r>
        <w:rPr>
          <w:rFonts w:eastAsia="Times New Roman"/>
          <w:lang w:val="sv-SE"/>
        </w:rPr>
        <w:t>ska</w:t>
      </w:r>
      <w:r w:rsidRPr="00A50800">
        <w:rPr>
          <w:rFonts w:eastAsia="Times New Roman"/>
          <w:lang w:val="sv-SE"/>
        </w:rPr>
        <w:t xml:space="preserve"> vid Teckning som verkställts på sådan tid att rätt till deltagande i </w:t>
      </w:r>
      <w:r w:rsidRPr="00F40CE0">
        <w:rPr>
          <w:rFonts w:eastAsia="Times New Roman"/>
          <w:lang w:val="sv-SE"/>
        </w:rPr>
        <w:t xml:space="preserve">emissionen inte uppkommer tillämpas en omräknad Teckningskurs liksom en omräkning av det antal Aktier som varje Teckningsoption berättigar till Teckning av. </w:t>
      </w:r>
      <w:proofErr w:type="spellStart"/>
      <w:r w:rsidRPr="006B6AC0">
        <w:rPr>
          <w:rFonts w:eastAsia="Times New Roman"/>
          <w:lang w:val="en-US"/>
        </w:rPr>
        <w:t>Omräkningarna</w:t>
      </w:r>
      <w:proofErr w:type="spellEnd"/>
      <w:r w:rsidRPr="006B6AC0">
        <w:rPr>
          <w:rFonts w:eastAsia="Times New Roman"/>
          <w:lang w:val="en-US"/>
        </w:rPr>
        <w:t xml:space="preserve"> </w:t>
      </w:r>
      <w:proofErr w:type="spellStart"/>
      <w:r w:rsidRPr="006B6AC0">
        <w:rPr>
          <w:rFonts w:eastAsia="Times New Roman"/>
          <w:lang w:val="en-US"/>
        </w:rPr>
        <w:t>utförs</w:t>
      </w:r>
      <w:proofErr w:type="spellEnd"/>
      <w:r w:rsidRPr="006B6AC0">
        <w:rPr>
          <w:rFonts w:eastAsia="Times New Roman"/>
          <w:lang w:val="en-US"/>
        </w:rPr>
        <w:t xml:space="preserve"> av </w:t>
      </w:r>
      <w:proofErr w:type="spellStart"/>
      <w:r w:rsidRPr="006B6AC0">
        <w:rPr>
          <w:rFonts w:eastAsia="Times New Roman"/>
          <w:lang w:val="en-US"/>
        </w:rPr>
        <w:t>Bolaget</w:t>
      </w:r>
      <w:proofErr w:type="spellEnd"/>
      <w:r w:rsidRPr="006B6AC0">
        <w:rPr>
          <w:rFonts w:eastAsia="Times New Roman"/>
          <w:lang w:val="en-US"/>
        </w:rPr>
        <w:t xml:space="preserve"> </w:t>
      </w:r>
      <w:proofErr w:type="spellStart"/>
      <w:r w:rsidRPr="006B6AC0">
        <w:rPr>
          <w:rFonts w:eastAsia="Times New Roman"/>
          <w:lang w:val="en-US"/>
        </w:rPr>
        <w:t>enligt</w:t>
      </w:r>
      <w:proofErr w:type="spellEnd"/>
      <w:r w:rsidRPr="006B6AC0">
        <w:rPr>
          <w:rFonts w:eastAsia="Times New Roman"/>
          <w:lang w:val="en-US"/>
        </w:rPr>
        <w:t xml:space="preserve"> </w:t>
      </w:r>
      <w:proofErr w:type="spellStart"/>
      <w:r w:rsidRPr="006B6AC0">
        <w:rPr>
          <w:rFonts w:eastAsia="Times New Roman"/>
          <w:lang w:val="en-US"/>
        </w:rPr>
        <w:t>följande</w:t>
      </w:r>
      <w:proofErr w:type="spellEnd"/>
      <w:r w:rsidRPr="006B6AC0">
        <w:rPr>
          <w:rFonts w:eastAsia="Times New Roman"/>
          <w:lang w:val="en-US"/>
        </w:rPr>
        <w:t xml:space="preserve"> </w:t>
      </w:r>
      <w:proofErr w:type="spellStart"/>
      <w:r w:rsidRPr="006B6AC0">
        <w:rPr>
          <w:rFonts w:eastAsia="Times New Roman"/>
          <w:lang w:val="en-US"/>
        </w:rPr>
        <w:t>formler</w:t>
      </w:r>
      <w:proofErr w:type="spellEnd"/>
      <w:r w:rsidRPr="006B6AC0">
        <w:rPr>
          <w:rFonts w:eastAsia="Times New Roman"/>
          <w:lang w:val="en-US"/>
        </w:rPr>
        <w:t>:</w:t>
      </w:r>
      <w:r w:rsidRPr="00437F01">
        <w:rPr>
          <w:rFonts w:eastAsia="Times New Roman"/>
        </w:rPr>
        <w:br/>
      </w:r>
      <w:r w:rsidRPr="00437F01">
        <w:rPr>
          <w:i/>
        </w:rPr>
        <w:t>Should the Company's Shares or subscription rights be listed at the time of the issuance, where Subscription is made at such time that no right to participate in the issue arises, a recalculated Subscription Price as well as a recalculated number of Shares which each Warrant entitles to Subscribe for shall be applied. Recalculations shall be made by the Company in accordance with the following formulas:</w:t>
      </w:r>
    </w:p>
    <w:tbl>
      <w:tblPr>
        <w:tblW w:w="8370" w:type="dxa"/>
        <w:tblInd w:w="630" w:type="dxa"/>
        <w:tblBorders>
          <w:top w:val="nil"/>
          <w:left w:val="nil"/>
          <w:bottom w:val="nil"/>
          <w:right w:val="nil"/>
          <w:insideH w:val="nil"/>
          <w:insideV w:val="nil"/>
        </w:tblBorders>
        <w:tblLook w:val="04A0" w:firstRow="1" w:lastRow="0" w:firstColumn="1" w:lastColumn="0" w:noHBand="0" w:noVBand="1"/>
      </w:tblPr>
      <w:tblGrid>
        <w:gridCol w:w="2160"/>
        <w:gridCol w:w="540"/>
        <w:gridCol w:w="5670"/>
      </w:tblGrid>
      <w:tr w:rsidR="00F3012E" w:rsidRPr="00D00630" w14:paraId="7084EEF8" w14:textId="77777777" w:rsidTr="00695A7D">
        <w:trPr>
          <w:cantSplit/>
        </w:trPr>
        <w:tc>
          <w:tcPr>
            <w:tcW w:w="2160" w:type="dxa"/>
            <w:vMerge w:val="restart"/>
            <w:vAlign w:val="center"/>
          </w:tcPr>
          <w:p w14:paraId="0FDE300B" w14:textId="77777777" w:rsidR="00F3012E" w:rsidRPr="00437F01" w:rsidRDefault="00F3012E" w:rsidP="00695A7D">
            <w:pPr>
              <w:pStyle w:val="TableText"/>
              <w:spacing w:after="0"/>
            </w:pPr>
            <w:proofErr w:type="spellStart"/>
            <w:r w:rsidRPr="00437F01">
              <w:t>Omräknad</w:t>
            </w:r>
            <w:proofErr w:type="spellEnd"/>
            <w:r w:rsidRPr="00437F01">
              <w:t xml:space="preserve"> </w:t>
            </w:r>
            <w:proofErr w:type="spellStart"/>
            <w:r w:rsidRPr="00437F01">
              <w:t>Teckningskurs</w:t>
            </w:r>
            <w:proofErr w:type="spellEnd"/>
          </w:p>
        </w:tc>
        <w:tc>
          <w:tcPr>
            <w:tcW w:w="540" w:type="dxa"/>
            <w:vMerge w:val="restart"/>
            <w:vAlign w:val="center"/>
          </w:tcPr>
          <w:p w14:paraId="59E5C8B9" w14:textId="77777777" w:rsidR="00F3012E" w:rsidRPr="00437F01" w:rsidRDefault="00F3012E" w:rsidP="00695A7D">
            <w:pPr>
              <w:pStyle w:val="TableText"/>
              <w:spacing w:after="0"/>
            </w:pPr>
            <w:r w:rsidRPr="00437F01">
              <w:t>=</w:t>
            </w:r>
          </w:p>
        </w:tc>
        <w:tc>
          <w:tcPr>
            <w:tcW w:w="5670" w:type="dxa"/>
            <w:tcBorders>
              <w:bottom w:val="single" w:sz="4" w:space="0" w:color="auto"/>
            </w:tcBorders>
          </w:tcPr>
          <w:p w14:paraId="5F5239EC"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w:t>
            </w:r>
            <w:r>
              <w:rPr>
                <w:lang w:val="sv-SE"/>
              </w:rPr>
              <w:t>Aktie</w:t>
            </w:r>
            <w:r w:rsidRPr="00A50800">
              <w:rPr>
                <w:lang w:val="sv-SE"/>
              </w:rPr>
              <w:t xml:space="preserve">ns genomsnittliga aktiekurs under den i </w:t>
            </w:r>
            <w:proofErr w:type="spellStart"/>
            <w:r w:rsidRPr="00A50800">
              <w:rPr>
                <w:lang w:val="sv-SE"/>
              </w:rPr>
              <w:t>emissionsbeslutet</w:t>
            </w:r>
            <w:proofErr w:type="spellEnd"/>
            <w:r w:rsidRPr="00A50800">
              <w:rPr>
                <w:lang w:val="sv-SE"/>
              </w:rPr>
              <w:t xml:space="preserve"> fastställda teckningstiden (Aktiens genomsnittskurs)</w:t>
            </w:r>
          </w:p>
        </w:tc>
      </w:tr>
      <w:tr w:rsidR="00F3012E" w:rsidRPr="00D00630" w14:paraId="4C905773" w14:textId="77777777" w:rsidTr="00695A7D">
        <w:trPr>
          <w:cantSplit/>
        </w:trPr>
        <w:tc>
          <w:tcPr>
            <w:tcW w:w="2160" w:type="dxa"/>
            <w:vMerge/>
          </w:tcPr>
          <w:p w14:paraId="36D090F0" w14:textId="77777777" w:rsidR="00F3012E" w:rsidRPr="00A50800" w:rsidRDefault="00F3012E" w:rsidP="00695A7D">
            <w:pPr>
              <w:pStyle w:val="TableText"/>
              <w:spacing w:after="0"/>
              <w:rPr>
                <w:lang w:val="sv-SE"/>
              </w:rPr>
            </w:pPr>
          </w:p>
        </w:tc>
        <w:tc>
          <w:tcPr>
            <w:tcW w:w="540" w:type="dxa"/>
            <w:vMerge/>
          </w:tcPr>
          <w:p w14:paraId="7A550FF1" w14:textId="77777777" w:rsidR="00F3012E" w:rsidRPr="00A50800" w:rsidRDefault="00F3012E" w:rsidP="00695A7D">
            <w:pPr>
              <w:pStyle w:val="TableText"/>
              <w:spacing w:after="0"/>
              <w:rPr>
                <w:lang w:val="sv-SE"/>
              </w:rPr>
            </w:pPr>
          </w:p>
        </w:tc>
        <w:tc>
          <w:tcPr>
            <w:tcW w:w="5670" w:type="dxa"/>
            <w:tcBorders>
              <w:top w:val="single" w:sz="4" w:space="0" w:color="auto"/>
              <w:bottom w:val="nil"/>
            </w:tcBorders>
          </w:tcPr>
          <w:p w14:paraId="2C5178B4" w14:textId="77777777" w:rsidR="00F3012E" w:rsidRPr="00A50800" w:rsidRDefault="00F3012E" w:rsidP="00695A7D">
            <w:pPr>
              <w:pStyle w:val="TableText"/>
              <w:spacing w:after="0"/>
              <w:rPr>
                <w:lang w:val="sv-SE"/>
              </w:rPr>
            </w:pPr>
            <w:r w:rsidRPr="00A50800">
              <w:rPr>
                <w:lang w:val="sv-SE"/>
              </w:rPr>
              <w:t>Aktiens genomsnittskurs ökad med teckningsrättens värde</w:t>
            </w:r>
          </w:p>
        </w:tc>
      </w:tr>
      <w:tr w:rsidR="00F3012E" w:rsidRPr="00D00630" w14:paraId="74627D73" w14:textId="77777777" w:rsidTr="00695A7D">
        <w:trPr>
          <w:cantSplit/>
        </w:trPr>
        <w:tc>
          <w:tcPr>
            <w:tcW w:w="2160" w:type="dxa"/>
          </w:tcPr>
          <w:p w14:paraId="5877AA3F" w14:textId="77777777" w:rsidR="00F3012E" w:rsidRPr="00A50800" w:rsidRDefault="00F3012E" w:rsidP="00695A7D">
            <w:pPr>
              <w:pStyle w:val="TableText"/>
              <w:spacing w:after="0"/>
              <w:rPr>
                <w:lang w:val="sv-SE"/>
              </w:rPr>
            </w:pPr>
          </w:p>
        </w:tc>
        <w:tc>
          <w:tcPr>
            <w:tcW w:w="540" w:type="dxa"/>
            <w:tcBorders>
              <w:right w:val="nil"/>
            </w:tcBorders>
          </w:tcPr>
          <w:p w14:paraId="01CB1A11" w14:textId="77777777" w:rsidR="00F3012E" w:rsidRPr="00A50800" w:rsidRDefault="00F3012E" w:rsidP="00695A7D">
            <w:pPr>
              <w:pStyle w:val="TableText"/>
              <w:spacing w:after="0"/>
              <w:rPr>
                <w:lang w:val="sv-SE"/>
              </w:rPr>
            </w:pPr>
          </w:p>
        </w:tc>
        <w:tc>
          <w:tcPr>
            <w:tcW w:w="5670" w:type="dxa"/>
            <w:tcBorders>
              <w:top w:val="nil"/>
              <w:left w:val="nil"/>
              <w:bottom w:val="nil"/>
              <w:right w:val="nil"/>
            </w:tcBorders>
          </w:tcPr>
          <w:p w14:paraId="67B3B638" w14:textId="77777777" w:rsidR="00F3012E" w:rsidRPr="00A50800" w:rsidRDefault="00F3012E" w:rsidP="00695A7D">
            <w:pPr>
              <w:pStyle w:val="TableText"/>
              <w:spacing w:after="0"/>
              <w:rPr>
                <w:lang w:val="sv-SE"/>
              </w:rPr>
            </w:pPr>
          </w:p>
        </w:tc>
      </w:tr>
      <w:tr w:rsidR="00F3012E" w:rsidRPr="00D00630" w14:paraId="1ED8A582" w14:textId="77777777" w:rsidTr="00695A7D">
        <w:trPr>
          <w:cantSplit/>
        </w:trPr>
        <w:tc>
          <w:tcPr>
            <w:tcW w:w="2160" w:type="dxa"/>
            <w:vMerge w:val="restart"/>
            <w:vAlign w:val="center"/>
          </w:tcPr>
          <w:p w14:paraId="0173A655" w14:textId="77777777" w:rsidR="00F3012E" w:rsidRPr="00A50800" w:rsidRDefault="00F3012E" w:rsidP="00695A7D">
            <w:pPr>
              <w:pStyle w:val="TableText"/>
              <w:spacing w:after="0"/>
              <w:rPr>
                <w:lang w:val="sv-SE"/>
              </w:rPr>
            </w:pPr>
            <w:r w:rsidRPr="00A50800">
              <w:rPr>
                <w:lang w:val="sv-SE"/>
              </w:rPr>
              <w:t>Omräknat antal Aktier som varje Teckningsoption berättigar till Teckning av</w:t>
            </w:r>
          </w:p>
        </w:tc>
        <w:tc>
          <w:tcPr>
            <w:tcW w:w="540" w:type="dxa"/>
            <w:vMerge w:val="restart"/>
            <w:vAlign w:val="center"/>
          </w:tcPr>
          <w:p w14:paraId="4CC0C09A" w14:textId="77777777" w:rsidR="00F3012E" w:rsidRPr="00437F01" w:rsidRDefault="00F3012E" w:rsidP="00695A7D">
            <w:pPr>
              <w:pStyle w:val="TableText"/>
              <w:spacing w:after="0"/>
            </w:pPr>
            <w:r w:rsidRPr="00437F01">
              <w:t>=</w:t>
            </w:r>
          </w:p>
        </w:tc>
        <w:tc>
          <w:tcPr>
            <w:tcW w:w="5670" w:type="dxa"/>
            <w:tcBorders>
              <w:top w:val="nil"/>
              <w:bottom w:val="single" w:sz="4" w:space="0" w:color="auto"/>
            </w:tcBorders>
          </w:tcPr>
          <w:p w14:paraId="19A9B6DB"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(Aktiens genomsnittskurs ökad med teckningsrättens värde)</w:t>
            </w:r>
          </w:p>
        </w:tc>
      </w:tr>
      <w:tr w:rsidR="00F3012E" w:rsidRPr="00437F01" w14:paraId="112B8AF8" w14:textId="77777777" w:rsidTr="00695A7D">
        <w:trPr>
          <w:cantSplit/>
        </w:trPr>
        <w:tc>
          <w:tcPr>
            <w:tcW w:w="2160" w:type="dxa"/>
            <w:vMerge/>
          </w:tcPr>
          <w:p w14:paraId="78523DAC" w14:textId="77777777" w:rsidR="00F3012E" w:rsidRPr="00A50800" w:rsidRDefault="00F3012E" w:rsidP="00695A7D">
            <w:pPr>
              <w:pStyle w:val="TableText"/>
              <w:spacing w:after="0"/>
              <w:rPr>
                <w:lang w:val="sv-SE"/>
              </w:rPr>
            </w:pPr>
          </w:p>
        </w:tc>
        <w:tc>
          <w:tcPr>
            <w:tcW w:w="540" w:type="dxa"/>
            <w:vMerge/>
          </w:tcPr>
          <w:p w14:paraId="0614DA56" w14:textId="77777777" w:rsidR="00F3012E" w:rsidRPr="00A50800" w:rsidRDefault="00F3012E" w:rsidP="00695A7D">
            <w:pPr>
              <w:pStyle w:val="TableText"/>
              <w:spacing w:after="0"/>
              <w:rPr>
                <w:lang w:val="sv-SE"/>
              </w:rPr>
            </w:pPr>
          </w:p>
        </w:tc>
        <w:tc>
          <w:tcPr>
            <w:tcW w:w="5670" w:type="dxa"/>
            <w:tcBorders>
              <w:top w:val="single" w:sz="4" w:space="0" w:color="auto"/>
            </w:tcBorders>
          </w:tcPr>
          <w:p w14:paraId="6908C99D" w14:textId="77777777" w:rsidR="00F3012E" w:rsidRPr="00437F01" w:rsidRDefault="00F3012E" w:rsidP="00695A7D">
            <w:pPr>
              <w:pStyle w:val="TableText"/>
              <w:spacing w:after="0"/>
            </w:pPr>
            <w:r w:rsidRPr="006B6AC0">
              <w:rPr>
                <w:lang w:val="sv-SE"/>
              </w:rPr>
              <w:t>Aktiens</w:t>
            </w:r>
            <w:r w:rsidRPr="00437F01">
              <w:t xml:space="preserve"> </w:t>
            </w:r>
            <w:proofErr w:type="spellStart"/>
            <w:r w:rsidRPr="00437F01">
              <w:t>genomsnittskurs</w:t>
            </w:r>
            <w:proofErr w:type="spellEnd"/>
          </w:p>
        </w:tc>
      </w:tr>
      <w:tr w:rsidR="00F3012E" w:rsidRPr="007F470D" w14:paraId="17C00A4E" w14:textId="77777777" w:rsidTr="00695A7D">
        <w:trPr>
          <w:cantSplit/>
        </w:trPr>
        <w:tc>
          <w:tcPr>
            <w:tcW w:w="2160" w:type="dxa"/>
            <w:vMerge w:val="restart"/>
            <w:vAlign w:val="center"/>
          </w:tcPr>
          <w:p w14:paraId="4E7EF408" w14:textId="77777777" w:rsidR="00F3012E" w:rsidRPr="00437F01" w:rsidRDefault="00F3012E" w:rsidP="00695A7D">
            <w:pPr>
              <w:pStyle w:val="TableText"/>
              <w:spacing w:after="0"/>
            </w:pPr>
            <w:r w:rsidRPr="00437F01">
              <w:rPr>
                <w:i/>
              </w:rPr>
              <w:t>Recalculated Subscription Price</w:t>
            </w:r>
          </w:p>
        </w:tc>
        <w:tc>
          <w:tcPr>
            <w:tcW w:w="540" w:type="dxa"/>
            <w:vMerge w:val="restart"/>
            <w:vAlign w:val="center"/>
          </w:tcPr>
          <w:p w14:paraId="7764A9A0" w14:textId="77777777" w:rsidR="00F3012E" w:rsidRPr="00437F01" w:rsidRDefault="00F3012E" w:rsidP="00695A7D">
            <w:pPr>
              <w:pStyle w:val="TableText"/>
              <w:spacing w:after="0"/>
            </w:pPr>
            <w:r w:rsidRPr="00437F01">
              <w:t>=</w:t>
            </w:r>
          </w:p>
        </w:tc>
        <w:tc>
          <w:tcPr>
            <w:tcW w:w="5670" w:type="dxa"/>
            <w:tcBorders>
              <w:bottom w:val="single" w:sz="4" w:space="0" w:color="auto"/>
            </w:tcBorders>
          </w:tcPr>
          <w:p w14:paraId="6BCC4D58" w14:textId="77777777" w:rsidR="00F3012E" w:rsidRPr="00437F01" w:rsidRDefault="00F3012E" w:rsidP="00695A7D">
            <w:pPr>
              <w:pStyle w:val="TableText"/>
              <w:spacing w:after="0"/>
            </w:pPr>
            <w:r w:rsidRPr="00437F01">
              <w:rPr>
                <w:i/>
              </w:rPr>
              <w:t>Previous Subscription Price x the average share price of the share during the Subscription Period set forth in the resolution approving the issue (average price of Share)</w:t>
            </w:r>
          </w:p>
        </w:tc>
      </w:tr>
      <w:tr w:rsidR="00F3012E" w:rsidRPr="007F470D" w14:paraId="08B853E0" w14:textId="77777777" w:rsidTr="00695A7D">
        <w:trPr>
          <w:cantSplit/>
        </w:trPr>
        <w:tc>
          <w:tcPr>
            <w:tcW w:w="2160" w:type="dxa"/>
            <w:vMerge/>
          </w:tcPr>
          <w:p w14:paraId="3D580404" w14:textId="77777777" w:rsidR="00F3012E" w:rsidRPr="00437F01" w:rsidRDefault="00F3012E" w:rsidP="00695A7D">
            <w:pPr>
              <w:pStyle w:val="TableText"/>
              <w:spacing w:after="0"/>
            </w:pPr>
          </w:p>
        </w:tc>
        <w:tc>
          <w:tcPr>
            <w:tcW w:w="540" w:type="dxa"/>
            <w:vMerge/>
          </w:tcPr>
          <w:p w14:paraId="749ED156" w14:textId="77777777" w:rsidR="00F3012E" w:rsidRPr="00437F01" w:rsidRDefault="00F3012E" w:rsidP="00695A7D">
            <w:pPr>
              <w:pStyle w:val="TableText"/>
              <w:spacing w:after="0"/>
            </w:pPr>
          </w:p>
        </w:tc>
        <w:tc>
          <w:tcPr>
            <w:tcW w:w="5670" w:type="dxa"/>
            <w:tcBorders>
              <w:top w:val="single" w:sz="4" w:space="0" w:color="auto"/>
              <w:bottom w:val="nil"/>
            </w:tcBorders>
          </w:tcPr>
          <w:p w14:paraId="0BD1BFD0" w14:textId="77777777" w:rsidR="00F3012E" w:rsidRPr="00437F01" w:rsidRDefault="00F3012E" w:rsidP="00695A7D">
            <w:pPr>
              <w:pStyle w:val="TableText"/>
              <w:spacing w:after="0"/>
            </w:pPr>
            <w:r w:rsidRPr="00437F01">
              <w:rPr>
                <w:i/>
              </w:rPr>
              <w:t>The average price of Share increased by the value of the subscription right</w:t>
            </w:r>
          </w:p>
        </w:tc>
      </w:tr>
      <w:tr w:rsidR="00F3012E" w:rsidRPr="007F470D" w14:paraId="411C78AF" w14:textId="77777777" w:rsidTr="00695A7D">
        <w:trPr>
          <w:cantSplit/>
        </w:trPr>
        <w:tc>
          <w:tcPr>
            <w:tcW w:w="2160" w:type="dxa"/>
          </w:tcPr>
          <w:p w14:paraId="22766C87" w14:textId="77777777" w:rsidR="00F3012E" w:rsidRPr="00437F01" w:rsidRDefault="00F3012E" w:rsidP="00695A7D">
            <w:pPr>
              <w:pStyle w:val="TableText"/>
              <w:spacing w:after="0"/>
            </w:pPr>
          </w:p>
        </w:tc>
        <w:tc>
          <w:tcPr>
            <w:tcW w:w="540" w:type="dxa"/>
            <w:tcBorders>
              <w:right w:val="nil"/>
            </w:tcBorders>
          </w:tcPr>
          <w:p w14:paraId="342E3AB4" w14:textId="77777777" w:rsidR="00F3012E" w:rsidRPr="00437F01" w:rsidRDefault="00F3012E" w:rsidP="00695A7D">
            <w:pPr>
              <w:pStyle w:val="TableText"/>
              <w:spacing w:after="0"/>
            </w:pPr>
          </w:p>
        </w:tc>
        <w:tc>
          <w:tcPr>
            <w:tcW w:w="5670" w:type="dxa"/>
            <w:tcBorders>
              <w:top w:val="nil"/>
              <w:left w:val="nil"/>
              <w:bottom w:val="nil"/>
              <w:right w:val="nil"/>
            </w:tcBorders>
          </w:tcPr>
          <w:p w14:paraId="6C8EE60D" w14:textId="77777777" w:rsidR="00F3012E" w:rsidRPr="00437F01" w:rsidRDefault="00F3012E" w:rsidP="00695A7D">
            <w:pPr>
              <w:pStyle w:val="TableText"/>
              <w:spacing w:after="0"/>
              <w:rPr>
                <w:i/>
              </w:rPr>
            </w:pPr>
          </w:p>
        </w:tc>
      </w:tr>
      <w:tr w:rsidR="00F3012E" w:rsidRPr="007F470D" w14:paraId="36C8B0E0" w14:textId="77777777" w:rsidTr="00695A7D">
        <w:trPr>
          <w:cantSplit/>
        </w:trPr>
        <w:tc>
          <w:tcPr>
            <w:tcW w:w="2160" w:type="dxa"/>
            <w:vMerge w:val="restart"/>
            <w:vAlign w:val="center"/>
          </w:tcPr>
          <w:p w14:paraId="7C4EA411" w14:textId="77777777" w:rsidR="00F3012E" w:rsidRPr="00437F01" w:rsidRDefault="00F3012E" w:rsidP="00695A7D">
            <w:pPr>
              <w:pStyle w:val="TableText"/>
              <w:spacing w:after="0"/>
            </w:pPr>
            <w:r w:rsidRPr="00437F01">
              <w:rPr>
                <w:i/>
              </w:rPr>
              <w:t>Recalculated number of Shares that each Warrant entitles to Subscribe for</w:t>
            </w:r>
          </w:p>
        </w:tc>
        <w:tc>
          <w:tcPr>
            <w:tcW w:w="540" w:type="dxa"/>
            <w:vMerge w:val="restart"/>
            <w:vAlign w:val="center"/>
          </w:tcPr>
          <w:p w14:paraId="6FF91FDA" w14:textId="77777777" w:rsidR="00F3012E" w:rsidRPr="00437F01" w:rsidRDefault="00F3012E" w:rsidP="00695A7D">
            <w:pPr>
              <w:pStyle w:val="TableText"/>
              <w:spacing w:after="0"/>
            </w:pPr>
            <w:r w:rsidRPr="00437F01">
              <w:t>=</w:t>
            </w:r>
          </w:p>
        </w:tc>
        <w:tc>
          <w:tcPr>
            <w:tcW w:w="5670" w:type="dxa"/>
            <w:tcBorders>
              <w:top w:val="nil"/>
              <w:bottom w:val="single" w:sz="4" w:space="0" w:color="auto"/>
            </w:tcBorders>
          </w:tcPr>
          <w:p w14:paraId="4347DBD1" w14:textId="77777777" w:rsidR="00F3012E" w:rsidRPr="00437F01" w:rsidRDefault="00F3012E" w:rsidP="00695A7D">
            <w:pPr>
              <w:pStyle w:val="TableText"/>
              <w:spacing w:after="0"/>
            </w:pPr>
            <w:r w:rsidRPr="00437F01">
              <w:rPr>
                <w:i/>
              </w:rPr>
              <w:t>Previous number of Shares that each Warrant entitles to Subscribe for x (the average price of Share increased by the value of the subscription right)</w:t>
            </w:r>
          </w:p>
        </w:tc>
      </w:tr>
      <w:tr w:rsidR="00F3012E" w:rsidRPr="00437F01" w14:paraId="4CEA9801" w14:textId="77777777" w:rsidTr="00695A7D">
        <w:trPr>
          <w:cantSplit/>
          <w:trHeight w:val="70"/>
        </w:trPr>
        <w:tc>
          <w:tcPr>
            <w:tcW w:w="2160" w:type="dxa"/>
            <w:vMerge/>
          </w:tcPr>
          <w:p w14:paraId="4C3653F2" w14:textId="77777777" w:rsidR="00F3012E" w:rsidRPr="00437F01" w:rsidRDefault="00F3012E" w:rsidP="00695A7D">
            <w:pPr>
              <w:pStyle w:val="TableText"/>
              <w:spacing w:after="0"/>
            </w:pPr>
          </w:p>
        </w:tc>
        <w:tc>
          <w:tcPr>
            <w:tcW w:w="540" w:type="dxa"/>
            <w:vMerge/>
          </w:tcPr>
          <w:p w14:paraId="5B3F4B32" w14:textId="77777777" w:rsidR="00F3012E" w:rsidRPr="00437F01" w:rsidRDefault="00F3012E" w:rsidP="00695A7D">
            <w:pPr>
              <w:pStyle w:val="TableText"/>
              <w:spacing w:after="0"/>
            </w:pPr>
          </w:p>
        </w:tc>
        <w:tc>
          <w:tcPr>
            <w:tcW w:w="5670" w:type="dxa"/>
            <w:tcBorders>
              <w:top w:val="single" w:sz="4" w:space="0" w:color="auto"/>
              <w:bottom w:val="nil"/>
            </w:tcBorders>
          </w:tcPr>
          <w:p w14:paraId="2634A6AA" w14:textId="77777777" w:rsidR="00F3012E" w:rsidRPr="00437F01" w:rsidRDefault="00F3012E" w:rsidP="00695A7D">
            <w:pPr>
              <w:pStyle w:val="TableText"/>
              <w:spacing w:after="0"/>
            </w:pPr>
            <w:r w:rsidRPr="00437F01">
              <w:rPr>
                <w:i/>
              </w:rPr>
              <w:t>Average price of Share</w:t>
            </w:r>
          </w:p>
        </w:tc>
      </w:tr>
      <w:tr w:rsidR="00F3012E" w:rsidRPr="00437F01" w14:paraId="5A1B1C60" w14:textId="77777777" w:rsidTr="00695A7D">
        <w:trPr>
          <w:cantSplit/>
          <w:trHeight w:val="70"/>
        </w:trPr>
        <w:tc>
          <w:tcPr>
            <w:tcW w:w="2160" w:type="dxa"/>
          </w:tcPr>
          <w:p w14:paraId="5ED64CCE" w14:textId="77777777" w:rsidR="00F3012E" w:rsidRPr="00437F01" w:rsidRDefault="00F3012E" w:rsidP="00695A7D">
            <w:pPr>
              <w:pStyle w:val="TableText"/>
              <w:spacing w:after="0"/>
            </w:pPr>
          </w:p>
        </w:tc>
        <w:tc>
          <w:tcPr>
            <w:tcW w:w="540" w:type="dxa"/>
            <w:tcBorders>
              <w:right w:val="nil"/>
            </w:tcBorders>
          </w:tcPr>
          <w:p w14:paraId="5E4D70FF" w14:textId="77777777" w:rsidR="00F3012E" w:rsidRPr="00437F01" w:rsidRDefault="00F3012E" w:rsidP="00695A7D">
            <w:pPr>
              <w:pStyle w:val="TableText"/>
              <w:spacing w:after="0"/>
            </w:pPr>
          </w:p>
        </w:tc>
        <w:tc>
          <w:tcPr>
            <w:tcW w:w="5670" w:type="dxa"/>
            <w:tcBorders>
              <w:top w:val="nil"/>
              <w:left w:val="nil"/>
              <w:bottom w:val="nil"/>
              <w:right w:val="nil"/>
            </w:tcBorders>
          </w:tcPr>
          <w:p w14:paraId="5BF4D1A2" w14:textId="77777777" w:rsidR="00F3012E" w:rsidRPr="00437F01" w:rsidRDefault="00F3012E" w:rsidP="00695A7D">
            <w:pPr>
              <w:pStyle w:val="TableText"/>
              <w:spacing w:after="0"/>
              <w:rPr>
                <w:i/>
              </w:rPr>
            </w:pPr>
          </w:p>
        </w:tc>
      </w:tr>
    </w:tbl>
    <w:p w14:paraId="5D1C77A0" w14:textId="77777777" w:rsidR="00F3012E" w:rsidRPr="00437F01" w:rsidRDefault="00F3012E" w:rsidP="00F3012E">
      <w:pPr>
        <w:pStyle w:val="BodyText"/>
        <w:ind w:left="720"/>
      </w:pPr>
      <w:r w:rsidRPr="00A50800">
        <w:rPr>
          <w:lang w:val="sv-SE"/>
        </w:rPr>
        <w:t xml:space="preserve">Teckningsrättens värde </w:t>
      </w:r>
      <w:r>
        <w:rPr>
          <w:lang w:val="sv-SE"/>
        </w:rPr>
        <w:t>ska</w:t>
      </w:r>
      <w:r w:rsidRPr="00A50800">
        <w:rPr>
          <w:lang w:val="sv-SE"/>
        </w:rPr>
        <w:t xml:space="preserve"> anses motsvara genomsnittet av det för varje handelsdag under </w:t>
      </w:r>
      <w:r w:rsidRPr="00A05113">
        <w:rPr>
          <w:lang w:val="sv-SE"/>
        </w:rPr>
        <w:t>teckningstiden</w:t>
      </w:r>
      <w:r w:rsidRPr="00A50800">
        <w:rPr>
          <w:lang w:val="sv-SE"/>
        </w:rPr>
        <w:t xml:space="preserve"> framräknade medeltalet av den under dagen noterade högsta och lägsta betalkursen för teckningsrätten enligt marknadsnotering. I avsaknad av notering av betalkurs </w:t>
      </w:r>
      <w:r>
        <w:rPr>
          <w:lang w:val="sv-SE"/>
        </w:rPr>
        <w:t>ska</w:t>
      </w:r>
      <w:r w:rsidRPr="00A50800">
        <w:rPr>
          <w:lang w:val="sv-SE"/>
        </w:rPr>
        <w:t xml:space="preserve"> i stället den som slutkurs noterade köpkursen ingå i beräkningen. Dag utan notering av vare sig betalkurs eller köpkurs </w:t>
      </w:r>
      <w:r>
        <w:rPr>
          <w:lang w:val="sv-SE"/>
        </w:rPr>
        <w:t>ska</w:t>
      </w:r>
      <w:r w:rsidRPr="00A50800">
        <w:rPr>
          <w:lang w:val="sv-SE"/>
        </w:rPr>
        <w:t xml:space="preserve"> inte ingå i beräkningen.</w:t>
      </w:r>
      <w:r w:rsidRPr="00A50800">
        <w:rPr>
          <w:lang w:val="sv-SE"/>
        </w:rPr>
        <w:br/>
      </w:r>
      <w:r w:rsidRPr="00437F01">
        <w:rPr>
          <w:i/>
        </w:rPr>
        <w:t xml:space="preserve">The value of the subscription right shall be deemed to correspond to the average mean value </w:t>
      </w:r>
      <w:r w:rsidRPr="00437F01">
        <w:rPr>
          <w:i/>
        </w:rPr>
        <w:lastRenderedPageBreak/>
        <w:t xml:space="preserve">of the highest and lowest prices paid for such rights each trading day during the </w:t>
      </w:r>
      <w:r>
        <w:rPr>
          <w:i/>
        </w:rPr>
        <w:t>s</w:t>
      </w:r>
      <w:r w:rsidRPr="00437F01">
        <w:rPr>
          <w:i/>
        </w:rPr>
        <w:t xml:space="preserve">ubscription </w:t>
      </w:r>
      <w:r>
        <w:rPr>
          <w:i/>
        </w:rPr>
        <w:t>p</w:t>
      </w:r>
      <w:r w:rsidRPr="00437F01">
        <w:rPr>
          <w:i/>
        </w:rPr>
        <w:t>eriod according to market quotation. In the absence of a quoted paid price, the final bid price shall form the basis for the calculation. Days when no paid price or bid price is quoted, shall be excluded from the calculation.</w:t>
      </w:r>
    </w:p>
    <w:p w14:paraId="28260C6B" w14:textId="77777777" w:rsidR="00F3012E" w:rsidRPr="00437F01" w:rsidRDefault="00F3012E" w:rsidP="00F3012E">
      <w:pPr>
        <w:pStyle w:val="BodyText"/>
        <w:ind w:left="720"/>
      </w:pPr>
      <w:r w:rsidRPr="00A50800">
        <w:rPr>
          <w:lang w:val="sv-SE"/>
        </w:rPr>
        <w:t xml:space="preserve">Enligt </w:t>
      </w:r>
      <w:r w:rsidRPr="00A05113">
        <w:rPr>
          <w:lang w:val="sv-SE"/>
        </w:rPr>
        <w:t>ovan</w:t>
      </w:r>
      <w:r w:rsidRPr="00A50800">
        <w:rPr>
          <w:lang w:val="sv-SE"/>
        </w:rPr>
        <w:t xml:space="preserve"> omräknad Teckningskurs och omräknat antal Aktier </w:t>
      </w:r>
      <w:r>
        <w:rPr>
          <w:lang w:val="sv-SE"/>
        </w:rPr>
        <w:t>ska</w:t>
      </w:r>
      <w:r w:rsidRPr="00A50800">
        <w:rPr>
          <w:lang w:val="sv-SE"/>
        </w:rPr>
        <w:t xml:space="preserve"> fastställas av Bolaget två Bankdagar efter </w:t>
      </w:r>
      <w:r>
        <w:rPr>
          <w:lang w:val="sv-SE"/>
        </w:rPr>
        <w:t>t</w:t>
      </w:r>
      <w:r w:rsidRPr="00A50800">
        <w:rPr>
          <w:lang w:val="sv-SE"/>
        </w:rPr>
        <w:t xml:space="preserve">eckningstidens utgång och </w:t>
      </w:r>
      <w:r>
        <w:rPr>
          <w:lang w:val="sv-SE"/>
        </w:rPr>
        <w:t>ska</w:t>
      </w:r>
      <w:r w:rsidRPr="00A50800">
        <w:rPr>
          <w:lang w:val="sv-SE"/>
        </w:rPr>
        <w:t xml:space="preserve"> tillämpas vid Teckning, som verkställs därefter.</w:t>
      </w:r>
      <w:r w:rsidRPr="00A50800">
        <w:rPr>
          <w:lang w:val="sv-SE"/>
        </w:rPr>
        <w:br/>
      </w:r>
      <w:r w:rsidRPr="00437F01">
        <w:rPr>
          <w:i/>
        </w:rPr>
        <w:t xml:space="preserve">The recalculated Subscription Price and the recalculated number of Shares </w:t>
      </w:r>
      <w:proofErr w:type="gramStart"/>
      <w:r w:rsidRPr="00437F01">
        <w:rPr>
          <w:i/>
        </w:rPr>
        <w:t>as set</w:t>
      </w:r>
      <w:proofErr w:type="gramEnd"/>
      <w:r w:rsidRPr="00437F01">
        <w:rPr>
          <w:i/>
        </w:rPr>
        <w:t xml:space="preserve"> forth above shall be determined by the Company two Business Days after the expiration of the </w:t>
      </w:r>
      <w:r>
        <w:rPr>
          <w:i/>
        </w:rPr>
        <w:t>s</w:t>
      </w:r>
      <w:r w:rsidRPr="00437F01">
        <w:rPr>
          <w:i/>
        </w:rPr>
        <w:t xml:space="preserve">ubscription </w:t>
      </w:r>
      <w:proofErr w:type="gramStart"/>
      <w:r>
        <w:rPr>
          <w:i/>
        </w:rPr>
        <w:t>p</w:t>
      </w:r>
      <w:r w:rsidRPr="00437F01">
        <w:rPr>
          <w:i/>
        </w:rPr>
        <w:t>eriod and</w:t>
      </w:r>
      <w:proofErr w:type="gramEnd"/>
      <w:r w:rsidRPr="00437F01">
        <w:rPr>
          <w:i/>
        </w:rPr>
        <w:t xml:space="preserve"> shall apply to Subscriptions made after such time.</w:t>
      </w:r>
    </w:p>
    <w:p w14:paraId="56B72FCC" w14:textId="77777777" w:rsidR="00F3012E" w:rsidRDefault="00F3012E" w:rsidP="00F3012E">
      <w:pPr>
        <w:pStyle w:val="BodyText"/>
        <w:ind w:left="720"/>
        <w:rPr>
          <w:i/>
        </w:rPr>
      </w:pPr>
      <w:r w:rsidRPr="00A50800">
        <w:rPr>
          <w:lang w:val="sv-SE"/>
        </w:rPr>
        <w:t xml:space="preserve">Vid </w:t>
      </w:r>
      <w:r w:rsidRPr="00A05113">
        <w:rPr>
          <w:lang w:val="sv-SE"/>
        </w:rPr>
        <w:t>anmälan</w:t>
      </w:r>
      <w:r w:rsidRPr="00A50800">
        <w:rPr>
          <w:lang w:val="sv-SE"/>
        </w:rPr>
        <w:t xml:space="preserve"> om Teckning som sker under tiden fram till dess att omräknad Teckningskurs och omräknat antal Aktier som varje Teckningsoption berättigar till Teckning av fastställts, </w:t>
      </w:r>
      <w:r>
        <w:rPr>
          <w:lang w:val="sv-SE"/>
        </w:rPr>
        <w:t>ska</w:t>
      </w:r>
      <w:r w:rsidRPr="00A50800">
        <w:rPr>
          <w:lang w:val="sv-SE"/>
        </w:rPr>
        <w:t xml:space="preserve"> bestämmelserna i punkt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sista stycket ovan, äga motsvarande tillämpning.</w:t>
      </w:r>
      <w:r w:rsidRPr="00A50800">
        <w:rPr>
          <w:lang w:val="sv-SE"/>
        </w:rPr>
        <w:br/>
      </w:r>
      <w:r w:rsidRPr="00437F01">
        <w:rPr>
          <w:i/>
        </w:rPr>
        <w:t xml:space="preserve">In relation to notice of Subscription effected during the period until the re-calculated Subscription Price and recalculated number of Shares have been determined, the provisions set forth in the final paragraph of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above shall apply correspondingly.</w:t>
      </w:r>
    </w:p>
    <w:p w14:paraId="4CB19786" w14:textId="77777777" w:rsidR="00F3012E" w:rsidRPr="00437F01" w:rsidRDefault="00F3012E" w:rsidP="006350FE">
      <w:pPr>
        <w:pStyle w:val="BodyText"/>
        <w:numPr>
          <w:ilvl w:val="2"/>
          <w:numId w:val="56"/>
        </w:numPr>
        <w:spacing w:after="0"/>
        <w:rPr>
          <w:b/>
        </w:rPr>
      </w:pPr>
      <w:bookmarkStart w:id="47" w:name="_Ref445997940"/>
      <w:r w:rsidRPr="006B6AC0">
        <w:rPr>
          <w:b/>
          <w:lang w:val="sv-SE"/>
        </w:rPr>
        <w:t>Andra riktade erbjudanden till aktieägarna</w:t>
      </w:r>
      <w:r w:rsidRPr="00437F01">
        <w:rPr>
          <w:b/>
        </w:rPr>
        <w:t>/</w:t>
      </w:r>
      <w:r w:rsidRPr="00437F01">
        <w:rPr>
          <w:b/>
          <w:i/>
        </w:rPr>
        <w:t>Other offers directed to the shareholders</w:t>
      </w:r>
      <w:bookmarkEnd w:id="47"/>
    </w:p>
    <w:p w14:paraId="540ED788" w14:textId="77777777" w:rsidR="00F3012E" w:rsidRPr="00437F01" w:rsidRDefault="00F3012E" w:rsidP="00F3012E">
      <w:pPr>
        <w:pStyle w:val="BodyText"/>
        <w:ind w:left="720"/>
      </w:pPr>
      <w:proofErr w:type="spellStart"/>
      <w:r w:rsidRPr="00EE396E">
        <w:rPr>
          <w:lang w:val="en-US"/>
        </w:rPr>
        <w:t>Skulle</w:t>
      </w:r>
      <w:proofErr w:type="spellEnd"/>
      <w:r w:rsidRPr="00EE396E">
        <w:rPr>
          <w:lang w:val="en-US"/>
        </w:rPr>
        <w:t xml:space="preserve"> </w:t>
      </w:r>
      <w:proofErr w:type="spellStart"/>
      <w:r w:rsidRPr="00EE396E">
        <w:rPr>
          <w:lang w:val="en-US"/>
        </w:rPr>
        <w:t>Bolaget</w:t>
      </w:r>
      <w:proofErr w:type="spellEnd"/>
      <w:r w:rsidRPr="00EE396E">
        <w:rPr>
          <w:lang w:val="en-US"/>
        </w:rPr>
        <w:t xml:space="preserve"> </w:t>
      </w:r>
      <w:proofErr w:type="spellStart"/>
      <w:r w:rsidRPr="00EE396E">
        <w:rPr>
          <w:lang w:val="en-US"/>
        </w:rPr>
        <w:t>i</w:t>
      </w:r>
      <w:proofErr w:type="spellEnd"/>
      <w:r w:rsidRPr="00EE396E">
        <w:rPr>
          <w:lang w:val="en-US"/>
        </w:rPr>
        <w:t xml:space="preserve"> </w:t>
      </w:r>
      <w:proofErr w:type="spellStart"/>
      <w:r w:rsidRPr="00EE396E">
        <w:rPr>
          <w:lang w:val="en-US"/>
        </w:rPr>
        <w:t>andra</w:t>
      </w:r>
      <w:proofErr w:type="spellEnd"/>
      <w:r w:rsidRPr="00EE396E">
        <w:rPr>
          <w:lang w:val="en-US"/>
        </w:rPr>
        <w:t xml:space="preserve"> fall </w:t>
      </w:r>
      <w:proofErr w:type="spellStart"/>
      <w:r w:rsidRPr="00EE396E">
        <w:rPr>
          <w:lang w:val="en-US"/>
        </w:rPr>
        <w:t>än</w:t>
      </w:r>
      <w:proofErr w:type="spellEnd"/>
      <w:r w:rsidRPr="00EE396E">
        <w:rPr>
          <w:lang w:val="en-US"/>
        </w:rPr>
        <w:t xml:space="preserve"> </w:t>
      </w:r>
      <w:proofErr w:type="spellStart"/>
      <w:r w:rsidRPr="00EE396E">
        <w:rPr>
          <w:lang w:val="en-US"/>
        </w:rPr>
        <w:t>som</w:t>
      </w:r>
      <w:proofErr w:type="spellEnd"/>
      <w:r w:rsidRPr="00EE396E">
        <w:rPr>
          <w:lang w:val="en-US"/>
        </w:rPr>
        <w:t xml:space="preserve"> </w:t>
      </w:r>
      <w:proofErr w:type="spellStart"/>
      <w:r w:rsidRPr="00EE396E">
        <w:rPr>
          <w:lang w:val="en-US"/>
        </w:rPr>
        <w:t>avses</w:t>
      </w:r>
      <w:proofErr w:type="spellEnd"/>
      <w:r w:rsidRPr="00EE396E">
        <w:rPr>
          <w:lang w:val="en-US"/>
        </w:rPr>
        <w:t xml:space="preserve"> </w:t>
      </w:r>
      <w:proofErr w:type="spellStart"/>
      <w:r w:rsidRPr="00EE396E">
        <w:rPr>
          <w:lang w:val="en-US"/>
        </w:rPr>
        <w:t>i</w:t>
      </w:r>
      <w:proofErr w:type="spellEnd"/>
      <w:r w:rsidRPr="00EE396E">
        <w:rPr>
          <w:lang w:val="en-US"/>
        </w:rPr>
        <w:t xml:space="preserve"> </w:t>
      </w:r>
      <w:proofErr w:type="spellStart"/>
      <w:r w:rsidRPr="00EE396E">
        <w:rPr>
          <w:lang w:val="en-US"/>
        </w:rPr>
        <w:t>punkterna</w:t>
      </w:r>
      <w:proofErr w:type="spellEnd"/>
      <w:r w:rsidRPr="00EE396E">
        <w:rPr>
          <w:lang w:val="en-US"/>
        </w:rPr>
        <w:t xml:space="preserve"> </w:t>
      </w:r>
      <w:r w:rsidRPr="008570D1">
        <w:rPr>
          <w:szCs w:val="22"/>
          <w:lang w:val="sv-SE"/>
        </w:rPr>
        <w:fldChar w:fldCharType="begin"/>
      </w:r>
      <w:r w:rsidRPr="00EE396E">
        <w:rPr>
          <w:lang w:val="en-US"/>
        </w:rPr>
        <w:instrText xml:space="preserve"> REF _Ref419826047 \r \h </w:instrText>
      </w:r>
      <w:r w:rsidRPr="008570D1">
        <w:rPr>
          <w:szCs w:val="22"/>
          <w:lang w:val="sv-SE"/>
        </w:rPr>
      </w:r>
      <w:r w:rsidRPr="008570D1">
        <w:rPr>
          <w:szCs w:val="22"/>
          <w:lang w:val="sv-SE"/>
        </w:rPr>
        <w:fldChar w:fldCharType="separate"/>
      </w:r>
      <w:r w:rsidRPr="00EE396E">
        <w:rPr>
          <w:lang w:val="en-US"/>
        </w:rPr>
        <w:t>8.2.2</w:t>
      </w:r>
      <w:r w:rsidRPr="008570D1">
        <w:rPr>
          <w:szCs w:val="22"/>
          <w:lang w:val="sv-SE"/>
        </w:rPr>
        <w:fldChar w:fldCharType="end"/>
      </w:r>
      <w:r w:rsidRPr="00EE396E">
        <w:rPr>
          <w:lang w:val="en-US"/>
        </w:rPr>
        <w:t>–</w:t>
      </w:r>
      <w:r w:rsidRPr="008570D1">
        <w:rPr>
          <w:szCs w:val="22"/>
          <w:lang w:val="sv-SE"/>
        </w:rPr>
        <w:fldChar w:fldCharType="begin"/>
      </w:r>
      <w:r w:rsidRPr="00EE396E">
        <w:rPr>
          <w:szCs w:val="22"/>
          <w:lang w:val="en-US"/>
        </w:rPr>
        <w:instrText xml:space="preserve"> REF _Ref445997868 \r \h </w:instrText>
      </w:r>
      <w:r w:rsidRPr="008570D1">
        <w:rPr>
          <w:szCs w:val="22"/>
          <w:lang w:val="sv-SE"/>
        </w:rPr>
      </w:r>
      <w:r w:rsidRPr="008570D1">
        <w:rPr>
          <w:szCs w:val="22"/>
          <w:lang w:val="sv-SE"/>
        </w:rPr>
        <w:fldChar w:fldCharType="separate"/>
      </w:r>
      <w:r w:rsidRPr="00EE396E">
        <w:rPr>
          <w:szCs w:val="22"/>
          <w:lang w:val="en-US"/>
        </w:rPr>
        <w:t>8.2.5</w:t>
      </w:r>
      <w:r w:rsidRPr="008570D1">
        <w:rPr>
          <w:szCs w:val="22"/>
          <w:lang w:val="sv-SE"/>
        </w:rPr>
        <w:fldChar w:fldCharType="end"/>
      </w:r>
      <w:r w:rsidRPr="00EE396E">
        <w:rPr>
          <w:lang w:val="en-US"/>
        </w:rPr>
        <w:t xml:space="preserve"> </w:t>
      </w:r>
      <w:proofErr w:type="spellStart"/>
      <w:r w:rsidRPr="00EE396E">
        <w:rPr>
          <w:lang w:val="en-US"/>
        </w:rPr>
        <w:t>ovan</w:t>
      </w:r>
      <w:proofErr w:type="spellEnd"/>
      <w:r w:rsidRPr="00EE396E">
        <w:rPr>
          <w:lang w:val="en-US"/>
        </w:rPr>
        <w:t xml:space="preserve"> </w:t>
      </w:r>
      <w:proofErr w:type="spellStart"/>
      <w:r w:rsidRPr="00EE396E">
        <w:rPr>
          <w:u w:val="single"/>
          <w:lang w:val="en-US"/>
        </w:rPr>
        <w:t>rikta</w:t>
      </w:r>
      <w:proofErr w:type="spellEnd"/>
      <w:r w:rsidRPr="00EE396E">
        <w:rPr>
          <w:u w:val="single"/>
          <w:lang w:val="en-US"/>
        </w:rPr>
        <w:t xml:space="preserve"> </w:t>
      </w:r>
      <w:proofErr w:type="spellStart"/>
      <w:r w:rsidRPr="00EE396E">
        <w:rPr>
          <w:u w:val="single"/>
          <w:lang w:val="en-US"/>
        </w:rPr>
        <w:t>erbjudande</w:t>
      </w:r>
      <w:proofErr w:type="spellEnd"/>
      <w:r w:rsidRPr="00EE396E">
        <w:rPr>
          <w:u w:val="single"/>
          <w:lang w:val="en-US"/>
        </w:rPr>
        <w:t xml:space="preserve"> till </w:t>
      </w:r>
      <w:proofErr w:type="spellStart"/>
      <w:r w:rsidRPr="00EE396E">
        <w:rPr>
          <w:u w:val="single"/>
          <w:lang w:val="en-US"/>
        </w:rPr>
        <w:t>aktieägarna</w:t>
      </w:r>
      <w:proofErr w:type="spellEnd"/>
      <w:r w:rsidRPr="00EE396E">
        <w:rPr>
          <w:lang w:val="en-US"/>
        </w:rPr>
        <w:t xml:space="preserve"> </w:t>
      </w:r>
      <w:proofErr w:type="spellStart"/>
      <w:r w:rsidRPr="00EE396E">
        <w:rPr>
          <w:lang w:val="en-US"/>
        </w:rPr>
        <w:t>att</w:t>
      </w:r>
      <w:proofErr w:type="spellEnd"/>
      <w:r w:rsidRPr="00EE396E">
        <w:rPr>
          <w:lang w:val="en-US"/>
        </w:rPr>
        <w:t xml:space="preserve">, med </w:t>
      </w:r>
      <w:proofErr w:type="spellStart"/>
      <w:r w:rsidRPr="00EE396E">
        <w:rPr>
          <w:lang w:val="en-US"/>
        </w:rPr>
        <w:t>företrädesrätt</w:t>
      </w:r>
      <w:proofErr w:type="spellEnd"/>
      <w:r w:rsidRPr="00EE396E">
        <w:rPr>
          <w:lang w:val="en-US"/>
        </w:rPr>
        <w:t xml:space="preserve"> </w:t>
      </w:r>
      <w:proofErr w:type="spellStart"/>
      <w:r w:rsidRPr="00EE396E">
        <w:rPr>
          <w:lang w:val="en-US"/>
        </w:rPr>
        <w:t>enligt</w:t>
      </w:r>
      <w:proofErr w:type="spellEnd"/>
      <w:r w:rsidRPr="00EE396E">
        <w:rPr>
          <w:lang w:val="en-US"/>
        </w:rPr>
        <w:t xml:space="preserve"> </w:t>
      </w:r>
      <w:proofErr w:type="spellStart"/>
      <w:r w:rsidRPr="00EE396E">
        <w:rPr>
          <w:lang w:val="en-US"/>
        </w:rPr>
        <w:t>principerna</w:t>
      </w:r>
      <w:proofErr w:type="spellEnd"/>
      <w:r w:rsidRPr="00EE396E">
        <w:rPr>
          <w:lang w:val="en-US"/>
        </w:rPr>
        <w:t xml:space="preserve"> </w:t>
      </w:r>
      <w:proofErr w:type="spellStart"/>
      <w:r w:rsidRPr="00EE396E">
        <w:rPr>
          <w:lang w:val="en-US"/>
        </w:rPr>
        <w:t>i</w:t>
      </w:r>
      <w:proofErr w:type="spellEnd"/>
      <w:r w:rsidRPr="00EE396E">
        <w:rPr>
          <w:lang w:val="en-US"/>
        </w:rPr>
        <w:t xml:space="preserve"> 13 </w:t>
      </w:r>
      <w:proofErr w:type="spellStart"/>
      <w:r w:rsidRPr="00EE396E">
        <w:rPr>
          <w:lang w:val="en-US"/>
        </w:rPr>
        <w:t>kap</w:t>
      </w:r>
      <w:proofErr w:type="spellEnd"/>
      <w:r w:rsidRPr="00EE396E">
        <w:rPr>
          <w:lang w:val="en-US"/>
        </w:rPr>
        <w:t xml:space="preserve">. 1 § </w:t>
      </w:r>
      <w:proofErr w:type="spellStart"/>
      <w:r w:rsidRPr="00EE396E">
        <w:rPr>
          <w:lang w:val="en-US"/>
        </w:rPr>
        <w:t>Aktiebolagslagen</w:t>
      </w:r>
      <w:proofErr w:type="spellEnd"/>
      <w:r w:rsidRPr="00EE396E">
        <w:rPr>
          <w:lang w:val="en-US"/>
        </w:rPr>
        <w:t xml:space="preserve">, av </w:t>
      </w:r>
      <w:proofErr w:type="spellStart"/>
      <w:r w:rsidRPr="00EE396E">
        <w:rPr>
          <w:lang w:val="en-US"/>
        </w:rPr>
        <w:t>Bolaget</w:t>
      </w:r>
      <w:proofErr w:type="spellEnd"/>
      <w:r w:rsidRPr="00EE396E">
        <w:rPr>
          <w:lang w:val="en-US"/>
        </w:rPr>
        <w:t xml:space="preserve"> </w:t>
      </w:r>
      <w:proofErr w:type="spellStart"/>
      <w:r w:rsidRPr="00EE396E">
        <w:rPr>
          <w:lang w:val="en-US"/>
        </w:rPr>
        <w:t>förvärva</w:t>
      </w:r>
      <w:proofErr w:type="spellEnd"/>
      <w:r w:rsidRPr="00EE396E">
        <w:rPr>
          <w:lang w:val="en-US"/>
        </w:rPr>
        <w:t xml:space="preserve"> </w:t>
      </w:r>
      <w:proofErr w:type="spellStart"/>
      <w:r w:rsidRPr="00EE396E">
        <w:rPr>
          <w:lang w:val="en-US"/>
        </w:rPr>
        <w:t>värdepapper</w:t>
      </w:r>
      <w:proofErr w:type="spellEnd"/>
      <w:r w:rsidRPr="00EE396E">
        <w:rPr>
          <w:lang w:val="en-US"/>
        </w:rPr>
        <w:t xml:space="preserve"> </w:t>
      </w:r>
      <w:proofErr w:type="spellStart"/>
      <w:r w:rsidRPr="00EE396E">
        <w:rPr>
          <w:lang w:val="en-US"/>
        </w:rPr>
        <w:t>eller</w:t>
      </w:r>
      <w:proofErr w:type="spellEnd"/>
      <w:r w:rsidRPr="00EE396E">
        <w:rPr>
          <w:lang w:val="en-US"/>
        </w:rPr>
        <w:t xml:space="preserve"> </w:t>
      </w:r>
      <w:proofErr w:type="spellStart"/>
      <w:r w:rsidRPr="00EE396E">
        <w:rPr>
          <w:lang w:val="en-US"/>
        </w:rPr>
        <w:t>rättighet</w:t>
      </w:r>
      <w:proofErr w:type="spellEnd"/>
      <w:r w:rsidRPr="00EE396E">
        <w:rPr>
          <w:lang w:val="en-US"/>
        </w:rPr>
        <w:t xml:space="preserve"> av </w:t>
      </w:r>
      <w:proofErr w:type="spellStart"/>
      <w:r w:rsidRPr="00EE396E">
        <w:rPr>
          <w:lang w:val="en-US"/>
        </w:rPr>
        <w:t>något</w:t>
      </w:r>
      <w:proofErr w:type="spellEnd"/>
      <w:r w:rsidRPr="00EE396E">
        <w:rPr>
          <w:lang w:val="en-US"/>
        </w:rPr>
        <w:t xml:space="preserve"> slag </w:t>
      </w:r>
      <w:proofErr w:type="spellStart"/>
      <w:r w:rsidRPr="00EE396E">
        <w:rPr>
          <w:lang w:val="en-US"/>
        </w:rPr>
        <w:t>eller</w:t>
      </w:r>
      <w:proofErr w:type="spellEnd"/>
      <w:r w:rsidRPr="00EE396E">
        <w:rPr>
          <w:lang w:val="en-US"/>
        </w:rPr>
        <w:t xml:space="preserve"> </w:t>
      </w:r>
      <w:proofErr w:type="spellStart"/>
      <w:r w:rsidRPr="00EE396E">
        <w:rPr>
          <w:lang w:val="en-US"/>
        </w:rPr>
        <w:t>besluta</w:t>
      </w:r>
      <w:proofErr w:type="spellEnd"/>
      <w:r w:rsidRPr="00EE396E">
        <w:rPr>
          <w:lang w:val="en-US"/>
        </w:rPr>
        <w:t xml:space="preserve"> </w:t>
      </w:r>
      <w:proofErr w:type="spellStart"/>
      <w:r w:rsidRPr="00EE396E">
        <w:rPr>
          <w:lang w:val="en-US"/>
        </w:rPr>
        <w:t>att</w:t>
      </w:r>
      <w:proofErr w:type="spellEnd"/>
      <w:r w:rsidRPr="00EE396E">
        <w:rPr>
          <w:lang w:val="en-US"/>
        </w:rPr>
        <w:t xml:space="preserve">, </w:t>
      </w:r>
      <w:proofErr w:type="spellStart"/>
      <w:r w:rsidRPr="00EE396E">
        <w:rPr>
          <w:lang w:val="en-US"/>
        </w:rPr>
        <w:t>enligt</w:t>
      </w:r>
      <w:proofErr w:type="spellEnd"/>
      <w:r w:rsidRPr="00EE396E">
        <w:rPr>
          <w:lang w:val="en-US"/>
        </w:rPr>
        <w:t xml:space="preserve"> </w:t>
      </w:r>
      <w:proofErr w:type="spellStart"/>
      <w:r w:rsidRPr="00EE396E">
        <w:rPr>
          <w:lang w:val="en-US"/>
        </w:rPr>
        <w:t>ovan</w:t>
      </w:r>
      <w:proofErr w:type="spellEnd"/>
      <w:r w:rsidRPr="00EE396E">
        <w:rPr>
          <w:lang w:val="en-US"/>
        </w:rPr>
        <w:t xml:space="preserve"> </w:t>
      </w:r>
      <w:proofErr w:type="spellStart"/>
      <w:r w:rsidRPr="00EE396E">
        <w:rPr>
          <w:lang w:val="en-US"/>
        </w:rPr>
        <w:t>nämnda</w:t>
      </w:r>
      <w:proofErr w:type="spellEnd"/>
      <w:r w:rsidRPr="00EE396E">
        <w:rPr>
          <w:lang w:val="en-US"/>
        </w:rPr>
        <w:t xml:space="preserve"> </w:t>
      </w:r>
      <w:proofErr w:type="spellStart"/>
      <w:r w:rsidRPr="00EE396E">
        <w:rPr>
          <w:lang w:val="en-US"/>
        </w:rPr>
        <w:t>principer</w:t>
      </w:r>
      <w:proofErr w:type="spellEnd"/>
      <w:r w:rsidRPr="00EE396E">
        <w:rPr>
          <w:lang w:val="en-US"/>
        </w:rPr>
        <w:t xml:space="preserve">, till </w:t>
      </w:r>
      <w:proofErr w:type="spellStart"/>
      <w:r w:rsidRPr="00EE396E">
        <w:rPr>
          <w:lang w:val="en-US"/>
        </w:rPr>
        <w:t>aktieägarna</w:t>
      </w:r>
      <w:proofErr w:type="spellEnd"/>
      <w:r w:rsidRPr="00EE396E">
        <w:rPr>
          <w:lang w:val="en-US"/>
        </w:rPr>
        <w:t xml:space="preserve"> </w:t>
      </w:r>
      <w:proofErr w:type="spellStart"/>
      <w:r w:rsidRPr="00EE396E">
        <w:rPr>
          <w:lang w:val="en-US"/>
        </w:rPr>
        <w:t>utdela</w:t>
      </w:r>
      <w:proofErr w:type="spellEnd"/>
      <w:r w:rsidRPr="00EE396E">
        <w:rPr>
          <w:lang w:val="en-US"/>
        </w:rPr>
        <w:t xml:space="preserve"> </w:t>
      </w:r>
      <w:proofErr w:type="spellStart"/>
      <w:r w:rsidRPr="00EE396E">
        <w:rPr>
          <w:lang w:val="en-US"/>
        </w:rPr>
        <w:t>sådana</w:t>
      </w:r>
      <w:proofErr w:type="spellEnd"/>
      <w:r w:rsidRPr="00EE396E">
        <w:rPr>
          <w:lang w:val="en-US"/>
        </w:rPr>
        <w:t xml:space="preserve"> </w:t>
      </w:r>
      <w:proofErr w:type="spellStart"/>
      <w:r w:rsidRPr="00EE396E">
        <w:rPr>
          <w:lang w:val="en-US"/>
        </w:rPr>
        <w:t>värdepapper</w:t>
      </w:r>
      <w:proofErr w:type="spellEnd"/>
      <w:r w:rsidRPr="00EE396E">
        <w:rPr>
          <w:lang w:val="en-US"/>
        </w:rPr>
        <w:t xml:space="preserve"> </w:t>
      </w:r>
      <w:proofErr w:type="spellStart"/>
      <w:r w:rsidRPr="00EE396E">
        <w:rPr>
          <w:lang w:val="en-US"/>
        </w:rPr>
        <w:t>eller</w:t>
      </w:r>
      <w:proofErr w:type="spellEnd"/>
      <w:r w:rsidRPr="00EE396E">
        <w:rPr>
          <w:lang w:val="en-US"/>
        </w:rPr>
        <w:t xml:space="preserve"> </w:t>
      </w:r>
      <w:proofErr w:type="spellStart"/>
      <w:r w:rsidRPr="00EE396E">
        <w:rPr>
          <w:lang w:val="en-US"/>
        </w:rPr>
        <w:t>rättigheter</w:t>
      </w:r>
      <w:proofErr w:type="spellEnd"/>
      <w:r w:rsidRPr="00EE396E">
        <w:rPr>
          <w:lang w:val="en-US"/>
        </w:rPr>
        <w:t xml:space="preserve"> </w:t>
      </w:r>
      <w:proofErr w:type="spellStart"/>
      <w:r w:rsidRPr="00EE396E">
        <w:rPr>
          <w:lang w:val="en-US"/>
        </w:rPr>
        <w:t>utan</w:t>
      </w:r>
      <w:proofErr w:type="spellEnd"/>
      <w:r w:rsidRPr="00EE396E">
        <w:rPr>
          <w:lang w:val="en-US"/>
        </w:rPr>
        <w:t xml:space="preserve"> </w:t>
      </w:r>
      <w:proofErr w:type="spellStart"/>
      <w:r w:rsidRPr="00EE396E">
        <w:rPr>
          <w:lang w:val="en-US"/>
        </w:rPr>
        <w:t>vederlag</w:t>
      </w:r>
      <w:proofErr w:type="spellEnd"/>
      <w:r w:rsidRPr="00EE396E">
        <w:rPr>
          <w:lang w:val="en-US"/>
        </w:rPr>
        <w:t xml:space="preserve"> (</w:t>
      </w:r>
      <w:proofErr w:type="spellStart"/>
      <w:r w:rsidRPr="00EE396E">
        <w:rPr>
          <w:lang w:val="en-US"/>
        </w:rPr>
        <w:t>erbjudandet</w:t>
      </w:r>
      <w:proofErr w:type="spellEnd"/>
      <w:r w:rsidRPr="00EE396E">
        <w:rPr>
          <w:lang w:val="en-US"/>
        </w:rPr>
        <w:t xml:space="preserve">) ska vid </w:t>
      </w:r>
      <w:proofErr w:type="spellStart"/>
      <w:r w:rsidRPr="00EE396E">
        <w:rPr>
          <w:lang w:val="en-US"/>
        </w:rPr>
        <w:t>Teckning</w:t>
      </w:r>
      <w:proofErr w:type="spellEnd"/>
      <w:r w:rsidRPr="00EE396E">
        <w:rPr>
          <w:lang w:val="en-US"/>
        </w:rPr>
        <w:t xml:space="preserve">, </w:t>
      </w:r>
      <w:proofErr w:type="spellStart"/>
      <w:r w:rsidRPr="00EE396E">
        <w:rPr>
          <w:lang w:val="en-US"/>
        </w:rPr>
        <w:t>som</w:t>
      </w:r>
      <w:proofErr w:type="spellEnd"/>
      <w:r w:rsidRPr="00EE396E">
        <w:rPr>
          <w:lang w:val="en-US"/>
        </w:rPr>
        <w:t xml:space="preserve"> </w:t>
      </w:r>
      <w:proofErr w:type="spellStart"/>
      <w:r w:rsidRPr="00EE396E">
        <w:rPr>
          <w:lang w:val="en-US"/>
        </w:rPr>
        <w:t>görs</w:t>
      </w:r>
      <w:proofErr w:type="spellEnd"/>
      <w:r w:rsidRPr="00EE396E">
        <w:rPr>
          <w:lang w:val="en-US"/>
        </w:rPr>
        <w:t xml:space="preserve"> </w:t>
      </w:r>
      <w:proofErr w:type="spellStart"/>
      <w:r w:rsidRPr="00EE396E">
        <w:rPr>
          <w:lang w:val="en-US"/>
        </w:rPr>
        <w:t>på</w:t>
      </w:r>
      <w:proofErr w:type="spellEnd"/>
      <w:r w:rsidRPr="00EE396E">
        <w:rPr>
          <w:lang w:val="en-US"/>
        </w:rPr>
        <w:t xml:space="preserve"> </w:t>
      </w:r>
      <w:proofErr w:type="spellStart"/>
      <w:r w:rsidRPr="00EE396E">
        <w:rPr>
          <w:lang w:val="en-US"/>
        </w:rPr>
        <w:t>sådan</w:t>
      </w:r>
      <w:proofErr w:type="spellEnd"/>
      <w:r w:rsidRPr="00EE396E">
        <w:rPr>
          <w:lang w:val="en-US"/>
        </w:rPr>
        <w:t xml:space="preserve"> </w:t>
      </w:r>
      <w:proofErr w:type="spellStart"/>
      <w:r w:rsidRPr="00EE396E">
        <w:rPr>
          <w:lang w:val="en-US"/>
        </w:rPr>
        <w:t>tid</w:t>
      </w:r>
      <w:proofErr w:type="spellEnd"/>
      <w:r w:rsidRPr="00EE396E">
        <w:rPr>
          <w:lang w:val="en-US"/>
        </w:rPr>
        <w:t xml:space="preserve">, </w:t>
      </w:r>
      <w:proofErr w:type="spellStart"/>
      <w:r w:rsidRPr="00EE396E">
        <w:rPr>
          <w:lang w:val="en-US"/>
        </w:rPr>
        <w:t>att</w:t>
      </w:r>
      <w:proofErr w:type="spellEnd"/>
      <w:r w:rsidRPr="00EE396E">
        <w:rPr>
          <w:lang w:val="en-US"/>
        </w:rPr>
        <w:t xml:space="preserve"> </w:t>
      </w:r>
      <w:proofErr w:type="spellStart"/>
      <w:r w:rsidRPr="00EE396E">
        <w:rPr>
          <w:lang w:val="en-US"/>
        </w:rPr>
        <w:t>därigenom</w:t>
      </w:r>
      <w:proofErr w:type="spellEnd"/>
      <w:r w:rsidRPr="00EE396E">
        <w:rPr>
          <w:lang w:val="en-US"/>
        </w:rPr>
        <w:t xml:space="preserve"> </w:t>
      </w:r>
      <w:proofErr w:type="spellStart"/>
      <w:r w:rsidRPr="00EE396E">
        <w:rPr>
          <w:lang w:val="en-US"/>
        </w:rPr>
        <w:t>erhållen</w:t>
      </w:r>
      <w:proofErr w:type="spellEnd"/>
      <w:r w:rsidRPr="00EE396E">
        <w:rPr>
          <w:lang w:val="en-US"/>
        </w:rPr>
        <w:t xml:space="preserve"> </w:t>
      </w:r>
      <w:proofErr w:type="spellStart"/>
      <w:r w:rsidRPr="00EE396E">
        <w:rPr>
          <w:lang w:val="en-US"/>
        </w:rPr>
        <w:t>Aktie</w:t>
      </w:r>
      <w:proofErr w:type="spellEnd"/>
      <w:r w:rsidRPr="00EE396E">
        <w:rPr>
          <w:lang w:val="en-US"/>
        </w:rPr>
        <w:t xml:space="preserve"> </w:t>
      </w:r>
      <w:proofErr w:type="spellStart"/>
      <w:r w:rsidRPr="00EE396E">
        <w:rPr>
          <w:lang w:val="en-US"/>
        </w:rPr>
        <w:t>inte</w:t>
      </w:r>
      <w:proofErr w:type="spellEnd"/>
      <w:r w:rsidRPr="00EE396E">
        <w:rPr>
          <w:lang w:val="en-US"/>
        </w:rPr>
        <w:t xml:space="preserve"> </w:t>
      </w:r>
      <w:proofErr w:type="spellStart"/>
      <w:r w:rsidRPr="00EE396E">
        <w:rPr>
          <w:lang w:val="en-US"/>
        </w:rPr>
        <w:t>medför</w:t>
      </w:r>
      <w:proofErr w:type="spellEnd"/>
      <w:r w:rsidRPr="00EE396E">
        <w:rPr>
          <w:lang w:val="en-US"/>
        </w:rPr>
        <w:t xml:space="preserve"> </w:t>
      </w:r>
      <w:proofErr w:type="spellStart"/>
      <w:r w:rsidRPr="00EE396E">
        <w:rPr>
          <w:lang w:val="en-US"/>
        </w:rPr>
        <w:t>rätt</w:t>
      </w:r>
      <w:proofErr w:type="spellEnd"/>
      <w:r w:rsidRPr="00EE396E">
        <w:rPr>
          <w:lang w:val="en-US"/>
        </w:rPr>
        <w:t xml:space="preserve"> till </w:t>
      </w:r>
      <w:proofErr w:type="spellStart"/>
      <w:r w:rsidRPr="00EE396E">
        <w:rPr>
          <w:lang w:val="en-US"/>
        </w:rPr>
        <w:t>deltagande</w:t>
      </w:r>
      <w:proofErr w:type="spellEnd"/>
      <w:r w:rsidRPr="00EE396E">
        <w:rPr>
          <w:lang w:val="en-US"/>
        </w:rPr>
        <w:t xml:space="preserve"> </w:t>
      </w:r>
      <w:proofErr w:type="spellStart"/>
      <w:r w:rsidRPr="00EE396E">
        <w:rPr>
          <w:lang w:val="en-US"/>
        </w:rPr>
        <w:t>i</w:t>
      </w:r>
      <w:proofErr w:type="spellEnd"/>
      <w:r w:rsidRPr="00EE396E">
        <w:rPr>
          <w:lang w:val="en-US"/>
        </w:rPr>
        <w:t xml:space="preserve"> </w:t>
      </w:r>
      <w:proofErr w:type="spellStart"/>
      <w:r w:rsidRPr="00EE396E">
        <w:rPr>
          <w:lang w:val="en-US"/>
        </w:rPr>
        <w:t>erbjudandet</w:t>
      </w:r>
      <w:proofErr w:type="spellEnd"/>
      <w:r w:rsidRPr="00EE396E">
        <w:rPr>
          <w:lang w:val="en-US"/>
        </w:rPr>
        <w:t xml:space="preserve">, ska </w:t>
      </w:r>
      <w:proofErr w:type="spellStart"/>
      <w:r w:rsidRPr="00EE396E">
        <w:rPr>
          <w:lang w:val="en-US"/>
        </w:rPr>
        <w:t>följande</w:t>
      </w:r>
      <w:proofErr w:type="spellEnd"/>
      <w:r w:rsidRPr="00EE396E">
        <w:rPr>
          <w:lang w:val="en-US"/>
        </w:rPr>
        <w:t xml:space="preserve"> </w:t>
      </w:r>
      <w:proofErr w:type="spellStart"/>
      <w:r w:rsidRPr="00EE396E">
        <w:rPr>
          <w:lang w:val="en-US"/>
        </w:rPr>
        <w:t>gälla</w:t>
      </w:r>
      <w:proofErr w:type="spellEnd"/>
      <w:r w:rsidRPr="00EE396E">
        <w:rPr>
          <w:lang w:val="en-US"/>
        </w:rPr>
        <w:t>:</w:t>
      </w:r>
      <w:r w:rsidRPr="00437F01">
        <w:br/>
      </w:r>
      <w:r w:rsidRPr="00437F01">
        <w:rPr>
          <w:i/>
        </w:rPr>
        <w:t xml:space="preserve">In the event the Company, under circumstances other than those set forth in sections </w:t>
      </w:r>
      <w:r>
        <w:rPr>
          <w:i/>
          <w:szCs w:val="22"/>
        </w:rPr>
        <w:fldChar w:fldCharType="begin"/>
      </w:r>
      <w:r>
        <w:rPr>
          <w:i/>
        </w:rPr>
        <w:instrText xml:space="preserve"> REF _Ref419826047 \r \h </w:instrText>
      </w:r>
      <w:r>
        <w:rPr>
          <w:i/>
          <w:szCs w:val="22"/>
        </w:rPr>
      </w:r>
      <w:r>
        <w:rPr>
          <w:i/>
          <w:szCs w:val="22"/>
        </w:rPr>
        <w:fldChar w:fldCharType="separate"/>
      </w:r>
      <w:r>
        <w:rPr>
          <w:i/>
        </w:rPr>
        <w:t>8.2.2</w:t>
      </w:r>
      <w:r>
        <w:rPr>
          <w:i/>
          <w:szCs w:val="22"/>
        </w:rPr>
        <w:fldChar w:fldCharType="end"/>
      </w:r>
      <w:r w:rsidRPr="00437F01">
        <w:rPr>
          <w:i/>
        </w:rPr>
        <w:t>–</w:t>
      </w:r>
      <w:r>
        <w:rPr>
          <w:i/>
          <w:szCs w:val="22"/>
        </w:rPr>
        <w:fldChar w:fldCharType="begin"/>
      </w:r>
      <w:r>
        <w:rPr>
          <w:i/>
          <w:szCs w:val="22"/>
        </w:rPr>
        <w:instrText xml:space="preserve"> REF _Ref445997868 \r \h </w:instrText>
      </w:r>
      <w:r>
        <w:rPr>
          <w:i/>
          <w:szCs w:val="22"/>
        </w:rPr>
      </w:r>
      <w:r>
        <w:rPr>
          <w:i/>
          <w:szCs w:val="22"/>
        </w:rPr>
        <w:fldChar w:fldCharType="separate"/>
      </w:r>
      <w:r>
        <w:rPr>
          <w:i/>
          <w:szCs w:val="22"/>
        </w:rPr>
        <w:t>8.2.5</w:t>
      </w:r>
      <w:r>
        <w:rPr>
          <w:i/>
          <w:szCs w:val="22"/>
        </w:rPr>
        <w:fldChar w:fldCharType="end"/>
      </w:r>
      <w:r w:rsidRPr="00437F01">
        <w:rPr>
          <w:i/>
        </w:rPr>
        <w:t xml:space="preserve"> above, </w:t>
      </w:r>
      <w:r w:rsidRPr="00437F01">
        <w:rPr>
          <w:i/>
          <w:u w:val="single"/>
        </w:rPr>
        <w:t>directs an offer to the shareholders</w:t>
      </w:r>
      <w:r w:rsidRPr="00437F01">
        <w:rPr>
          <w:i/>
        </w:rPr>
        <w:t xml:space="preserve">, with a priority rights pursuant to the principles set forth in Ch. 13 </w:t>
      </w:r>
      <w:r>
        <w:rPr>
          <w:i/>
        </w:rPr>
        <w:t>§</w:t>
      </w:r>
      <w:r w:rsidRPr="00437F01">
        <w:rPr>
          <w:i/>
        </w:rPr>
        <w:t xml:space="preserve"> 1 of the </w:t>
      </w:r>
      <w:r>
        <w:rPr>
          <w:i/>
        </w:rPr>
        <w:t xml:space="preserve">Swedish </w:t>
      </w:r>
      <w:r w:rsidRPr="00437F01">
        <w:rPr>
          <w:i/>
        </w:rPr>
        <w:t>Companies Act, to acquire securities or rights of any kind from the Company, or where the Company resolves, pursuant to the above stated principles, to distribute to its shareholders such securities or rights without consideration (the offer), the following shall apply, with respect to Subscriptions requested at such a time that the thereby acquired Shares do not carry rights to participate in the offer:</w:t>
      </w:r>
    </w:p>
    <w:p w14:paraId="586F4CCE" w14:textId="77777777" w:rsidR="00F3012E" w:rsidRPr="00437F01" w:rsidRDefault="00F3012E" w:rsidP="007C4B62">
      <w:pPr>
        <w:pStyle w:val="BodyText"/>
        <w:numPr>
          <w:ilvl w:val="0"/>
          <w:numId w:val="62"/>
        </w:numPr>
        <w:ind w:firstLine="0"/>
      </w:pPr>
      <w:r w:rsidRPr="00A50800">
        <w:rPr>
          <w:rFonts w:eastAsia="Times New Roman"/>
          <w:lang w:val="sv-SE"/>
        </w:rPr>
        <w:t xml:space="preserve">Om Bolagets Aktier vid tidpunkten för emissionen inte är föremål för marknadsnotering, </w:t>
      </w:r>
      <w:r>
        <w:rPr>
          <w:rFonts w:eastAsia="Times New Roman"/>
          <w:lang w:val="sv-SE"/>
        </w:rPr>
        <w:t>ska</w:t>
      </w:r>
      <w:r w:rsidRPr="00A50800">
        <w:rPr>
          <w:rFonts w:eastAsia="Times New Roman"/>
          <w:lang w:val="sv-SE"/>
        </w:rPr>
        <w:t xml:space="preserve"> omräkning ske, dels av Teckningskursen, dels av det antal Aktier som varje Teckningsoption ger rätt att teckna i enlighet med denna punkt </w:t>
      </w:r>
      <w:r>
        <w:fldChar w:fldCharType="begin"/>
      </w:r>
      <w:r>
        <w:rPr>
          <w:rFonts w:eastAsia="Times New Roman"/>
          <w:lang w:val="sv-SE"/>
        </w:rPr>
        <w:instrText xml:space="preserve"> REF _Ref445997940 \r \h </w:instrText>
      </w:r>
      <w:r>
        <w:fldChar w:fldCharType="separate"/>
      </w:r>
      <w:r>
        <w:rPr>
          <w:rFonts w:eastAsia="Times New Roman"/>
          <w:lang w:val="sv-SE"/>
        </w:rPr>
        <w:t>8.2.6</w:t>
      </w:r>
      <w:r>
        <w:fldChar w:fldCharType="end"/>
      </w:r>
      <w:r w:rsidRPr="00A50800">
        <w:rPr>
          <w:rFonts w:eastAsia="Times New Roman"/>
          <w:lang w:val="sv-SE"/>
        </w:rPr>
        <w:t xml:space="preserve"> angivna principer. Omräkningen </w:t>
      </w:r>
      <w:r>
        <w:rPr>
          <w:rFonts w:eastAsia="Times New Roman"/>
          <w:lang w:val="sv-SE"/>
        </w:rPr>
        <w:t>ska</w:t>
      </w:r>
      <w:r w:rsidRPr="00A50800">
        <w:rPr>
          <w:rFonts w:eastAsia="Times New Roman"/>
          <w:lang w:val="sv-SE"/>
        </w:rPr>
        <w:t xml:space="preserve"> utföras av Bolaget</w:t>
      </w:r>
      <w:r>
        <w:rPr>
          <w:rFonts w:eastAsia="Times New Roman"/>
          <w:lang w:val="sv-SE"/>
        </w:rPr>
        <w:t xml:space="preserve"> och</w:t>
      </w:r>
      <w:r w:rsidRPr="00A50800">
        <w:rPr>
          <w:rFonts w:eastAsia="Times New Roman"/>
          <w:lang w:val="sv-SE"/>
        </w:rPr>
        <w:t xml:space="preserve"> </w:t>
      </w:r>
      <w:r>
        <w:rPr>
          <w:rFonts w:eastAsia="Times New Roman"/>
          <w:lang w:val="sv-SE"/>
        </w:rPr>
        <w:t>ska</w:t>
      </w:r>
      <w:r w:rsidRPr="00A50800">
        <w:rPr>
          <w:rFonts w:eastAsia="Times New Roman"/>
          <w:lang w:val="sv-SE"/>
        </w:rPr>
        <w:t xml:space="preserve"> ha som utgångspunkt att värdet på Teckningsoptionerna </w:t>
      </w:r>
      <w:r>
        <w:rPr>
          <w:rFonts w:eastAsia="Times New Roman"/>
          <w:lang w:val="sv-SE"/>
        </w:rPr>
        <w:t>ska</w:t>
      </w:r>
      <w:r w:rsidRPr="00A50800">
        <w:rPr>
          <w:rFonts w:eastAsia="Times New Roman"/>
          <w:lang w:val="sv-SE"/>
        </w:rPr>
        <w:t xml:space="preserve"> lämnas oförändrat.</w:t>
      </w:r>
      <w:r w:rsidRPr="00A50800">
        <w:rPr>
          <w:rFonts w:eastAsia="Times New Roman"/>
          <w:lang w:val="sv-SE"/>
        </w:rPr>
        <w:br/>
      </w:r>
      <w:r w:rsidRPr="00437F01">
        <w:rPr>
          <w:i/>
        </w:rPr>
        <w:t xml:space="preserve">Should the Company's Shares not be listed, at the time of the issuance, a recalculation of the Subscription Price and the number of Shares each Warrant entitles to subscribe for shall be adjusted in accordance with the principles set forth in this section </w:t>
      </w:r>
      <w:r>
        <w:rPr>
          <w:i/>
        </w:rPr>
        <w:fldChar w:fldCharType="begin"/>
      </w:r>
      <w:r>
        <w:rPr>
          <w:i/>
        </w:rPr>
        <w:instrText xml:space="preserve"> REF _Ref445997940 \r \h </w:instrText>
      </w:r>
      <w:r>
        <w:rPr>
          <w:i/>
        </w:rPr>
      </w:r>
      <w:r>
        <w:rPr>
          <w:i/>
        </w:rPr>
        <w:fldChar w:fldCharType="separate"/>
      </w:r>
      <w:r>
        <w:rPr>
          <w:i/>
        </w:rPr>
        <w:t>8.2.6</w:t>
      </w:r>
      <w:r>
        <w:rPr>
          <w:i/>
        </w:rPr>
        <w:fldChar w:fldCharType="end"/>
      </w:r>
      <w:r w:rsidRPr="00437F01">
        <w:rPr>
          <w:i/>
        </w:rPr>
        <w:t>. The recalculation shall be made by the Company and shall be made on the basis that the value of the Warrants shall remain unchanged.</w:t>
      </w:r>
      <w:r w:rsidRPr="00437F01">
        <w:t xml:space="preserve"> </w:t>
      </w:r>
    </w:p>
    <w:p w14:paraId="40E250DB" w14:textId="77777777" w:rsidR="00F3012E" w:rsidRPr="00437F01" w:rsidRDefault="00F3012E" w:rsidP="007C4B62">
      <w:pPr>
        <w:pStyle w:val="BodyText"/>
        <w:numPr>
          <w:ilvl w:val="0"/>
          <w:numId w:val="62"/>
        </w:numPr>
        <w:ind w:firstLine="0"/>
      </w:pPr>
      <w:bookmarkStart w:id="48" w:name="_Ref167349541"/>
      <w:r w:rsidRPr="00A50800">
        <w:rPr>
          <w:rFonts w:eastAsia="Times New Roman"/>
          <w:lang w:val="sv-SE"/>
        </w:rPr>
        <w:t xml:space="preserve">Om Bolagets Aktier vid tidpunkten för emissionen är föremål för marknadsnotering, </w:t>
      </w:r>
      <w:r>
        <w:rPr>
          <w:rFonts w:eastAsia="Times New Roman"/>
          <w:lang w:val="sv-SE"/>
        </w:rPr>
        <w:t>s</w:t>
      </w:r>
      <w:r w:rsidRPr="0003484D">
        <w:rPr>
          <w:rFonts w:eastAsia="Times New Roman"/>
          <w:lang w:val="sv-SE"/>
        </w:rPr>
        <w:t xml:space="preserve">ka tillämpas en omräknad Teckningskurs liksom en omräkning av det antal Aktier som varje Teckningsoption berättigar till Teckning av. </w:t>
      </w:r>
      <w:proofErr w:type="spellStart"/>
      <w:r w:rsidRPr="006B6AC0">
        <w:rPr>
          <w:rFonts w:eastAsia="Times New Roman"/>
          <w:lang w:val="en-US"/>
        </w:rPr>
        <w:t>Omräkningarna</w:t>
      </w:r>
      <w:proofErr w:type="spellEnd"/>
      <w:r w:rsidRPr="006B6AC0">
        <w:rPr>
          <w:rFonts w:eastAsia="Times New Roman"/>
          <w:lang w:val="en-US"/>
        </w:rPr>
        <w:t xml:space="preserve"> </w:t>
      </w:r>
      <w:proofErr w:type="spellStart"/>
      <w:r w:rsidRPr="006B6AC0">
        <w:rPr>
          <w:rFonts w:eastAsia="Times New Roman"/>
          <w:lang w:val="en-US"/>
        </w:rPr>
        <w:t>utförs</w:t>
      </w:r>
      <w:proofErr w:type="spellEnd"/>
      <w:r w:rsidRPr="006B6AC0">
        <w:rPr>
          <w:rFonts w:eastAsia="Times New Roman"/>
          <w:lang w:val="en-US"/>
        </w:rPr>
        <w:t xml:space="preserve"> av </w:t>
      </w:r>
      <w:proofErr w:type="spellStart"/>
      <w:r w:rsidRPr="006B6AC0">
        <w:rPr>
          <w:rFonts w:eastAsia="Times New Roman"/>
          <w:lang w:val="en-US"/>
        </w:rPr>
        <w:t>Bolaget</w:t>
      </w:r>
      <w:proofErr w:type="spellEnd"/>
      <w:r w:rsidRPr="006B6AC0">
        <w:rPr>
          <w:rFonts w:eastAsia="Times New Roman"/>
          <w:lang w:val="en-US"/>
        </w:rPr>
        <w:t xml:space="preserve"> </w:t>
      </w:r>
      <w:proofErr w:type="spellStart"/>
      <w:r w:rsidRPr="006B6AC0">
        <w:rPr>
          <w:rFonts w:eastAsia="Times New Roman"/>
          <w:lang w:val="en-US"/>
        </w:rPr>
        <w:t>enligt</w:t>
      </w:r>
      <w:proofErr w:type="spellEnd"/>
      <w:r w:rsidRPr="006B6AC0">
        <w:rPr>
          <w:rFonts w:eastAsia="Times New Roman"/>
          <w:lang w:val="en-US"/>
        </w:rPr>
        <w:t xml:space="preserve"> </w:t>
      </w:r>
      <w:proofErr w:type="spellStart"/>
      <w:r w:rsidRPr="006B6AC0">
        <w:rPr>
          <w:rFonts w:eastAsia="Times New Roman"/>
          <w:lang w:val="en-US"/>
        </w:rPr>
        <w:t>följande</w:t>
      </w:r>
      <w:proofErr w:type="spellEnd"/>
      <w:r w:rsidRPr="006B6AC0">
        <w:rPr>
          <w:rFonts w:eastAsia="Times New Roman"/>
          <w:lang w:val="en-US"/>
        </w:rPr>
        <w:t xml:space="preserve"> </w:t>
      </w:r>
      <w:proofErr w:type="spellStart"/>
      <w:r w:rsidRPr="006B6AC0">
        <w:rPr>
          <w:rFonts w:eastAsia="Times New Roman"/>
          <w:lang w:val="en-US"/>
        </w:rPr>
        <w:t>formler</w:t>
      </w:r>
      <w:proofErr w:type="spellEnd"/>
      <w:r w:rsidRPr="006B6AC0">
        <w:rPr>
          <w:rFonts w:eastAsia="Times New Roman"/>
          <w:lang w:val="en-US"/>
        </w:rPr>
        <w:t>:</w:t>
      </w:r>
      <w:r w:rsidRPr="00437F01">
        <w:rPr>
          <w:rFonts w:eastAsia="Times New Roman"/>
        </w:rPr>
        <w:br/>
      </w:r>
      <w:r w:rsidRPr="00437F01">
        <w:rPr>
          <w:i/>
        </w:rPr>
        <w:t>Should the Company's Shares be listed at the time of the issuance, a recalculated Subscription Price as well as a recalculated number of Shares which each Warrant entitles to Subscribe for shall be applied. Recalculations shall be made by the Company in accordance with the following formulas:</w:t>
      </w:r>
      <w:bookmarkEnd w:id="48"/>
    </w:p>
    <w:tbl>
      <w:tblPr>
        <w:tblW w:w="8370" w:type="dxa"/>
        <w:tblInd w:w="630" w:type="dxa"/>
        <w:tblBorders>
          <w:top w:val="nil"/>
          <w:left w:val="nil"/>
          <w:bottom w:val="nil"/>
          <w:right w:val="nil"/>
          <w:insideH w:val="nil"/>
          <w:insideV w:val="nil"/>
        </w:tblBorders>
        <w:tblLook w:val="04A0" w:firstRow="1" w:lastRow="0" w:firstColumn="1" w:lastColumn="0" w:noHBand="0" w:noVBand="1"/>
      </w:tblPr>
      <w:tblGrid>
        <w:gridCol w:w="2160"/>
        <w:gridCol w:w="450"/>
        <w:gridCol w:w="5760"/>
      </w:tblGrid>
      <w:tr w:rsidR="00F3012E" w:rsidRPr="00D00630" w14:paraId="7B422330" w14:textId="77777777" w:rsidTr="00695A7D">
        <w:trPr>
          <w:cantSplit/>
        </w:trPr>
        <w:tc>
          <w:tcPr>
            <w:tcW w:w="2160" w:type="dxa"/>
            <w:vMerge w:val="restart"/>
            <w:vAlign w:val="center"/>
          </w:tcPr>
          <w:p w14:paraId="4544A91D" w14:textId="77777777" w:rsidR="00F3012E" w:rsidRPr="00437F01" w:rsidRDefault="00F3012E" w:rsidP="00695A7D">
            <w:pPr>
              <w:pStyle w:val="TableText"/>
              <w:spacing w:after="0"/>
            </w:pPr>
            <w:proofErr w:type="spellStart"/>
            <w:r w:rsidRPr="00437F01">
              <w:lastRenderedPageBreak/>
              <w:t>Omräknad</w:t>
            </w:r>
            <w:proofErr w:type="spellEnd"/>
            <w:r w:rsidRPr="00437F01">
              <w:t xml:space="preserve"> </w:t>
            </w:r>
            <w:proofErr w:type="spellStart"/>
            <w:r w:rsidRPr="00437F01">
              <w:t>Teckningskurs</w:t>
            </w:r>
            <w:proofErr w:type="spellEnd"/>
          </w:p>
        </w:tc>
        <w:tc>
          <w:tcPr>
            <w:tcW w:w="450" w:type="dxa"/>
            <w:vMerge w:val="restart"/>
            <w:vAlign w:val="center"/>
          </w:tcPr>
          <w:p w14:paraId="7618A947" w14:textId="77777777" w:rsidR="00F3012E" w:rsidRPr="00437F01" w:rsidRDefault="00F3012E" w:rsidP="00695A7D">
            <w:pPr>
              <w:pStyle w:val="TableText"/>
              <w:spacing w:after="0"/>
              <w:jc w:val="center"/>
            </w:pPr>
            <w:r w:rsidRPr="00437F01">
              <w:t>=</w:t>
            </w:r>
          </w:p>
        </w:tc>
        <w:tc>
          <w:tcPr>
            <w:tcW w:w="5760" w:type="dxa"/>
            <w:tcBorders>
              <w:bottom w:val="single" w:sz="4" w:space="0" w:color="auto"/>
            </w:tcBorders>
          </w:tcPr>
          <w:p w14:paraId="2B2310A4"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Aktiens genomsnittliga aktiekurs under den i erbjudandet fastställda anmälningstiden (</w:t>
            </w:r>
            <w:r>
              <w:rPr>
                <w:lang w:val="sv-SE"/>
              </w:rPr>
              <w:t>Aktie</w:t>
            </w:r>
            <w:r w:rsidRPr="00A50800">
              <w:rPr>
                <w:lang w:val="sv-SE"/>
              </w:rPr>
              <w:t>ns genomsnittskurs)</w:t>
            </w:r>
          </w:p>
        </w:tc>
      </w:tr>
      <w:tr w:rsidR="00F3012E" w:rsidRPr="00D00630" w14:paraId="43180CE8" w14:textId="77777777" w:rsidTr="00695A7D">
        <w:trPr>
          <w:cantSplit/>
        </w:trPr>
        <w:tc>
          <w:tcPr>
            <w:tcW w:w="2160" w:type="dxa"/>
            <w:vMerge/>
            <w:vAlign w:val="center"/>
          </w:tcPr>
          <w:p w14:paraId="334CF0CF" w14:textId="77777777" w:rsidR="00F3012E" w:rsidRPr="00A50800" w:rsidRDefault="00F3012E" w:rsidP="00695A7D">
            <w:pPr>
              <w:pStyle w:val="TableText"/>
              <w:spacing w:after="0"/>
              <w:rPr>
                <w:i/>
                <w:lang w:val="sv-SE"/>
              </w:rPr>
            </w:pPr>
          </w:p>
        </w:tc>
        <w:tc>
          <w:tcPr>
            <w:tcW w:w="450" w:type="dxa"/>
            <w:vMerge/>
            <w:vAlign w:val="center"/>
          </w:tcPr>
          <w:p w14:paraId="29BEFF28" w14:textId="77777777" w:rsidR="00F3012E" w:rsidRPr="00A50800" w:rsidRDefault="00F3012E" w:rsidP="00695A7D">
            <w:pPr>
              <w:pStyle w:val="TableText"/>
              <w:spacing w:after="0"/>
              <w:jc w:val="center"/>
              <w:rPr>
                <w:lang w:val="sv-SE"/>
              </w:rPr>
            </w:pPr>
          </w:p>
        </w:tc>
        <w:tc>
          <w:tcPr>
            <w:tcW w:w="5760" w:type="dxa"/>
            <w:tcBorders>
              <w:top w:val="single" w:sz="4" w:space="0" w:color="auto"/>
              <w:bottom w:val="nil"/>
            </w:tcBorders>
          </w:tcPr>
          <w:p w14:paraId="1F4F5FB9" w14:textId="77777777" w:rsidR="00F3012E" w:rsidRPr="00A50800" w:rsidRDefault="00F3012E" w:rsidP="00695A7D">
            <w:pPr>
              <w:pStyle w:val="TableText"/>
              <w:spacing w:after="0"/>
              <w:rPr>
                <w:lang w:val="sv-SE"/>
              </w:rPr>
            </w:pPr>
            <w:r w:rsidRPr="00A50800">
              <w:rPr>
                <w:lang w:val="sv-SE"/>
              </w:rPr>
              <w:t>Aktiens genomsnittskurs ökad med värdet av rätten till deltagande i erbjudandet (inköpsrättens värde)</w:t>
            </w:r>
          </w:p>
        </w:tc>
      </w:tr>
      <w:tr w:rsidR="00F3012E" w:rsidRPr="00D00630" w14:paraId="56B67FA0" w14:textId="77777777" w:rsidTr="00695A7D">
        <w:trPr>
          <w:cantSplit/>
        </w:trPr>
        <w:tc>
          <w:tcPr>
            <w:tcW w:w="2160" w:type="dxa"/>
            <w:vAlign w:val="center"/>
          </w:tcPr>
          <w:p w14:paraId="0CB3EBD0" w14:textId="77777777" w:rsidR="00F3012E" w:rsidRPr="00A50800" w:rsidRDefault="00F3012E" w:rsidP="00695A7D">
            <w:pPr>
              <w:pStyle w:val="TableText"/>
              <w:spacing w:after="0"/>
              <w:rPr>
                <w:i/>
                <w:lang w:val="sv-SE"/>
              </w:rPr>
            </w:pPr>
          </w:p>
        </w:tc>
        <w:tc>
          <w:tcPr>
            <w:tcW w:w="450" w:type="dxa"/>
            <w:tcBorders>
              <w:right w:val="nil"/>
            </w:tcBorders>
            <w:vAlign w:val="center"/>
          </w:tcPr>
          <w:p w14:paraId="6D6A41A2" w14:textId="77777777" w:rsidR="00F3012E" w:rsidRPr="00A50800" w:rsidRDefault="00F3012E" w:rsidP="00695A7D">
            <w:pPr>
              <w:pStyle w:val="TableText"/>
              <w:spacing w:after="0"/>
              <w:jc w:val="center"/>
              <w:rPr>
                <w:lang w:val="sv-SE"/>
              </w:rPr>
            </w:pPr>
          </w:p>
        </w:tc>
        <w:tc>
          <w:tcPr>
            <w:tcW w:w="5760" w:type="dxa"/>
            <w:tcBorders>
              <w:top w:val="nil"/>
              <w:left w:val="nil"/>
              <w:bottom w:val="nil"/>
              <w:right w:val="nil"/>
            </w:tcBorders>
          </w:tcPr>
          <w:p w14:paraId="2064D119" w14:textId="77777777" w:rsidR="00F3012E" w:rsidRPr="00A50800" w:rsidRDefault="00F3012E" w:rsidP="00695A7D">
            <w:pPr>
              <w:pStyle w:val="TableText"/>
              <w:spacing w:after="0"/>
              <w:rPr>
                <w:lang w:val="sv-SE"/>
              </w:rPr>
            </w:pPr>
          </w:p>
        </w:tc>
      </w:tr>
      <w:tr w:rsidR="00F3012E" w:rsidRPr="00D00630" w14:paraId="01F2ED61" w14:textId="77777777" w:rsidTr="00695A7D">
        <w:trPr>
          <w:cantSplit/>
        </w:trPr>
        <w:tc>
          <w:tcPr>
            <w:tcW w:w="2160" w:type="dxa"/>
            <w:vMerge w:val="restart"/>
            <w:vAlign w:val="center"/>
          </w:tcPr>
          <w:p w14:paraId="324B0B45" w14:textId="77777777" w:rsidR="00F3012E" w:rsidRPr="00A50800" w:rsidRDefault="00F3012E" w:rsidP="00695A7D">
            <w:pPr>
              <w:pStyle w:val="TableText"/>
              <w:spacing w:after="0"/>
              <w:rPr>
                <w:lang w:val="sv-SE"/>
              </w:rPr>
            </w:pPr>
            <w:r w:rsidRPr="00A50800">
              <w:rPr>
                <w:lang w:val="sv-SE"/>
              </w:rPr>
              <w:t>Omräknat antal Aktier som varje Teckningsoption berättigar till Teckning av</w:t>
            </w:r>
          </w:p>
        </w:tc>
        <w:tc>
          <w:tcPr>
            <w:tcW w:w="450" w:type="dxa"/>
            <w:vMerge w:val="restart"/>
            <w:vAlign w:val="center"/>
          </w:tcPr>
          <w:p w14:paraId="03FC305C" w14:textId="77777777" w:rsidR="00F3012E" w:rsidRPr="00437F01" w:rsidRDefault="00F3012E" w:rsidP="00695A7D">
            <w:pPr>
              <w:pStyle w:val="TableText"/>
              <w:spacing w:after="0"/>
              <w:jc w:val="center"/>
            </w:pPr>
            <w:r w:rsidRPr="00437F01">
              <w:t>=</w:t>
            </w:r>
          </w:p>
        </w:tc>
        <w:tc>
          <w:tcPr>
            <w:tcW w:w="5760" w:type="dxa"/>
            <w:tcBorders>
              <w:top w:val="nil"/>
              <w:bottom w:val="single" w:sz="4" w:space="0" w:color="auto"/>
            </w:tcBorders>
          </w:tcPr>
          <w:p w14:paraId="7CD7E82C"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(Aktiens genomsnittskurs ökad med inköpsrättens värde)</w:t>
            </w:r>
          </w:p>
        </w:tc>
      </w:tr>
      <w:tr w:rsidR="00F3012E" w:rsidRPr="00437F01" w14:paraId="23237F55" w14:textId="77777777" w:rsidTr="00695A7D">
        <w:trPr>
          <w:cantSplit/>
          <w:trHeight w:val="395"/>
        </w:trPr>
        <w:tc>
          <w:tcPr>
            <w:tcW w:w="2160" w:type="dxa"/>
            <w:vMerge/>
          </w:tcPr>
          <w:p w14:paraId="5F894C6C" w14:textId="77777777" w:rsidR="00F3012E" w:rsidRPr="00A50800" w:rsidRDefault="00F3012E" w:rsidP="00695A7D">
            <w:pPr>
              <w:pStyle w:val="TableText"/>
              <w:spacing w:after="0"/>
              <w:rPr>
                <w:lang w:val="sv-SE"/>
              </w:rPr>
            </w:pPr>
          </w:p>
        </w:tc>
        <w:tc>
          <w:tcPr>
            <w:tcW w:w="450" w:type="dxa"/>
            <w:vMerge/>
            <w:vAlign w:val="center"/>
          </w:tcPr>
          <w:p w14:paraId="3145AF31" w14:textId="77777777" w:rsidR="00F3012E" w:rsidRPr="00A50800" w:rsidRDefault="00F3012E" w:rsidP="00695A7D">
            <w:pPr>
              <w:pStyle w:val="TableText"/>
              <w:spacing w:after="0"/>
              <w:jc w:val="center"/>
              <w:rPr>
                <w:lang w:val="sv-SE"/>
              </w:rPr>
            </w:pPr>
          </w:p>
        </w:tc>
        <w:tc>
          <w:tcPr>
            <w:tcW w:w="5760" w:type="dxa"/>
            <w:tcBorders>
              <w:top w:val="single" w:sz="4" w:space="0" w:color="auto"/>
            </w:tcBorders>
          </w:tcPr>
          <w:p w14:paraId="595EC11E" w14:textId="77777777" w:rsidR="00F3012E" w:rsidRPr="00437F01" w:rsidRDefault="00F3012E" w:rsidP="00695A7D">
            <w:pPr>
              <w:pStyle w:val="TableText"/>
              <w:spacing w:after="0"/>
            </w:pPr>
            <w:proofErr w:type="spellStart"/>
            <w:r w:rsidRPr="00437F01">
              <w:t>Aktiens</w:t>
            </w:r>
            <w:proofErr w:type="spellEnd"/>
            <w:r w:rsidRPr="00437F01">
              <w:t xml:space="preserve"> </w:t>
            </w:r>
            <w:proofErr w:type="spellStart"/>
            <w:r w:rsidRPr="00437F01">
              <w:t>genomsnittskurs</w:t>
            </w:r>
            <w:proofErr w:type="spellEnd"/>
          </w:p>
        </w:tc>
      </w:tr>
      <w:tr w:rsidR="00F3012E" w:rsidRPr="007F470D" w14:paraId="3332283B" w14:textId="77777777" w:rsidTr="00695A7D">
        <w:trPr>
          <w:cantSplit/>
        </w:trPr>
        <w:tc>
          <w:tcPr>
            <w:tcW w:w="2160" w:type="dxa"/>
            <w:vMerge w:val="restart"/>
            <w:vAlign w:val="center"/>
          </w:tcPr>
          <w:p w14:paraId="23D894C8" w14:textId="77777777" w:rsidR="00F3012E" w:rsidRPr="00437F01" w:rsidRDefault="00F3012E" w:rsidP="00695A7D">
            <w:pPr>
              <w:pStyle w:val="TableText"/>
              <w:spacing w:after="0"/>
            </w:pPr>
            <w:r w:rsidRPr="00437F01">
              <w:rPr>
                <w:i/>
              </w:rPr>
              <w:t>Recalculated Subscription Price</w:t>
            </w:r>
          </w:p>
        </w:tc>
        <w:tc>
          <w:tcPr>
            <w:tcW w:w="450" w:type="dxa"/>
            <w:vMerge w:val="restart"/>
            <w:vAlign w:val="center"/>
          </w:tcPr>
          <w:p w14:paraId="46D07946" w14:textId="77777777" w:rsidR="00F3012E" w:rsidRPr="00437F01" w:rsidRDefault="00F3012E" w:rsidP="00695A7D">
            <w:pPr>
              <w:pStyle w:val="TableText"/>
              <w:spacing w:after="0"/>
              <w:jc w:val="center"/>
            </w:pPr>
            <w:r w:rsidRPr="00437F01">
              <w:t>=</w:t>
            </w:r>
          </w:p>
        </w:tc>
        <w:tc>
          <w:tcPr>
            <w:tcW w:w="5760" w:type="dxa"/>
            <w:tcBorders>
              <w:bottom w:val="single" w:sz="4" w:space="0" w:color="auto"/>
            </w:tcBorders>
          </w:tcPr>
          <w:p w14:paraId="46C94A3F" w14:textId="77777777" w:rsidR="00F3012E" w:rsidRPr="00437F01" w:rsidRDefault="00F3012E" w:rsidP="00695A7D">
            <w:pPr>
              <w:pStyle w:val="TableText"/>
              <w:spacing w:after="0"/>
            </w:pPr>
            <w:r w:rsidRPr="00437F01">
              <w:rPr>
                <w:i/>
              </w:rPr>
              <w:t>Previous Subscription Price x the average share price of the share during the notice period set forth in the offer (the average price of share)</w:t>
            </w:r>
          </w:p>
        </w:tc>
      </w:tr>
      <w:tr w:rsidR="00F3012E" w:rsidRPr="007F470D" w14:paraId="72D72E68" w14:textId="77777777" w:rsidTr="00695A7D">
        <w:trPr>
          <w:cantSplit/>
        </w:trPr>
        <w:tc>
          <w:tcPr>
            <w:tcW w:w="2160" w:type="dxa"/>
            <w:vMerge/>
            <w:vAlign w:val="center"/>
          </w:tcPr>
          <w:p w14:paraId="263E3501" w14:textId="77777777" w:rsidR="00F3012E" w:rsidRPr="00437F01" w:rsidRDefault="00F3012E" w:rsidP="00695A7D">
            <w:pPr>
              <w:pStyle w:val="TableText"/>
              <w:spacing w:after="0"/>
              <w:rPr>
                <w:i/>
              </w:rPr>
            </w:pPr>
          </w:p>
        </w:tc>
        <w:tc>
          <w:tcPr>
            <w:tcW w:w="450" w:type="dxa"/>
            <w:vMerge/>
            <w:vAlign w:val="center"/>
          </w:tcPr>
          <w:p w14:paraId="3B842B79" w14:textId="77777777" w:rsidR="00F3012E" w:rsidRPr="00437F01" w:rsidRDefault="00F3012E" w:rsidP="00695A7D">
            <w:pPr>
              <w:pStyle w:val="TableText"/>
              <w:spacing w:after="0"/>
              <w:jc w:val="center"/>
            </w:pPr>
          </w:p>
        </w:tc>
        <w:tc>
          <w:tcPr>
            <w:tcW w:w="5760" w:type="dxa"/>
            <w:tcBorders>
              <w:top w:val="single" w:sz="4" w:space="0" w:color="auto"/>
              <w:bottom w:val="nil"/>
            </w:tcBorders>
          </w:tcPr>
          <w:p w14:paraId="58849F11" w14:textId="77777777" w:rsidR="00F3012E" w:rsidRPr="00437F01" w:rsidRDefault="00F3012E" w:rsidP="00695A7D">
            <w:pPr>
              <w:pStyle w:val="TableText"/>
              <w:spacing w:after="0"/>
            </w:pPr>
            <w:r w:rsidRPr="00437F01">
              <w:rPr>
                <w:i/>
              </w:rPr>
              <w:t>Average price of share increased by the value of the right to participate in the offer</w:t>
            </w:r>
          </w:p>
        </w:tc>
      </w:tr>
      <w:tr w:rsidR="00F3012E" w:rsidRPr="007F470D" w14:paraId="2FC6CD50" w14:textId="77777777" w:rsidTr="00695A7D">
        <w:trPr>
          <w:cantSplit/>
        </w:trPr>
        <w:tc>
          <w:tcPr>
            <w:tcW w:w="2160" w:type="dxa"/>
            <w:vAlign w:val="center"/>
          </w:tcPr>
          <w:p w14:paraId="441C46D0" w14:textId="77777777" w:rsidR="00F3012E" w:rsidRPr="00437F01" w:rsidRDefault="00F3012E" w:rsidP="00695A7D">
            <w:pPr>
              <w:pStyle w:val="TableText"/>
              <w:spacing w:after="0"/>
              <w:rPr>
                <w:i/>
              </w:rPr>
            </w:pPr>
          </w:p>
        </w:tc>
        <w:tc>
          <w:tcPr>
            <w:tcW w:w="450" w:type="dxa"/>
            <w:tcBorders>
              <w:right w:val="nil"/>
            </w:tcBorders>
            <w:vAlign w:val="center"/>
          </w:tcPr>
          <w:p w14:paraId="0BD57D4C" w14:textId="77777777" w:rsidR="00F3012E" w:rsidRPr="00437F01" w:rsidRDefault="00F3012E" w:rsidP="00695A7D">
            <w:pPr>
              <w:pStyle w:val="TableText"/>
              <w:spacing w:after="0"/>
              <w:jc w:val="center"/>
            </w:pPr>
          </w:p>
        </w:tc>
        <w:tc>
          <w:tcPr>
            <w:tcW w:w="5760" w:type="dxa"/>
            <w:tcBorders>
              <w:top w:val="nil"/>
              <w:left w:val="nil"/>
              <w:bottom w:val="nil"/>
              <w:right w:val="nil"/>
            </w:tcBorders>
          </w:tcPr>
          <w:p w14:paraId="18347706" w14:textId="77777777" w:rsidR="00F3012E" w:rsidRPr="00437F01" w:rsidRDefault="00F3012E" w:rsidP="00695A7D">
            <w:pPr>
              <w:pStyle w:val="TableText"/>
              <w:spacing w:after="0"/>
              <w:rPr>
                <w:i/>
              </w:rPr>
            </w:pPr>
          </w:p>
        </w:tc>
      </w:tr>
      <w:tr w:rsidR="00F3012E" w:rsidRPr="007F470D" w14:paraId="40A7F190" w14:textId="77777777" w:rsidTr="00695A7D">
        <w:trPr>
          <w:cantSplit/>
        </w:trPr>
        <w:tc>
          <w:tcPr>
            <w:tcW w:w="2160" w:type="dxa"/>
            <w:vMerge w:val="restart"/>
            <w:vAlign w:val="center"/>
          </w:tcPr>
          <w:p w14:paraId="78BF4F60" w14:textId="77777777" w:rsidR="00F3012E" w:rsidRPr="00B928F5" w:rsidRDefault="00F3012E" w:rsidP="00695A7D">
            <w:pPr>
              <w:pStyle w:val="TableText"/>
              <w:spacing w:after="0"/>
              <w:rPr>
                <w:iCs/>
              </w:rPr>
            </w:pPr>
            <w:r w:rsidRPr="00437F01">
              <w:rPr>
                <w:i/>
              </w:rPr>
              <w:t>Recalculated number of Shares that each Warrant entitles to Subscribe for</w:t>
            </w:r>
          </w:p>
        </w:tc>
        <w:tc>
          <w:tcPr>
            <w:tcW w:w="450" w:type="dxa"/>
            <w:vMerge w:val="restart"/>
            <w:vAlign w:val="center"/>
          </w:tcPr>
          <w:p w14:paraId="5E55037E" w14:textId="77777777" w:rsidR="00F3012E" w:rsidRPr="00437F01" w:rsidRDefault="00F3012E" w:rsidP="00695A7D">
            <w:pPr>
              <w:pStyle w:val="TableText"/>
              <w:spacing w:after="0"/>
              <w:jc w:val="center"/>
            </w:pPr>
            <w:r w:rsidRPr="00437F01">
              <w:t>=</w:t>
            </w:r>
          </w:p>
        </w:tc>
        <w:tc>
          <w:tcPr>
            <w:tcW w:w="5760" w:type="dxa"/>
            <w:tcBorders>
              <w:top w:val="nil"/>
              <w:bottom w:val="single" w:sz="4" w:space="0" w:color="auto"/>
            </w:tcBorders>
          </w:tcPr>
          <w:p w14:paraId="7E73EF15" w14:textId="77777777" w:rsidR="00F3012E" w:rsidRPr="00437F01" w:rsidRDefault="00F3012E" w:rsidP="00695A7D">
            <w:pPr>
              <w:pStyle w:val="TableText"/>
              <w:spacing w:after="0"/>
            </w:pPr>
            <w:r w:rsidRPr="00437F01">
              <w:rPr>
                <w:i/>
              </w:rPr>
              <w:t>Previous number of Shares that each Warrant entitles to Subscribe for x (the average price of Share increased by the value of the purchase right)</w:t>
            </w:r>
          </w:p>
        </w:tc>
      </w:tr>
      <w:tr w:rsidR="00F3012E" w:rsidRPr="00437F01" w14:paraId="7F5B2D34" w14:textId="77777777" w:rsidTr="00695A7D">
        <w:trPr>
          <w:cantSplit/>
        </w:trPr>
        <w:tc>
          <w:tcPr>
            <w:tcW w:w="2160" w:type="dxa"/>
            <w:vMerge/>
          </w:tcPr>
          <w:p w14:paraId="05EB01C0" w14:textId="77777777" w:rsidR="00F3012E" w:rsidRPr="00437F01" w:rsidRDefault="00F3012E" w:rsidP="00695A7D">
            <w:pPr>
              <w:pStyle w:val="TableText"/>
              <w:spacing w:after="0"/>
            </w:pPr>
          </w:p>
        </w:tc>
        <w:tc>
          <w:tcPr>
            <w:tcW w:w="450" w:type="dxa"/>
            <w:vMerge/>
          </w:tcPr>
          <w:p w14:paraId="23AECD76" w14:textId="77777777" w:rsidR="00F3012E" w:rsidRPr="00437F01" w:rsidRDefault="00F3012E" w:rsidP="00695A7D">
            <w:pPr>
              <w:pStyle w:val="TableText"/>
              <w:spacing w:after="0"/>
            </w:pPr>
          </w:p>
        </w:tc>
        <w:tc>
          <w:tcPr>
            <w:tcW w:w="5760" w:type="dxa"/>
            <w:tcBorders>
              <w:top w:val="single" w:sz="4" w:space="0" w:color="auto"/>
              <w:bottom w:val="nil"/>
            </w:tcBorders>
          </w:tcPr>
          <w:p w14:paraId="040CEFE1" w14:textId="77777777" w:rsidR="00F3012E" w:rsidRPr="00437F01" w:rsidRDefault="00F3012E" w:rsidP="00695A7D">
            <w:pPr>
              <w:pStyle w:val="TableText"/>
              <w:spacing w:after="0"/>
            </w:pPr>
            <w:r w:rsidRPr="00437F01">
              <w:rPr>
                <w:i/>
              </w:rPr>
              <w:t>Average price of Share</w:t>
            </w:r>
          </w:p>
        </w:tc>
      </w:tr>
      <w:tr w:rsidR="00F3012E" w:rsidRPr="00437F01" w14:paraId="67E1ABBA" w14:textId="77777777" w:rsidTr="00695A7D">
        <w:trPr>
          <w:cantSplit/>
        </w:trPr>
        <w:tc>
          <w:tcPr>
            <w:tcW w:w="2160" w:type="dxa"/>
          </w:tcPr>
          <w:p w14:paraId="67E21302" w14:textId="77777777" w:rsidR="00F3012E" w:rsidRPr="00437F01" w:rsidRDefault="00F3012E" w:rsidP="00695A7D">
            <w:pPr>
              <w:pStyle w:val="TableText"/>
              <w:spacing w:after="0"/>
            </w:pPr>
          </w:p>
        </w:tc>
        <w:tc>
          <w:tcPr>
            <w:tcW w:w="450" w:type="dxa"/>
            <w:tcBorders>
              <w:right w:val="nil"/>
            </w:tcBorders>
          </w:tcPr>
          <w:p w14:paraId="67001BF3" w14:textId="77777777" w:rsidR="00F3012E" w:rsidRPr="00437F01" w:rsidRDefault="00F3012E" w:rsidP="00695A7D">
            <w:pPr>
              <w:pStyle w:val="TableText"/>
              <w:spacing w:after="0"/>
            </w:pPr>
          </w:p>
        </w:tc>
        <w:tc>
          <w:tcPr>
            <w:tcW w:w="5760" w:type="dxa"/>
            <w:tcBorders>
              <w:top w:val="nil"/>
              <w:left w:val="nil"/>
              <w:bottom w:val="nil"/>
              <w:right w:val="nil"/>
            </w:tcBorders>
          </w:tcPr>
          <w:p w14:paraId="0A3D2C85" w14:textId="77777777" w:rsidR="00F3012E" w:rsidRPr="00437F01" w:rsidRDefault="00F3012E" w:rsidP="00695A7D">
            <w:pPr>
              <w:pStyle w:val="TableText"/>
              <w:spacing w:after="0"/>
              <w:rPr>
                <w:i/>
              </w:rPr>
            </w:pPr>
          </w:p>
        </w:tc>
      </w:tr>
    </w:tbl>
    <w:p w14:paraId="5785EE5D" w14:textId="77777777" w:rsidR="00F3012E" w:rsidRPr="00437F01" w:rsidRDefault="00F3012E" w:rsidP="00F3012E">
      <w:pPr>
        <w:pStyle w:val="BodyText"/>
        <w:ind w:left="720"/>
      </w:pPr>
      <w:r w:rsidRPr="00A05113">
        <w:rPr>
          <w:lang w:val="sv-SE"/>
        </w:rPr>
        <w:t>Aktiens</w:t>
      </w:r>
      <w:r w:rsidRPr="00A50800">
        <w:rPr>
          <w:lang w:val="sv-SE"/>
        </w:rPr>
        <w:t xml:space="preserve"> genomsnittskurs beräknas i enlighet med vad som angivits i </w:t>
      </w:r>
      <w:r>
        <w:rPr>
          <w:lang w:val="sv-SE"/>
        </w:rPr>
        <w:t>punkt</w:t>
      </w:r>
      <w:r w:rsidRPr="00A50800">
        <w:rPr>
          <w:lang w:val="sv-SE"/>
        </w:rPr>
        <w:t xml:space="preserve">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xml:space="preserve"> ovan.</w:t>
      </w:r>
      <w:r w:rsidRPr="00A50800">
        <w:rPr>
          <w:lang w:val="sv-SE"/>
        </w:rPr>
        <w:br/>
      </w:r>
      <w:r w:rsidRPr="00437F01">
        <w:rPr>
          <w:i/>
        </w:rPr>
        <w:t xml:space="preserve">The average price of Share is calculated in accordance with the provisions set forth in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above.</w:t>
      </w:r>
    </w:p>
    <w:p w14:paraId="48163FEC" w14:textId="77777777" w:rsidR="00F3012E" w:rsidRPr="00437F01" w:rsidRDefault="00F3012E" w:rsidP="00F3012E">
      <w:pPr>
        <w:pStyle w:val="BodyText"/>
        <w:ind w:left="720"/>
      </w:pPr>
      <w:r w:rsidRPr="00A50800">
        <w:rPr>
          <w:lang w:val="sv-SE"/>
        </w:rPr>
        <w:t xml:space="preserve">För det fall att aktieägarna erhållit inköpsrätter och handel med dessa ägt rum, </w:t>
      </w:r>
      <w:r>
        <w:rPr>
          <w:lang w:val="sv-SE"/>
        </w:rPr>
        <w:t>ska</w:t>
      </w:r>
      <w:r w:rsidRPr="00A50800">
        <w:rPr>
          <w:lang w:val="sv-SE"/>
        </w:rPr>
        <w:t xml:space="preserve"> värdet av rätten </w:t>
      </w:r>
      <w:r w:rsidRPr="00A05113">
        <w:rPr>
          <w:lang w:val="sv-SE"/>
        </w:rPr>
        <w:t>till</w:t>
      </w:r>
      <w:r w:rsidRPr="00A50800">
        <w:rPr>
          <w:lang w:val="sv-SE"/>
        </w:rPr>
        <w:t xml:space="preserve"> deltagande i erbjudandet anses motsvara inköpsrättens värde. Inköpsrättens värde </w:t>
      </w:r>
      <w:r>
        <w:rPr>
          <w:lang w:val="sv-SE"/>
        </w:rPr>
        <w:t>ska</w:t>
      </w:r>
      <w:r w:rsidRPr="00A50800">
        <w:rPr>
          <w:lang w:val="sv-SE"/>
        </w:rPr>
        <w:t xml:space="preserve"> härvid anses motsvara genomsnittet av det för varje handelsdag under anmälningstiden framräknade medeltalet av den under dagen noterade högsta och lägsta betalkursen för inköpsrätten enligt marknadsnotering. I avsaknad av notering av betalkurs </w:t>
      </w:r>
      <w:r>
        <w:rPr>
          <w:lang w:val="sv-SE"/>
        </w:rPr>
        <w:t>ska</w:t>
      </w:r>
      <w:r w:rsidRPr="00A50800">
        <w:rPr>
          <w:lang w:val="sv-SE"/>
        </w:rPr>
        <w:t xml:space="preserve"> i stället den som slutkurs noterade köpkursen ingå i beräkningen. Dag utan notering av vare sig betalkurs eller köpkurs </w:t>
      </w:r>
      <w:r>
        <w:rPr>
          <w:lang w:val="sv-SE"/>
        </w:rPr>
        <w:t>ska</w:t>
      </w:r>
      <w:r w:rsidRPr="00A50800">
        <w:rPr>
          <w:lang w:val="sv-SE"/>
        </w:rPr>
        <w:t xml:space="preserve"> inte ingå i beräkningen.</w:t>
      </w:r>
      <w:r w:rsidRPr="00A50800">
        <w:rPr>
          <w:lang w:val="sv-SE"/>
        </w:rPr>
        <w:br/>
      </w:r>
      <w:r w:rsidRPr="00437F01">
        <w:rPr>
          <w:i/>
        </w:rPr>
        <w:t xml:space="preserve">In the event the shareholders received purchase rights </w:t>
      </w:r>
      <w:proofErr w:type="gramStart"/>
      <w:r w:rsidRPr="00437F01">
        <w:rPr>
          <w:i/>
        </w:rPr>
        <w:t>and trading</w:t>
      </w:r>
      <w:proofErr w:type="gramEnd"/>
      <w:r w:rsidRPr="00437F01">
        <w:rPr>
          <w:i/>
        </w:rPr>
        <w:t xml:space="preserve"> in such rights has taken place, the value of the right to participate in the offer shall be deemed to be equivalent to the value of the purchase right. The value of the purchase right in such circumstances shall be deemed to correspond to the average mean value of the highest and lowest prices paid each trading day during the application period according to market quotation. In the event no paid price is quoted, the bid price quoted as the closing price shall be used in the calculation instead. Days when no paid price or bid price is quoted, shall be excluded from such calculation.</w:t>
      </w:r>
    </w:p>
    <w:p w14:paraId="189F2E48" w14:textId="77777777" w:rsidR="00F3012E" w:rsidRPr="00437F01" w:rsidRDefault="00F3012E" w:rsidP="00F3012E">
      <w:pPr>
        <w:pStyle w:val="BodyText"/>
        <w:ind w:left="720"/>
      </w:pPr>
      <w:r w:rsidRPr="00A50800">
        <w:rPr>
          <w:lang w:val="sv-SE"/>
        </w:rPr>
        <w:t xml:space="preserve">För det </w:t>
      </w:r>
      <w:proofErr w:type="gramStart"/>
      <w:r w:rsidRPr="00A50800">
        <w:rPr>
          <w:lang w:val="sv-SE"/>
        </w:rPr>
        <w:t>fall aktieägarna</w:t>
      </w:r>
      <w:proofErr w:type="gramEnd"/>
      <w:r w:rsidRPr="00A50800">
        <w:rPr>
          <w:lang w:val="sv-SE"/>
        </w:rPr>
        <w:t xml:space="preserve"> ej erhållit inköpsrätter eller eljest sådan handel med inköpsrätter som avses i föregående stycke ej ägt rum, </w:t>
      </w:r>
      <w:r>
        <w:rPr>
          <w:lang w:val="sv-SE"/>
        </w:rPr>
        <w:t>ska</w:t>
      </w:r>
      <w:r w:rsidRPr="00A50800">
        <w:rPr>
          <w:lang w:val="sv-SE"/>
        </w:rPr>
        <w:t xml:space="preserve"> omräkning av Teckningskursen och det antal Aktier som varje Teckningsoption berättigar till Teckning av </w:t>
      </w:r>
      <w:proofErr w:type="gramStart"/>
      <w:r w:rsidRPr="00A50800">
        <w:rPr>
          <w:lang w:val="sv-SE"/>
        </w:rPr>
        <w:t>ske</w:t>
      </w:r>
      <w:proofErr w:type="gramEnd"/>
      <w:r w:rsidRPr="00A50800">
        <w:rPr>
          <w:lang w:val="sv-SE"/>
        </w:rPr>
        <w:t xml:space="preserve"> med tillämpning så långt möjligt av de principer som anges ovan i de</w:t>
      </w:r>
      <w:r>
        <w:rPr>
          <w:lang w:val="sv-SE"/>
        </w:rPr>
        <w:t>nn</w:t>
      </w:r>
      <w:r w:rsidRPr="00A50800">
        <w:rPr>
          <w:lang w:val="sv-SE"/>
        </w:rPr>
        <w:t xml:space="preserve">a </w:t>
      </w:r>
      <w:r>
        <w:rPr>
          <w:lang w:val="sv-SE"/>
        </w:rPr>
        <w:t>punkt</w:t>
      </w:r>
      <w:r w:rsidRPr="00A50800">
        <w:rPr>
          <w:lang w:val="sv-SE"/>
        </w:rPr>
        <w:t xml:space="preserve"> </w:t>
      </w:r>
      <w:r>
        <w:rPr>
          <w:szCs w:val="22"/>
        </w:rPr>
        <w:fldChar w:fldCharType="begin"/>
      </w:r>
      <w:r>
        <w:rPr>
          <w:lang w:val="sv-SE"/>
        </w:rPr>
        <w:instrText xml:space="preserve"> REF _Ref445997940 \r \h </w:instrText>
      </w:r>
      <w:r>
        <w:rPr>
          <w:szCs w:val="22"/>
        </w:rPr>
      </w:r>
      <w:r>
        <w:rPr>
          <w:szCs w:val="22"/>
        </w:rPr>
        <w:fldChar w:fldCharType="separate"/>
      </w:r>
      <w:r>
        <w:rPr>
          <w:lang w:val="sv-SE"/>
        </w:rPr>
        <w:t>8.2.6</w:t>
      </w:r>
      <w:r>
        <w:rPr>
          <w:szCs w:val="22"/>
        </w:rPr>
        <w:fldChar w:fldCharType="end"/>
      </w:r>
      <w:r w:rsidRPr="00A50800">
        <w:rPr>
          <w:lang w:val="sv-SE"/>
        </w:rPr>
        <w:t xml:space="preserve">, varvid följande </w:t>
      </w:r>
      <w:r>
        <w:rPr>
          <w:lang w:val="sv-SE"/>
        </w:rPr>
        <w:t>ska</w:t>
      </w:r>
      <w:r w:rsidRPr="00A50800">
        <w:rPr>
          <w:lang w:val="sv-SE"/>
        </w:rPr>
        <w:t xml:space="preserve"> gälla. Om en marknadsnotering sker av de värdepapper eller rättigheter som erbjuds aktieägarna, </w:t>
      </w:r>
      <w:r>
        <w:rPr>
          <w:lang w:val="sv-SE"/>
        </w:rPr>
        <w:t>ska</w:t>
      </w:r>
      <w:r w:rsidRPr="00A50800">
        <w:rPr>
          <w:lang w:val="sv-SE"/>
        </w:rPr>
        <w:t xml:space="preserve"> värdet av rätten till deltagande i erbjudandet anses motsvara genomsnittet av det för varje handelsdag under 25 handelsdagar från och med första dag för marknadsnotering framräknade medeltalet av den under dagen noterade högsta och lägsta betalkursen vid affärer i dessa värdepapper eller rättigheter enligt marknadsnotering, i förekommande fall minskat med det vederlag som betalats för dessa i samband med erbjudandet. I avsaknad av notering av betalkurs </w:t>
      </w:r>
      <w:r>
        <w:rPr>
          <w:lang w:val="sv-SE"/>
        </w:rPr>
        <w:t>ska</w:t>
      </w:r>
      <w:r w:rsidRPr="00A50800">
        <w:rPr>
          <w:lang w:val="sv-SE"/>
        </w:rPr>
        <w:t xml:space="preserve"> i stället den som slutkurs noterade köpkursen ingå i beräkningen. Noteras varken betalkurs eller köpkurs under viss eller vissa dagar, </w:t>
      </w:r>
      <w:r>
        <w:rPr>
          <w:lang w:val="sv-SE"/>
        </w:rPr>
        <w:t>ska</w:t>
      </w:r>
      <w:r w:rsidRPr="00A50800">
        <w:rPr>
          <w:lang w:val="sv-SE"/>
        </w:rPr>
        <w:t xml:space="preserve"> vid beräkningen av värdet av rätten till deltagande i </w:t>
      </w:r>
      <w:r w:rsidRPr="00A50800">
        <w:rPr>
          <w:lang w:val="sv-SE"/>
        </w:rPr>
        <w:lastRenderedPageBreak/>
        <w:t xml:space="preserve">erbjudandet bortses från sådan dag. Den i erbjudandet fastställda anmälningstiden </w:t>
      </w:r>
      <w:r>
        <w:rPr>
          <w:lang w:val="sv-SE"/>
        </w:rPr>
        <w:t>ska</w:t>
      </w:r>
      <w:r w:rsidRPr="00A50800">
        <w:rPr>
          <w:lang w:val="sv-SE"/>
        </w:rPr>
        <w:t xml:space="preserve"> vid omräkning av Teckningskurs och antal Aktier enligt detta stycke anses motsvara den ovan i </w:t>
      </w:r>
      <w:r w:rsidRPr="00A05113">
        <w:rPr>
          <w:lang w:val="sv-SE"/>
        </w:rPr>
        <w:t>detta</w:t>
      </w:r>
      <w:r w:rsidRPr="00A50800">
        <w:rPr>
          <w:lang w:val="sv-SE"/>
        </w:rPr>
        <w:t xml:space="preserve"> stycke nämnda perioden om 25 handelsdagar. Om sådan marknadsnotering ej äger rum, </w:t>
      </w:r>
      <w:r>
        <w:rPr>
          <w:lang w:val="sv-SE"/>
        </w:rPr>
        <w:t>ska</w:t>
      </w:r>
      <w:r w:rsidRPr="00A50800">
        <w:rPr>
          <w:lang w:val="sv-SE"/>
        </w:rPr>
        <w:t xml:space="preserve"> värdet av rätten till deltagande i erbjudandet så långt möjligt fastställas med ledning av den marknadsvärdesförändring avseende Bolagets Aktier som kan bedömas ha uppkommit till följd av erbjudandet.</w:t>
      </w:r>
      <w:r w:rsidRPr="00A50800">
        <w:rPr>
          <w:lang w:val="sv-SE"/>
        </w:rPr>
        <w:br/>
      </w:r>
      <w:r w:rsidRPr="00437F01">
        <w:rPr>
          <w:i/>
        </w:rPr>
        <w:t xml:space="preserve">In the event the shareholders have not received purchase rights or where such trading in purchase rights mentioned in the previous paragraph has otherwise not taken place, recalculation of the Subscription Price and number of Shares shall take place, thereby applying, to the greatest extent possible, the principles set forth above in this section </w:t>
      </w:r>
      <w:r>
        <w:rPr>
          <w:i/>
          <w:szCs w:val="22"/>
        </w:rPr>
        <w:fldChar w:fldCharType="begin"/>
      </w:r>
      <w:r>
        <w:rPr>
          <w:i/>
        </w:rPr>
        <w:instrText xml:space="preserve"> REF _Ref445997940 \r \h </w:instrText>
      </w:r>
      <w:r>
        <w:rPr>
          <w:i/>
          <w:szCs w:val="22"/>
        </w:rPr>
      </w:r>
      <w:r>
        <w:rPr>
          <w:i/>
          <w:szCs w:val="22"/>
        </w:rPr>
        <w:fldChar w:fldCharType="separate"/>
      </w:r>
      <w:r>
        <w:rPr>
          <w:i/>
        </w:rPr>
        <w:t>8.2.6</w:t>
      </w:r>
      <w:r>
        <w:rPr>
          <w:i/>
          <w:szCs w:val="22"/>
        </w:rPr>
        <w:fldChar w:fldCharType="end"/>
      </w:r>
      <w:r w:rsidRPr="00437F01">
        <w:rPr>
          <w:i/>
        </w:rPr>
        <w:t xml:space="preserve">, whereupon the following shall apply. If market quotation of the securities or rights which are offered to the shareholders takes place, the value of the right to participate in the offer shall be deemed to correspond to the average of the calculated mean values, for each trading day during a period of 25 trading days commencing on the first day for the market quotation, of the highest and lowest price paid during the said day, for transactions in these securities or rights at the market place, where applicable, decreased by any consideration paid for such securities or rights in connection with the offer. In the absence of a quotation of paid price, the last bid price quoted shall be used in the calculation instead. If neither a selling price nor a bid price is quoted on certain given day or days, such day shall be excluded from the calculation of the value of the right to participate in the offer. When recalculation of the Subscription Price and the number of Shares is made according to this paragraph, the </w:t>
      </w:r>
      <w:proofErr w:type="gramStart"/>
      <w:r w:rsidRPr="00437F01">
        <w:rPr>
          <w:i/>
        </w:rPr>
        <w:t>above mentioned</w:t>
      </w:r>
      <w:proofErr w:type="gramEnd"/>
      <w:r w:rsidRPr="00437F01">
        <w:rPr>
          <w:i/>
        </w:rPr>
        <w:t xml:space="preserve"> period of 25 trading days shall be deemed to correspond to the application period determined in the offer. In the event no such market quotation takes place, the value of the right to participate in the offer shall, to the greatest extent possible, be based upon the change in the market value of the Company's Shares, which may be deemed to have occurred </w:t>
      </w:r>
      <w:proofErr w:type="gramStart"/>
      <w:r w:rsidRPr="00437F01">
        <w:rPr>
          <w:i/>
        </w:rPr>
        <w:t>as a consequence of</w:t>
      </w:r>
      <w:proofErr w:type="gramEnd"/>
      <w:r w:rsidRPr="00437F01">
        <w:rPr>
          <w:i/>
        </w:rPr>
        <w:t xml:space="preserve"> the offer.</w:t>
      </w:r>
    </w:p>
    <w:p w14:paraId="2DBF4910" w14:textId="77777777" w:rsidR="00F3012E" w:rsidRPr="00437F01" w:rsidRDefault="00F3012E" w:rsidP="00F3012E">
      <w:pPr>
        <w:pStyle w:val="BodyText"/>
        <w:ind w:left="720"/>
      </w:pPr>
      <w:r w:rsidRPr="00A05113">
        <w:rPr>
          <w:lang w:val="sv-SE"/>
        </w:rPr>
        <w:t>Enligt</w:t>
      </w:r>
      <w:r w:rsidRPr="00A50800">
        <w:rPr>
          <w:lang w:val="sv-SE"/>
        </w:rPr>
        <w:t xml:space="preserve"> ovan omräknad Teckningskurs och omräknat antal Aktier </w:t>
      </w:r>
      <w:r>
        <w:rPr>
          <w:lang w:val="sv-SE"/>
        </w:rPr>
        <w:t>ska</w:t>
      </w:r>
      <w:r w:rsidRPr="00A50800">
        <w:rPr>
          <w:lang w:val="sv-SE"/>
        </w:rPr>
        <w:t xml:space="preserve"> fastställas av Bolaget snarast möjligt efter erbjudandetidens utgång och </w:t>
      </w:r>
      <w:r>
        <w:rPr>
          <w:lang w:val="sv-SE"/>
        </w:rPr>
        <w:t>ska</w:t>
      </w:r>
      <w:r w:rsidRPr="00A50800">
        <w:rPr>
          <w:lang w:val="sv-SE"/>
        </w:rPr>
        <w:t xml:space="preserve"> tillämpas vid Teckning, som verkställs efter ett sådant fastställande har skett.</w:t>
      </w:r>
      <w:r w:rsidRPr="00A50800">
        <w:rPr>
          <w:lang w:val="sv-SE"/>
        </w:rPr>
        <w:br/>
      </w:r>
      <w:r w:rsidRPr="00437F01">
        <w:rPr>
          <w:i/>
        </w:rPr>
        <w:t xml:space="preserve">The Subscription Price and number of Shares recalculated in accordance with the above shall be determined by the Company as soon as possible after the expiration of the </w:t>
      </w:r>
      <w:proofErr w:type="gramStart"/>
      <w:r w:rsidRPr="00437F01">
        <w:rPr>
          <w:i/>
        </w:rPr>
        <w:t>offer and</w:t>
      </w:r>
      <w:proofErr w:type="gramEnd"/>
      <w:r w:rsidRPr="00437F01">
        <w:rPr>
          <w:i/>
        </w:rPr>
        <w:t xml:space="preserve"> shall be applied on Subscriptions effected after such determination.</w:t>
      </w:r>
    </w:p>
    <w:p w14:paraId="1E62BA8A" w14:textId="77777777" w:rsidR="00F3012E" w:rsidRPr="00437F01" w:rsidRDefault="00F3012E" w:rsidP="00F3012E">
      <w:pPr>
        <w:pStyle w:val="BodyText"/>
        <w:ind w:left="720"/>
      </w:pPr>
      <w:r w:rsidRPr="00A50800">
        <w:rPr>
          <w:lang w:val="sv-SE"/>
        </w:rPr>
        <w:t xml:space="preserve">Vid </w:t>
      </w:r>
      <w:r w:rsidRPr="00A05113">
        <w:rPr>
          <w:lang w:val="sv-SE"/>
        </w:rPr>
        <w:t>anmälan</w:t>
      </w:r>
      <w:r w:rsidRPr="00A50800">
        <w:rPr>
          <w:lang w:val="sv-SE"/>
        </w:rPr>
        <w:t xml:space="preserve"> om Teckning som sker under tiden till dess att omräknad Teckningskurs och omräknat antal Aktier varje Teckningsoption berättigar till Teckning av fastställts, </w:t>
      </w:r>
      <w:r>
        <w:rPr>
          <w:lang w:val="sv-SE"/>
        </w:rPr>
        <w:t>ska</w:t>
      </w:r>
      <w:r w:rsidRPr="00A50800">
        <w:rPr>
          <w:lang w:val="sv-SE"/>
        </w:rPr>
        <w:t xml:space="preserve"> bestämmelserna i </w:t>
      </w:r>
      <w:r>
        <w:rPr>
          <w:lang w:val="sv-SE"/>
        </w:rPr>
        <w:t>punkt</w:t>
      </w:r>
      <w:r w:rsidRPr="00A50800">
        <w:rPr>
          <w:lang w:val="sv-SE"/>
        </w:rPr>
        <w:t xml:space="preserve">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sista stycket ovan, äga motsvarande tillämpning.</w:t>
      </w:r>
      <w:r w:rsidRPr="00A50800">
        <w:rPr>
          <w:lang w:val="sv-SE"/>
        </w:rPr>
        <w:br/>
      </w:r>
      <w:r w:rsidRPr="00437F01">
        <w:rPr>
          <w:i/>
        </w:rPr>
        <w:t xml:space="preserve">In relation to Subscriptions which are effected during the period until the re-calculated Subscription Price and recalculated number of Shares have been determined, the provisions set forth in the final paragraph of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above shall apply correspondingly.</w:t>
      </w:r>
    </w:p>
    <w:p w14:paraId="4C9AFDCC" w14:textId="77777777" w:rsidR="00F3012E" w:rsidRPr="00437F01" w:rsidRDefault="00F3012E" w:rsidP="006350FE">
      <w:pPr>
        <w:pStyle w:val="BodyText"/>
        <w:numPr>
          <w:ilvl w:val="2"/>
          <w:numId w:val="56"/>
        </w:numPr>
        <w:spacing w:after="0"/>
        <w:rPr>
          <w:b/>
        </w:rPr>
      </w:pPr>
      <w:bookmarkStart w:id="49" w:name="_Ref167358698"/>
      <w:proofErr w:type="spellStart"/>
      <w:r w:rsidRPr="006B6AC0">
        <w:rPr>
          <w:b/>
          <w:lang w:val="en-US"/>
        </w:rPr>
        <w:t>Optionsinnehavares</w:t>
      </w:r>
      <w:proofErr w:type="spellEnd"/>
      <w:r w:rsidRPr="006B6AC0">
        <w:rPr>
          <w:b/>
          <w:lang w:val="en-US"/>
        </w:rPr>
        <w:t xml:space="preserve"> </w:t>
      </w:r>
      <w:proofErr w:type="spellStart"/>
      <w:r w:rsidRPr="006B6AC0">
        <w:rPr>
          <w:b/>
          <w:lang w:val="en-US"/>
        </w:rPr>
        <w:t>rätt</w:t>
      </w:r>
      <w:proofErr w:type="spellEnd"/>
      <w:r w:rsidRPr="006B6AC0">
        <w:rPr>
          <w:b/>
          <w:lang w:val="en-US"/>
        </w:rPr>
        <w:t xml:space="preserve"> vid </w:t>
      </w:r>
      <w:proofErr w:type="spellStart"/>
      <w:r w:rsidRPr="006B6AC0">
        <w:rPr>
          <w:b/>
          <w:lang w:val="en-US"/>
        </w:rPr>
        <w:t>nyemission</w:t>
      </w:r>
      <w:proofErr w:type="spellEnd"/>
      <w:r w:rsidRPr="006B6AC0">
        <w:rPr>
          <w:b/>
          <w:lang w:val="en-US"/>
        </w:rPr>
        <w:t xml:space="preserve"> av </w:t>
      </w:r>
      <w:proofErr w:type="spellStart"/>
      <w:r w:rsidRPr="006B6AC0">
        <w:rPr>
          <w:b/>
          <w:lang w:val="en-US"/>
        </w:rPr>
        <w:t>teckningsoptioner</w:t>
      </w:r>
      <w:proofErr w:type="spellEnd"/>
      <w:r w:rsidRPr="006B6AC0">
        <w:rPr>
          <w:b/>
          <w:lang w:val="en-US"/>
        </w:rPr>
        <w:t xml:space="preserve"> </w:t>
      </w:r>
      <w:proofErr w:type="spellStart"/>
      <w:r w:rsidRPr="006B6AC0">
        <w:rPr>
          <w:b/>
          <w:lang w:val="en-US"/>
        </w:rPr>
        <w:t>eller</w:t>
      </w:r>
      <w:proofErr w:type="spellEnd"/>
      <w:r w:rsidRPr="006B6AC0">
        <w:rPr>
          <w:b/>
          <w:lang w:val="en-US"/>
        </w:rPr>
        <w:t xml:space="preserve"> </w:t>
      </w:r>
      <w:proofErr w:type="spellStart"/>
      <w:r w:rsidRPr="006B6AC0">
        <w:rPr>
          <w:b/>
          <w:lang w:val="en-US"/>
        </w:rPr>
        <w:t>konvertibler</w:t>
      </w:r>
      <w:proofErr w:type="spellEnd"/>
      <w:r w:rsidRPr="006B6AC0">
        <w:rPr>
          <w:b/>
          <w:lang w:val="en-US"/>
        </w:rPr>
        <w:t xml:space="preserve"> med </w:t>
      </w:r>
      <w:proofErr w:type="spellStart"/>
      <w:r w:rsidRPr="006B6AC0">
        <w:rPr>
          <w:b/>
          <w:lang w:val="en-US"/>
        </w:rPr>
        <w:t>företrädesrätt</w:t>
      </w:r>
      <w:proofErr w:type="spellEnd"/>
      <w:r w:rsidRPr="00437F01">
        <w:rPr>
          <w:b/>
        </w:rPr>
        <w:t>/</w:t>
      </w:r>
      <w:r>
        <w:rPr>
          <w:b/>
          <w:i/>
        </w:rPr>
        <w:t>Warrant Holder</w:t>
      </w:r>
      <w:r w:rsidRPr="00437F01">
        <w:rPr>
          <w:b/>
          <w:i/>
        </w:rPr>
        <w:t>s' rights at an issue of warrants and convertibles in accordance with the shareholders' priority rights</w:t>
      </w:r>
      <w:bookmarkEnd w:id="49"/>
    </w:p>
    <w:p w14:paraId="710767C1" w14:textId="77777777" w:rsidR="00F3012E" w:rsidRPr="00437F01" w:rsidRDefault="00F3012E" w:rsidP="00F3012E">
      <w:pPr>
        <w:pStyle w:val="BodyText"/>
        <w:ind w:left="720"/>
      </w:pPr>
      <w:r w:rsidRPr="00A05113">
        <w:rPr>
          <w:lang w:val="sv-SE"/>
        </w:rPr>
        <w:t>Genomför</w:t>
      </w:r>
      <w:r w:rsidRPr="00A50800">
        <w:rPr>
          <w:lang w:val="sv-SE"/>
        </w:rPr>
        <w:t xml:space="preserve"> Bolaget en </w:t>
      </w:r>
      <w:r w:rsidRPr="00A50800">
        <w:rPr>
          <w:u w:val="single"/>
          <w:lang w:val="sv-SE"/>
        </w:rPr>
        <w:t xml:space="preserve">nyemission eller emission enligt 14 kap. eller 15 kap. </w:t>
      </w:r>
      <w:r>
        <w:rPr>
          <w:u w:val="single"/>
          <w:lang w:val="sv-SE"/>
        </w:rPr>
        <w:t>A</w:t>
      </w:r>
      <w:r w:rsidRPr="00A50800">
        <w:rPr>
          <w:u w:val="single"/>
          <w:lang w:val="sv-SE"/>
        </w:rPr>
        <w:t>ktiebolagslagen – med företrädesrätt för aktieägarna</w:t>
      </w:r>
      <w:r w:rsidRPr="00A50800">
        <w:rPr>
          <w:lang w:val="sv-SE"/>
        </w:rPr>
        <w:t xml:space="preserve"> och mot kontant betalning eller genom kvittning – äger Bolaget besluta att ge samtliga </w:t>
      </w:r>
      <w:r>
        <w:rPr>
          <w:lang w:val="sv-SE"/>
        </w:rPr>
        <w:t>Optionsinnehavare</w:t>
      </w:r>
      <w:r w:rsidRPr="00A50800">
        <w:rPr>
          <w:lang w:val="sv-SE"/>
        </w:rPr>
        <w:t xml:space="preserve"> </w:t>
      </w:r>
      <w:r>
        <w:rPr>
          <w:lang w:val="sv-SE"/>
        </w:rPr>
        <w:t xml:space="preserve">av </w:t>
      </w:r>
      <w:r w:rsidRPr="00A50800">
        <w:rPr>
          <w:lang w:val="sv-SE"/>
        </w:rPr>
        <w:t xml:space="preserve">samma företrädesrätt som enligt beslutet tillkommer aktieägarna. Därvid </w:t>
      </w:r>
      <w:r>
        <w:rPr>
          <w:lang w:val="sv-SE"/>
        </w:rPr>
        <w:t>ska</w:t>
      </w:r>
      <w:r w:rsidRPr="00A50800">
        <w:rPr>
          <w:lang w:val="sv-SE"/>
        </w:rPr>
        <w:t xml:space="preserve"> varje </w:t>
      </w:r>
      <w:r>
        <w:rPr>
          <w:lang w:val="sv-SE"/>
        </w:rPr>
        <w:t>Optionsinnehavare</w:t>
      </w:r>
      <w:r w:rsidRPr="00A50800">
        <w:rPr>
          <w:lang w:val="sv-SE"/>
        </w:rPr>
        <w:t xml:space="preserve">, oaktat sålunda att Teckning ej verkställts, anses vara ägare till det antal Aktier som </w:t>
      </w:r>
      <w:r>
        <w:rPr>
          <w:lang w:val="sv-SE"/>
        </w:rPr>
        <w:t>Optionsinnehavaren</w:t>
      </w:r>
      <w:r w:rsidRPr="00A50800">
        <w:rPr>
          <w:lang w:val="sv-SE"/>
        </w:rPr>
        <w:t xml:space="preserve"> skulle ha erhållit, om Teckning på grund av Teckningsoption verkställts av det antal Aktier, som varje Teckningsoption berättigade till Teckning av vid tidpunkten för beslutet om emission.</w:t>
      </w:r>
      <w:r w:rsidRPr="00A50800">
        <w:rPr>
          <w:lang w:val="sv-SE"/>
        </w:rPr>
        <w:br/>
      </w:r>
      <w:r w:rsidRPr="00437F01">
        <w:rPr>
          <w:i/>
        </w:rPr>
        <w:t xml:space="preserve">Where the Company carries out a </w:t>
      </w:r>
      <w:r w:rsidRPr="00437F01">
        <w:rPr>
          <w:i/>
          <w:u w:val="single"/>
        </w:rPr>
        <w:t xml:space="preserve">new share issue or an issue in accordance with Ch. 14 or Ch. 15 of the </w:t>
      </w:r>
      <w:r>
        <w:rPr>
          <w:i/>
          <w:u w:val="single"/>
        </w:rPr>
        <w:t xml:space="preserve">Swedish </w:t>
      </w:r>
      <w:r w:rsidRPr="00437F01">
        <w:rPr>
          <w:i/>
          <w:u w:val="single"/>
        </w:rPr>
        <w:t>Companies Act – with priority rights for the shareholders</w:t>
      </w:r>
      <w:r w:rsidRPr="00437F01">
        <w:rPr>
          <w:i/>
        </w:rPr>
        <w:t xml:space="preserve"> to subscribe for new Shares in exchange for cash payment or payment through set-off of claims – the </w:t>
      </w:r>
      <w:r w:rsidRPr="00437F01">
        <w:rPr>
          <w:i/>
        </w:rPr>
        <w:lastRenderedPageBreak/>
        <w:t xml:space="preserve">Company is entitled to decide that all </w:t>
      </w:r>
      <w:r>
        <w:rPr>
          <w:i/>
        </w:rPr>
        <w:t>Warrant Holder</w:t>
      </w:r>
      <w:r w:rsidRPr="00437F01">
        <w:rPr>
          <w:i/>
        </w:rPr>
        <w:t xml:space="preserve">s are entitled to the same priority rights that are bestowed upon the shareholders. In connection with this, each </w:t>
      </w:r>
      <w:r>
        <w:rPr>
          <w:i/>
        </w:rPr>
        <w:t>Warrant Holder</w:t>
      </w:r>
      <w:r w:rsidRPr="00437F01">
        <w:rPr>
          <w:i/>
        </w:rPr>
        <w:t xml:space="preserve">, disregarding that Subscription has not been made, will be considered as owners of the number of Shares that the </w:t>
      </w:r>
      <w:r>
        <w:rPr>
          <w:i/>
        </w:rPr>
        <w:t>Warrant Holder</w:t>
      </w:r>
      <w:r w:rsidRPr="00437F01">
        <w:rPr>
          <w:i/>
        </w:rPr>
        <w:t xml:space="preserve"> would have received if the Subscription had been executed before the issue.</w:t>
      </w:r>
    </w:p>
    <w:p w14:paraId="44243F7D" w14:textId="77777777" w:rsidR="00F3012E" w:rsidRPr="00437F01" w:rsidRDefault="00F3012E" w:rsidP="00F3012E">
      <w:pPr>
        <w:pStyle w:val="BodyText"/>
        <w:ind w:left="720"/>
      </w:pPr>
      <w:r w:rsidRPr="00A05113">
        <w:rPr>
          <w:lang w:val="sv-SE"/>
        </w:rPr>
        <w:t>Skulle</w:t>
      </w:r>
      <w:r w:rsidRPr="00A50800">
        <w:rPr>
          <w:lang w:val="sv-SE"/>
        </w:rPr>
        <w:t xml:space="preserve"> Bolaget besluta att till aktieägarna rikta ett sådant erbjudande som avses i </w:t>
      </w:r>
      <w:r>
        <w:rPr>
          <w:lang w:val="sv-SE"/>
        </w:rPr>
        <w:t>punkt</w:t>
      </w:r>
      <w:r w:rsidRPr="00A50800">
        <w:rPr>
          <w:lang w:val="sv-SE"/>
        </w:rPr>
        <w:t xml:space="preserve"> </w:t>
      </w:r>
      <w:r>
        <w:rPr>
          <w:szCs w:val="22"/>
        </w:rPr>
        <w:fldChar w:fldCharType="begin"/>
      </w:r>
      <w:r>
        <w:rPr>
          <w:lang w:val="sv-SE"/>
        </w:rPr>
        <w:instrText xml:space="preserve"> REF _Ref445997940 \r \h </w:instrText>
      </w:r>
      <w:r>
        <w:rPr>
          <w:szCs w:val="22"/>
        </w:rPr>
      </w:r>
      <w:r>
        <w:rPr>
          <w:szCs w:val="22"/>
        </w:rPr>
        <w:fldChar w:fldCharType="separate"/>
      </w:r>
      <w:r>
        <w:rPr>
          <w:lang w:val="sv-SE"/>
        </w:rPr>
        <w:t>8.2.6</w:t>
      </w:r>
      <w:r>
        <w:rPr>
          <w:szCs w:val="22"/>
        </w:rPr>
        <w:fldChar w:fldCharType="end"/>
      </w:r>
      <w:r w:rsidRPr="00A50800">
        <w:rPr>
          <w:lang w:val="sv-SE"/>
        </w:rPr>
        <w:t xml:space="preserve"> ovan, </w:t>
      </w:r>
      <w:r>
        <w:rPr>
          <w:lang w:val="sv-SE"/>
        </w:rPr>
        <w:t>ska</w:t>
      </w:r>
      <w:r w:rsidRPr="00A50800">
        <w:rPr>
          <w:lang w:val="sv-SE"/>
        </w:rPr>
        <w:t xml:space="preserve"> vad i föregående stycke sagts äga motsvarande tillämpning, dock att det antal Aktier som </w:t>
      </w:r>
      <w:r>
        <w:rPr>
          <w:lang w:val="sv-SE"/>
        </w:rPr>
        <w:t>Optionsinnehavaren</w:t>
      </w:r>
      <w:r w:rsidRPr="00A50800">
        <w:rPr>
          <w:lang w:val="sv-SE"/>
        </w:rPr>
        <w:t xml:space="preserve"> anses vara ägare till i sådant fall </w:t>
      </w:r>
      <w:r>
        <w:rPr>
          <w:lang w:val="sv-SE"/>
        </w:rPr>
        <w:t>ska</w:t>
      </w:r>
      <w:r w:rsidRPr="00A50800">
        <w:rPr>
          <w:lang w:val="sv-SE"/>
        </w:rPr>
        <w:t xml:space="preserve"> fastställas efter den Teckningskurs, som gällde vid tidpunkten för beslutet om erbjudandet.</w:t>
      </w:r>
      <w:r w:rsidRPr="00A50800">
        <w:rPr>
          <w:lang w:val="sv-SE"/>
        </w:rPr>
        <w:br/>
      </w:r>
      <w:r w:rsidRPr="00437F01">
        <w:rPr>
          <w:i/>
        </w:rPr>
        <w:t xml:space="preserve">Should the Company direct such an offer intended in section </w:t>
      </w:r>
      <w:r>
        <w:rPr>
          <w:i/>
          <w:szCs w:val="22"/>
        </w:rPr>
        <w:fldChar w:fldCharType="begin"/>
      </w:r>
      <w:r>
        <w:rPr>
          <w:i/>
        </w:rPr>
        <w:instrText xml:space="preserve"> REF _Ref445997940 \r \h </w:instrText>
      </w:r>
      <w:r>
        <w:rPr>
          <w:i/>
          <w:szCs w:val="22"/>
        </w:rPr>
      </w:r>
      <w:r>
        <w:rPr>
          <w:i/>
          <w:szCs w:val="22"/>
        </w:rPr>
        <w:fldChar w:fldCharType="separate"/>
      </w:r>
      <w:r>
        <w:rPr>
          <w:i/>
        </w:rPr>
        <w:t>8.2.6</w:t>
      </w:r>
      <w:r>
        <w:rPr>
          <w:i/>
          <w:szCs w:val="22"/>
        </w:rPr>
        <w:fldChar w:fldCharType="end"/>
      </w:r>
      <w:r w:rsidRPr="00437F01">
        <w:rPr>
          <w:i/>
        </w:rPr>
        <w:t xml:space="preserve"> above, to its shareholders, the provisions set forth in previous paragraph will apply correspondingly. However, the number of Shares which the </w:t>
      </w:r>
      <w:r>
        <w:rPr>
          <w:i/>
        </w:rPr>
        <w:t>Warrant Holder</w:t>
      </w:r>
      <w:r w:rsidRPr="00437F01">
        <w:rPr>
          <w:i/>
        </w:rPr>
        <w:t xml:space="preserve"> shall be deemed to be owner of shall be determined after the Subscription Price which applied at the time of the resolution of the offer.</w:t>
      </w:r>
    </w:p>
    <w:p w14:paraId="3DA4794C" w14:textId="77777777" w:rsidR="00F3012E" w:rsidRPr="00437F01" w:rsidRDefault="00F3012E" w:rsidP="00F3012E">
      <w:pPr>
        <w:pStyle w:val="BodyText"/>
        <w:ind w:left="720"/>
      </w:pPr>
      <w:r w:rsidRPr="00A05113">
        <w:rPr>
          <w:lang w:val="sv-SE"/>
        </w:rPr>
        <w:t>Om</w:t>
      </w:r>
      <w:r w:rsidRPr="00A50800">
        <w:rPr>
          <w:lang w:val="sv-SE"/>
        </w:rPr>
        <w:t xml:space="preserve"> Bolaget skulle besluta att ge </w:t>
      </w:r>
      <w:r>
        <w:rPr>
          <w:lang w:val="sv-SE"/>
        </w:rPr>
        <w:t>Optionsinnehavarna</w:t>
      </w:r>
      <w:r w:rsidRPr="00A50800">
        <w:rPr>
          <w:lang w:val="sv-SE"/>
        </w:rPr>
        <w:t xml:space="preserve"> företrädesrätt i enlighet med bestämmelserna i de</w:t>
      </w:r>
      <w:r>
        <w:rPr>
          <w:lang w:val="sv-SE"/>
        </w:rPr>
        <w:t>nn</w:t>
      </w:r>
      <w:r w:rsidRPr="00A50800">
        <w:rPr>
          <w:lang w:val="sv-SE"/>
        </w:rPr>
        <w:t xml:space="preserve">a </w:t>
      </w:r>
      <w:r>
        <w:rPr>
          <w:lang w:val="sv-SE"/>
        </w:rPr>
        <w:t>punkt</w:t>
      </w:r>
      <w:r w:rsidRPr="00A50800">
        <w:rPr>
          <w:lang w:val="sv-SE"/>
        </w:rPr>
        <w:t xml:space="preserve"> </w:t>
      </w:r>
      <w:r>
        <w:rPr>
          <w:lang w:val="sv-SE"/>
        </w:rPr>
        <w:fldChar w:fldCharType="begin"/>
      </w:r>
      <w:r>
        <w:rPr>
          <w:lang w:val="sv-SE"/>
        </w:rPr>
        <w:instrText xml:space="preserve"> REF _Ref167358698 \r \h </w:instrText>
      </w:r>
      <w:r>
        <w:rPr>
          <w:lang w:val="sv-SE"/>
        </w:rPr>
      </w:r>
      <w:r>
        <w:rPr>
          <w:lang w:val="sv-SE"/>
        </w:rPr>
        <w:fldChar w:fldCharType="separate"/>
      </w:r>
      <w:r>
        <w:rPr>
          <w:lang w:val="sv-SE"/>
        </w:rPr>
        <w:t>8.2.7</w:t>
      </w:r>
      <w:r>
        <w:rPr>
          <w:lang w:val="sv-SE"/>
        </w:rPr>
        <w:fldChar w:fldCharType="end"/>
      </w:r>
      <w:r w:rsidRPr="00A50800">
        <w:rPr>
          <w:lang w:val="sv-SE"/>
        </w:rPr>
        <w:t xml:space="preserve">, </w:t>
      </w:r>
      <w:r>
        <w:rPr>
          <w:lang w:val="sv-SE"/>
        </w:rPr>
        <w:t>ska</w:t>
      </w:r>
      <w:r w:rsidRPr="00A50800">
        <w:rPr>
          <w:lang w:val="sv-SE"/>
        </w:rPr>
        <w:t xml:space="preserve"> någon omräkning enligt punkterna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szCs w:val="22"/>
          <w:lang w:val="sv-SE"/>
        </w:rPr>
        <w:t xml:space="preserve">, </w:t>
      </w:r>
      <w:r>
        <w:rPr>
          <w:szCs w:val="22"/>
        </w:rPr>
        <w:fldChar w:fldCharType="begin"/>
      </w:r>
      <w:r>
        <w:rPr>
          <w:szCs w:val="22"/>
          <w:lang w:val="sv-SE"/>
        </w:rPr>
        <w:instrText xml:space="preserve"> REF _Ref445997868 \r \h </w:instrText>
      </w:r>
      <w:r>
        <w:rPr>
          <w:szCs w:val="22"/>
        </w:rPr>
      </w:r>
      <w:r>
        <w:rPr>
          <w:szCs w:val="22"/>
        </w:rPr>
        <w:fldChar w:fldCharType="separate"/>
      </w:r>
      <w:r>
        <w:rPr>
          <w:szCs w:val="22"/>
          <w:lang w:val="sv-SE"/>
        </w:rPr>
        <w:t>8.2.5</w:t>
      </w:r>
      <w:r>
        <w:rPr>
          <w:szCs w:val="22"/>
        </w:rPr>
        <w:fldChar w:fldCharType="end"/>
      </w:r>
      <w:r w:rsidRPr="00291EEE">
        <w:rPr>
          <w:szCs w:val="22"/>
          <w:lang w:val="sv-SE"/>
        </w:rPr>
        <w:t xml:space="preserve"> </w:t>
      </w:r>
      <w:r w:rsidRPr="00A50800">
        <w:rPr>
          <w:lang w:val="sv-SE"/>
        </w:rPr>
        <w:t xml:space="preserve">eller </w:t>
      </w:r>
      <w:r>
        <w:rPr>
          <w:szCs w:val="22"/>
        </w:rPr>
        <w:fldChar w:fldCharType="begin"/>
      </w:r>
      <w:r>
        <w:rPr>
          <w:lang w:val="sv-SE"/>
        </w:rPr>
        <w:instrText xml:space="preserve"> REF _Ref445997940 \r \h </w:instrText>
      </w:r>
      <w:r>
        <w:rPr>
          <w:szCs w:val="22"/>
        </w:rPr>
      </w:r>
      <w:r>
        <w:rPr>
          <w:szCs w:val="22"/>
        </w:rPr>
        <w:fldChar w:fldCharType="separate"/>
      </w:r>
      <w:r>
        <w:rPr>
          <w:lang w:val="sv-SE"/>
        </w:rPr>
        <w:t>8.2.6</w:t>
      </w:r>
      <w:r>
        <w:rPr>
          <w:szCs w:val="22"/>
        </w:rPr>
        <w:fldChar w:fldCharType="end"/>
      </w:r>
      <w:r w:rsidRPr="00A50800">
        <w:rPr>
          <w:lang w:val="sv-SE"/>
        </w:rPr>
        <w:t xml:space="preserve"> ovan inte äga rum.</w:t>
      </w:r>
      <w:r w:rsidRPr="00A50800">
        <w:rPr>
          <w:lang w:val="sv-SE"/>
        </w:rPr>
        <w:br/>
      </w:r>
      <w:r w:rsidRPr="00437F01">
        <w:rPr>
          <w:i/>
        </w:rPr>
        <w:t xml:space="preserve">If the Company resolves to give the </w:t>
      </w:r>
      <w:r>
        <w:rPr>
          <w:i/>
        </w:rPr>
        <w:t>Warrant Holder</w:t>
      </w:r>
      <w:r w:rsidRPr="00437F01">
        <w:rPr>
          <w:i/>
        </w:rPr>
        <w:t xml:space="preserve">s' priority rights, in accordance to the provisions set forth in this section </w:t>
      </w:r>
      <w:r>
        <w:rPr>
          <w:i/>
        </w:rPr>
        <w:fldChar w:fldCharType="begin"/>
      </w:r>
      <w:r>
        <w:rPr>
          <w:i/>
        </w:rPr>
        <w:instrText xml:space="preserve"> REF _Ref167358698 \r \h </w:instrText>
      </w:r>
      <w:r>
        <w:rPr>
          <w:i/>
        </w:rPr>
      </w:r>
      <w:r>
        <w:rPr>
          <w:i/>
        </w:rPr>
        <w:fldChar w:fldCharType="separate"/>
      </w:r>
      <w:r>
        <w:rPr>
          <w:i/>
        </w:rPr>
        <w:t>8.2.7</w:t>
      </w:r>
      <w:r>
        <w:rPr>
          <w:i/>
        </w:rPr>
        <w:fldChar w:fldCharType="end"/>
      </w:r>
      <w:r w:rsidRPr="00437F01">
        <w:rPr>
          <w:i/>
        </w:rPr>
        <w:t xml:space="preserve">, recalculation according to sections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w:t>
      </w:r>
      <w:r>
        <w:rPr>
          <w:i/>
          <w:szCs w:val="22"/>
        </w:rPr>
        <w:fldChar w:fldCharType="begin"/>
      </w:r>
      <w:r>
        <w:rPr>
          <w:i/>
        </w:rPr>
        <w:instrText xml:space="preserve"> REF _Ref445997868 \r \h </w:instrText>
      </w:r>
      <w:r>
        <w:rPr>
          <w:i/>
          <w:szCs w:val="22"/>
        </w:rPr>
      </w:r>
      <w:r>
        <w:rPr>
          <w:i/>
          <w:szCs w:val="22"/>
        </w:rPr>
        <w:fldChar w:fldCharType="separate"/>
      </w:r>
      <w:r>
        <w:rPr>
          <w:i/>
        </w:rPr>
        <w:t>8.2.5</w:t>
      </w:r>
      <w:r>
        <w:rPr>
          <w:i/>
          <w:szCs w:val="22"/>
        </w:rPr>
        <w:fldChar w:fldCharType="end"/>
      </w:r>
      <w:r w:rsidRPr="00437F01">
        <w:rPr>
          <w:i/>
          <w:szCs w:val="22"/>
        </w:rPr>
        <w:t xml:space="preserve"> </w:t>
      </w:r>
      <w:r w:rsidRPr="00437F01">
        <w:rPr>
          <w:i/>
        </w:rPr>
        <w:t xml:space="preserve">or </w:t>
      </w:r>
      <w:r>
        <w:rPr>
          <w:i/>
          <w:szCs w:val="22"/>
        </w:rPr>
        <w:fldChar w:fldCharType="begin"/>
      </w:r>
      <w:r>
        <w:rPr>
          <w:i/>
        </w:rPr>
        <w:instrText xml:space="preserve"> REF _Ref445997940 \r \h </w:instrText>
      </w:r>
      <w:r>
        <w:rPr>
          <w:i/>
          <w:szCs w:val="22"/>
        </w:rPr>
      </w:r>
      <w:r>
        <w:rPr>
          <w:i/>
          <w:szCs w:val="22"/>
        </w:rPr>
        <w:fldChar w:fldCharType="separate"/>
      </w:r>
      <w:r>
        <w:rPr>
          <w:i/>
        </w:rPr>
        <w:t>8.2.6</w:t>
      </w:r>
      <w:r>
        <w:rPr>
          <w:i/>
          <w:szCs w:val="22"/>
        </w:rPr>
        <w:fldChar w:fldCharType="end"/>
      </w:r>
      <w:r w:rsidRPr="00437F01">
        <w:rPr>
          <w:i/>
        </w:rPr>
        <w:t>, shall not be made.</w:t>
      </w:r>
    </w:p>
    <w:p w14:paraId="69CE3F1C" w14:textId="77777777" w:rsidR="00F3012E" w:rsidRPr="00437F01" w:rsidRDefault="00F3012E" w:rsidP="006350FE">
      <w:pPr>
        <w:pStyle w:val="BodyText"/>
        <w:numPr>
          <w:ilvl w:val="2"/>
          <w:numId w:val="56"/>
        </w:numPr>
        <w:spacing w:after="0"/>
        <w:rPr>
          <w:b/>
        </w:rPr>
      </w:pPr>
      <w:bookmarkStart w:id="50" w:name="_Ref445999030"/>
      <w:proofErr w:type="spellStart"/>
      <w:r w:rsidRPr="00437F01">
        <w:rPr>
          <w:b/>
        </w:rPr>
        <w:t>Utdelning</w:t>
      </w:r>
      <w:proofErr w:type="spellEnd"/>
      <w:r w:rsidRPr="00437F01">
        <w:rPr>
          <w:b/>
        </w:rPr>
        <w:t>/</w:t>
      </w:r>
      <w:r w:rsidRPr="00437F01">
        <w:rPr>
          <w:b/>
          <w:i/>
        </w:rPr>
        <w:t>Dividend</w:t>
      </w:r>
      <w:bookmarkEnd w:id="50"/>
    </w:p>
    <w:p w14:paraId="28580198" w14:textId="77777777" w:rsidR="00F3012E" w:rsidRPr="00437F01" w:rsidRDefault="00F3012E" w:rsidP="007C4B62">
      <w:pPr>
        <w:pStyle w:val="BodyText"/>
        <w:numPr>
          <w:ilvl w:val="0"/>
          <w:numId w:val="63"/>
        </w:numPr>
        <w:ind w:left="720" w:firstLine="0"/>
      </w:pPr>
      <w:r w:rsidRPr="00A50800">
        <w:rPr>
          <w:rFonts w:eastAsia="Times New Roman"/>
          <w:lang w:val="sv-SE"/>
        </w:rPr>
        <w:t xml:space="preserve">Om Bolagets Aktier inte är föremål för marknadsnotering, och det beslutas om </w:t>
      </w:r>
      <w:r w:rsidRPr="00A50800">
        <w:rPr>
          <w:rFonts w:eastAsia="Times New Roman"/>
          <w:u w:val="single"/>
          <w:lang w:val="sv-SE"/>
        </w:rPr>
        <w:t>utdelning</w:t>
      </w:r>
      <w:r w:rsidRPr="00A50800">
        <w:rPr>
          <w:rFonts w:eastAsia="Times New Roman"/>
          <w:lang w:val="sv-SE"/>
        </w:rPr>
        <w:t xml:space="preserve"> till aktieägarna, oavsett om det rör sig om en kontant eller </w:t>
      </w:r>
      <w:proofErr w:type="spellStart"/>
      <w:r w:rsidRPr="00A50800">
        <w:rPr>
          <w:rFonts w:eastAsia="Times New Roman"/>
          <w:lang w:val="sv-SE"/>
        </w:rPr>
        <w:t>sakutdelning</w:t>
      </w:r>
      <w:proofErr w:type="spellEnd"/>
      <w:r w:rsidRPr="00A50800">
        <w:rPr>
          <w:rFonts w:eastAsia="Times New Roman"/>
          <w:lang w:val="sv-SE"/>
        </w:rPr>
        <w:t xml:space="preserve">, </w:t>
      </w:r>
      <w:r>
        <w:rPr>
          <w:rFonts w:eastAsia="Times New Roman"/>
          <w:lang w:val="sv-SE"/>
        </w:rPr>
        <w:t>ska</w:t>
      </w:r>
      <w:r w:rsidRPr="00A50800">
        <w:rPr>
          <w:rFonts w:eastAsia="Times New Roman"/>
          <w:lang w:val="sv-SE"/>
        </w:rPr>
        <w:t xml:space="preserve"> en omräkning av Teckningskursen utföras av Bolaget varigenom Teckningskursen </w:t>
      </w:r>
      <w:r>
        <w:rPr>
          <w:rFonts w:eastAsia="Times New Roman"/>
          <w:lang w:val="sv-SE"/>
        </w:rPr>
        <w:t>ska</w:t>
      </w:r>
      <w:r w:rsidRPr="00A50800">
        <w:rPr>
          <w:rFonts w:eastAsia="Times New Roman"/>
          <w:lang w:val="sv-SE"/>
        </w:rPr>
        <w:t xml:space="preserve"> reduceras med ett belopp motsvarande utdelningen per Aktie.</w:t>
      </w:r>
      <w:r w:rsidRPr="00A50800">
        <w:rPr>
          <w:rFonts w:eastAsia="Times New Roman"/>
          <w:lang w:val="sv-SE"/>
        </w:rPr>
        <w:br/>
      </w:r>
      <w:r w:rsidRPr="00437F01">
        <w:rPr>
          <w:i/>
        </w:rPr>
        <w:t xml:space="preserve">Should the Company's Shares not be listed, and the Company resolves to pay a </w:t>
      </w:r>
      <w:r w:rsidRPr="00437F01">
        <w:rPr>
          <w:i/>
          <w:u w:val="single"/>
        </w:rPr>
        <w:t>dividend</w:t>
      </w:r>
      <w:r w:rsidRPr="00437F01">
        <w:rPr>
          <w:i/>
        </w:rPr>
        <w:t xml:space="preserve"> to the shareholders whether in cash or in kind, the Company shall, recalculate the Subscription Price shall be reduced by the dividend per Share.</w:t>
      </w:r>
    </w:p>
    <w:p w14:paraId="5341F7B0" w14:textId="77777777" w:rsidR="00F3012E" w:rsidRPr="00437F01" w:rsidRDefault="00F3012E" w:rsidP="007C4B62">
      <w:pPr>
        <w:pStyle w:val="BodyText"/>
        <w:numPr>
          <w:ilvl w:val="0"/>
          <w:numId w:val="63"/>
        </w:numPr>
        <w:ind w:left="720" w:firstLine="0"/>
      </w:pPr>
      <w:r w:rsidRPr="00A50800">
        <w:rPr>
          <w:rFonts w:eastAsia="Times New Roman"/>
          <w:lang w:val="sv-SE"/>
        </w:rPr>
        <w:t xml:space="preserve">Om Bolagets Aktier är föremål för marknadsnotering och beslutas om </w:t>
      </w:r>
      <w:r w:rsidRPr="00A50800">
        <w:rPr>
          <w:rFonts w:eastAsia="Times New Roman"/>
          <w:u w:val="single"/>
          <w:lang w:val="sv-SE"/>
        </w:rPr>
        <w:t>utdelning</w:t>
      </w:r>
      <w:r w:rsidRPr="00A50800">
        <w:rPr>
          <w:rFonts w:eastAsia="Times New Roman"/>
          <w:lang w:val="sv-SE"/>
        </w:rPr>
        <w:t xml:space="preserve"> till aktieägarna </w:t>
      </w:r>
      <w:r>
        <w:rPr>
          <w:rFonts w:eastAsia="Times New Roman"/>
          <w:lang w:val="sv-SE"/>
        </w:rPr>
        <w:t>ska</w:t>
      </w:r>
      <w:r w:rsidRPr="00A50800">
        <w:rPr>
          <w:rFonts w:eastAsia="Times New Roman"/>
          <w:lang w:val="sv-SE"/>
        </w:rPr>
        <w:t xml:space="preserve">, där anmälan om Teckning som görs på sådan tid, att därigenom erhållen Aktie inte medför rätt till erhållande av sådan utdelning, tillämpas en omräknad Teckningskurs och ett omräknat antal Aktier som varje Teckningsoption berättigar till Teckning av. </w:t>
      </w:r>
      <w:proofErr w:type="spellStart"/>
      <w:r w:rsidRPr="00437F01">
        <w:rPr>
          <w:rFonts w:eastAsia="Times New Roman"/>
        </w:rPr>
        <w:t>Omräkningen</w:t>
      </w:r>
      <w:proofErr w:type="spellEnd"/>
      <w:r w:rsidRPr="00437F01">
        <w:rPr>
          <w:rFonts w:eastAsia="Times New Roman"/>
        </w:rPr>
        <w:t xml:space="preserve"> </w:t>
      </w:r>
      <w:r>
        <w:rPr>
          <w:rFonts w:eastAsia="Times New Roman"/>
        </w:rPr>
        <w:t>ska</w:t>
      </w:r>
      <w:r w:rsidRPr="00437F01">
        <w:rPr>
          <w:rFonts w:eastAsia="Times New Roman"/>
        </w:rPr>
        <w:t xml:space="preserve"> </w:t>
      </w:r>
      <w:proofErr w:type="spellStart"/>
      <w:r w:rsidRPr="00437F01">
        <w:rPr>
          <w:rFonts w:eastAsia="Times New Roman"/>
        </w:rPr>
        <w:t>baseras</w:t>
      </w:r>
      <w:proofErr w:type="spellEnd"/>
      <w:r w:rsidRPr="00437F01">
        <w:rPr>
          <w:rFonts w:eastAsia="Times New Roman"/>
        </w:rPr>
        <w:t xml:space="preserve"> </w:t>
      </w:r>
      <w:proofErr w:type="spellStart"/>
      <w:r w:rsidRPr="00437F01">
        <w:rPr>
          <w:rFonts w:eastAsia="Times New Roman"/>
        </w:rPr>
        <w:t>på</w:t>
      </w:r>
      <w:proofErr w:type="spellEnd"/>
      <w:r w:rsidRPr="00437F01">
        <w:rPr>
          <w:rFonts w:eastAsia="Times New Roman"/>
        </w:rPr>
        <w:t xml:space="preserve"> den </w:t>
      </w:r>
      <w:proofErr w:type="spellStart"/>
      <w:r w:rsidRPr="00437F01">
        <w:rPr>
          <w:rFonts w:eastAsia="Times New Roman"/>
        </w:rPr>
        <w:t>sammanlagda</w:t>
      </w:r>
      <w:proofErr w:type="spellEnd"/>
      <w:r w:rsidRPr="00437F01">
        <w:rPr>
          <w:rFonts w:eastAsia="Times New Roman"/>
        </w:rPr>
        <w:t xml:space="preserve"> </w:t>
      </w:r>
      <w:proofErr w:type="spellStart"/>
      <w:r w:rsidRPr="00437F01">
        <w:rPr>
          <w:rFonts w:eastAsia="Times New Roman"/>
        </w:rPr>
        <w:t>utdelningen</w:t>
      </w:r>
      <w:proofErr w:type="spellEnd"/>
      <w:r w:rsidRPr="00437F01">
        <w:rPr>
          <w:rFonts w:eastAsia="Times New Roman"/>
        </w:rPr>
        <w:t xml:space="preserve">. </w:t>
      </w:r>
      <w:proofErr w:type="spellStart"/>
      <w:r w:rsidRPr="00437F01">
        <w:rPr>
          <w:rFonts w:eastAsia="Times New Roman"/>
        </w:rPr>
        <w:t>Omräkningarna</w:t>
      </w:r>
      <w:proofErr w:type="spellEnd"/>
      <w:r w:rsidRPr="00437F01">
        <w:rPr>
          <w:rFonts w:eastAsia="Times New Roman"/>
        </w:rPr>
        <w:t xml:space="preserve"> </w:t>
      </w:r>
      <w:proofErr w:type="spellStart"/>
      <w:r w:rsidRPr="00437F01">
        <w:rPr>
          <w:rFonts w:eastAsia="Times New Roman"/>
        </w:rPr>
        <w:t>utförs</w:t>
      </w:r>
      <w:proofErr w:type="spellEnd"/>
      <w:r w:rsidRPr="00437F01">
        <w:rPr>
          <w:rFonts w:eastAsia="Times New Roman"/>
        </w:rPr>
        <w:t xml:space="preserve"> </w:t>
      </w:r>
      <w:proofErr w:type="spellStart"/>
      <w:r w:rsidRPr="00437F01">
        <w:rPr>
          <w:rFonts w:eastAsia="Times New Roman"/>
        </w:rPr>
        <w:t>av</w:t>
      </w:r>
      <w:proofErr w:type="spellEnd"/>
      <w:r w:rsidRPr="00437F01">
        <w:rPr>
          <w:rFonts w:eastAsia="Times New Roman"/>
        </w:rPr>
        <w:t xml:space="preserve"> </w:t>
      </w:r>
      <w:proofErr w:type="spellStart"/>
      <w:r w:rsidRPr="00437F01">
        <w:rPr>
          <w:rFonts w:eastAsia="Times New Roman"/>
        </w:rPr>
        <w:t>Bolaget</w:t>
      </w:r>
      <w:proofErr w:type="spellEnd"/>
      <w:r w:rsidRPr="00437F01">
        <w:rPr>
          <w:rFonts w:eastAsia="Times New Roman"/>
        </w:rPr>
        <w:t xml:space="preserve"> </w:t>
      </w:r>
      <w:proofErr w:type="spellStart"/>
      <w:r w:rsidRPr="00437F01">
        <w:rPr>
          <w:rFonts w:eastAsia="Times New Roman"/>
        </w:rPr>
        <w:t>enligt</w:t>
      </w:r>
      <w:proofErr w:type="spellEnd"/>
      <w:r w:rsidRPr="00437F01">
        <w:rPr>
          <w:rFonts w:eastAsia="Times New Roman"/>
        </w:rPr>
        <w:t xml:space="preserve"> </w:t>
      </w:r>
      <w:proofErr w:type="spellStart"/>
      <w:r w:rsidRPr="00437F01">
        <w:rPr>
          <w:rFonts w:eastAsia="Times New Roman"/>
        </w:rPr>
        <w:t>följande</w:t>
      </w:r>
      <w:proofErr w:type="spellEnd"/>
      <w:r w:rsidRPr="00437F01">
        <w:rPr>
          <w:rFonts w:eastAsia="Times New Roman"/>
        </w:rPr>
        <w:t xml:space="preserve"> </w:t>
      </w:r>
      <w:proofErr w:type="spellStart"/>
      <w:r w:rsidRPr="00437F01">
        <w:rPr>
          <w:rFonts w:eastAsia="Times New Roman"/>
        </w:rPr>
        <w:t>formler</w:t>
      </w:r>
      <w:proofErr w:type="spellEnd"/>
      <w:r w:rsidRPr="00437F01">
        <w:rPr>
          <w:rFonts w:eastAsia="Times New Roman"/>
        </w:rPr>
        <w:t>:</w:t>
      </w:r>
      <w:r w:rsidRPr="00437F01">
        <w:rPr>
          <w:rFonts w:eastAsia="Times New Roman"/>
        </w:rPr>
        <w:br/>
      </w:r>
      <w:r w:rsidRPr="00437F01">
        <w:rPr>
          <w:i/>
        </w:rPr>
        <w:t xml:space="preserve">Should the Company's shares be listed, at the time of the issuance, and in the event the Company resolves to pay a </w:t>
      </w:r>
      <w:r w:rsidRPr="00437F01">
        <w:rPr>
          <w:i/>
          <w:u w:val="single"/>
        </w:rPr>
        <w:t>dividend</w:t>
      </w:r>
      <w:r w:rsidRPr="00437F01">
        <w:rPr>
          <w:i/>
        </w:rPr>
        <w:t xml:space="preserve"> to the shareholders recalculation of the Subscription Price and the number of Shares each Warrant entitles the </w:t>
      </w:r>
      <w:r>
        <w:rPr>
          <w:i/>
        </w:rPr>
        <w:t>Warrant Holder</w:t>
      </w:r>
      <w:r w:rsidRPr="00437F01">
        <w:rPr>
          <w:i/>
        </w:rPr>
        <w:t xml:space="preserve"> to Subscribe for, shall be made regarding Subscriptions requested at such a time that the Shares thereby received do not carry rights to receive such dividend. The recalculation shall be based upon the total dividend. The recalculation shall be made by the Company in accordance with the following formulas:</w:t>
      </w:r>
    </w:p>
    <w:tbl>
      <w:tblPr>
        <w:tblW w:w="8280" w:type="dxa"/>
        <w:tblInd w:w="720" w:type="dxa"/>
        <w:tblBorders>
          <w:top w:val="nil"/>
          <w:left w:val="nil"/>
          <w:bottom w:val="nil"/>
          <w:right w:val="nil"/>
          <w:insideH w:val="nil"/>
          <w:insideV w:val="nil"/>
        </w:tblBorders>
        <w:tblLook w:val="04A0" w:firstRow="1" w:lastRow="0" w:firstColumn="1" w:lastColumn="0" w:noHBand="0" w:noVBand="1"/>
      </w:tblPr>
      <w:tblGrid>
        <w:gridCol w:w="2610"/>
        <w:gridCol w:w="540"/>
        <w:gridCol w:w="5130"/>
      </w:tblGrid>
      <w:tr w:rsidR="00F3012E" w:rsidRPr="00D00630" w14:paraId="24653F95" w14:textId="77777777" w:rsidTr="00695A7D">
        <w:trPr>
          <w:cantSplit/>
        </w:trPr>
        <w:tc>
          <w:tcPr>
            <w:tcW w:w="2610" w:type="dxa"/>
            <w:vMerge w:val="restart"/>
            <w:vAlign w:val="center"/>
          </w:tcPr>
          <w:p w14:paraId="24C8021E" w14:textId="77777777" w:rsidR="00F3012E" w:rsidRPr="00437F01" w:rsidRDefault="00F3012E" w:rsidP="00695A7D">
            <w:pPr>
              <w:pStyle w:val="TableText"/>
              <w:spacing w:after="0"/>
            </w:pPr>
            <w:proofErr w:type="spellStart"/>
            <w:r w:rsidRPr="00437F01">
              <w:t>Omräknad</w:t>
            </w:r>
            <w:proofErr w:type="spellEnd"/>
            <w:r w:rsidRPr="00437F01">
              <w:t xml:space="preserve"> </w:t>
            </w:r>
            <w:proofErr w:type="spellStart"/>
            <w:r w:rsidRPr="00437F01">
              <w:t>Teckningskurs</w:t>
            </w:r>
            <w:proofErr w:type="spellEnd"/>
          </w:p>
        </w:tc>
        <w:tc>
          <w:tcPr>
            <w:tcW w:w="540" w:type="dxa"/>
            <w:vMerge w:val="restart"/>
            <w:vAlign w:val="center"/>
          </w:tcPr>
          <w:p w14:paraId="2805F0F2" w14:textId="77777777" w:rsidR="00F3012E" w:rsidRPr="00437F01" w:rsidRDefault="00F3012E" w:rsidP="00695A7D">
            <w:pPr>
              <w:pStyle w:val="TableText"/>
              <w:spacing w:before="360" w:after="0"/>
            </w:pPr>
            <w:r w:rsidRPr="00437F01">
              <w:t>=</w:t>
            </w:r>
          </w:p>
        </w:tc>
        <w:tc>
          <w:tcPr>
            <w:tcW w:w="5130" w:type="dxa"/>
            <w:tcBorders>
              <w:bottom w:val="single" w:sz="4" w:space="0" w:color="auto"/>
            </w:tcBorders>
          </w:tcPr>
          <w:p w14:paraId="06F948A9"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Aktiens genomsnittliga aktiekurs under en period om 25 handelsdagar räknat fr.o.m. den dag då Aktien noteras utan rätt till utdelning (Aktiens genomsnittskurs)</w:t>
            </w:r>
          </w:p>
        </w:tc>
      </w:tr>
      <w:tr w:rsidR="00F3012E" w:rsidRPr="00D00630" w14:paraId="0646E71F" w14:textId="77777777" w:rsidTr="00695A7D">
        <w:trPr>
          <w:cantSplit/>
        </w:trPr>
        <w:tc>
          <w:tcPr>
            <w:tcW w:w="2610" w:type="dxa"/>
            <w:vMerge/>
          </w:tcPr>
          <w:p w14:paraId="5B44F5D8" w14:textId="77777777" w:rsidR="00F3012E" w:rsidRPr="00A50800" w:rsidRDefault="00F3012E" w:rsidP="00695A7D">
            <w:pPr>
              <w:pStyle w:val="TableText"/>
              <w:spacing w:after="0"/>
              <w:rPr>
                <w:lang w:val="sv-SE"/>
              </w:rPr>
            </w:pPr>
          </w:p>
        </w:tc>
        <w:tc>
          <w:tcPr>
            <w:tcW w:w="540" w:type="dxa"/>
            <w:vMerge/>
            <w:tcBorders>
              <w:right w:val="nil"/>
            </w:tcBorders>
          </w:tcPr>
          <w:p w14:paraId="7F983A94" w14:textId="77777777" w:rsidR="00F3012E" w:rsidRPr="00A50800" w:rsidRDefault="00F3012E" w:rsidP="00695A7D">
            <w:pPr>
              <w:pStyle w:val="TableText"/>
              <w:spacing w:after="0"/>
              <w:rPr>
                <w:lang w:val="sv-SE"/>
              </w:rPr>
            </w:pPr>
          </w:p>
        </w:tc>
        <w:tc>
          <w:tcPr>
            <w:tcW w:w="5130" w:type="dxa"/>
            <w:tcBorders>
              <w:top w:val="single" w:sz="4" w:space="0" w:color="auto"/>
              <w:left w:val="nil"/>
              <w:bottom w:val="nil"/>
              <w:right w:val="nil"/>
            </w:tcBorders>
          </w:tcPr>
          <w:p w14:paraId="0E0C3B2D" w14:textId="77777777" w:rsidR="00F3012E" w:rsidRPr="00A50800" w:rsidRDefault="00F3012E" w:rsidP="00695A7D">
            <w:pPr>
              <w:pStyle w:val="TableText"/>
              <w:spacing w:after="0"/>
              <w:rPr>
                <w:lang w:val="sv-SE"/>
              </w:rPr>
            </w:pPr>
            <w:r w:rsidRPr="00A50800">
              <w:rPr>
                <w:lang w:val="sv-SE"/>
              </w:rPr>
              <w:t>Aktiens genomsnittskurs ökad med den utdelning som utbetalas per Aktie</w:t>
            </w:r>
          </w:p>
        </w:tc>
      </w:tr>
      <w:tr w:rsidR="00F3012E" w:rsidRPr="00D00630" w14:paraId="3D4D6AF5" w14:textId="77777777" w:rsidTr="00695A7D">
        <w:trPr>
          <w:cantSplit/>
        </w:trPr>
        <w:tc>
          <w:tcPr>
            <w:tcW w:w="2610" w:type="dxa"/>
          </w:tcPr>
          <w:p w14:paraId="691D4575" w14:textId="77777777" w:rsidR="00F3012E" w:rsidRPr="00A50800" w:rsidRDefault="00F3012E" w:rsidP="00695A7D">
            <w:pPr>
              <w:pStyle w:val="TableText"/>
              <w:spacing w:after="0"/>
              <w:rPr>
                <w:lang w:val="sv-SE"/>
              </w:rPr>
            </w:pPr>
          </w:p>
        </w:tc>
        <w:tc>
          <w:tcPr>
            <w:tcW w:w="540" w:type="dxa"/>
          </w:tcPr>
          <w:p w14:paraId="22FE985C" w14:textId="77777777" w:rsidR="00F3012E" w:rsidRPr="00A50800" w:rsidRDefault="00F3012E" w:rsidP="00695A7D">
            <w:pPr>
              <w:pStyle w:val="TableText"/>
              <w:spacing w:after="0"/>
              <w:rPr>
                <w:lang w:val="sv-SE"/>
              </w:rPr>
            </w:pPr>
          </w:p>
        </w:tc>
        <w:tc>
          <w:tcPr>
            <w:tcW w:w="5130" w:type="dxa"/>
            <w:tcBorders>
              <w:top w:val="nil"/>
            </w:tcBorders>
          </w:tcPr>
          <w:p w14:paraId="1C27C8C2" w14:textId="77777777" w:rsidR="00F3012E" w:rsidRPr="00A50800" w:rsidRDefault="00F3012E" w:rsidP="00695A7D">
            <w:pPr>
              <w:pStyle w:val="TableText"/>
              <w:spacing w:after="0"/>
              <w:rPr>
                <w:lang w:val="sv-SE"/>
              </w:rPr>
            </w:pPr>
          </w:p>
        </w:tc>
      </w:tr>
      <w:tr w:rsidR="00F3012E" w:rsidRPr="00D00630" w14:paraId="63269824" w14:textId="77777777" w:rsidTr="00695A7D">
        <w:trPr>
          <w:cantSplit/>
        </w:trPr>
        <w:tc>
          <w:tcPr>
            <w:tcW w:w="2610" w:type="dxa"/>
            <w:vMerge w:val="restart"/>
            <w:vAlign w:val="center"/>
          </w:tcPr>
          <w:p w14:paraId="5E0D007C" w14:textId="77777777" w:rsidR="00F3012E" w:rsidRPr="00A50800" w:rsidRDefault="00F3012E" w:rsidP="00695A7D">
            <w:pPr>
              <w:pStyle w:val="TableText"/>
              <w:spacing w:after="0"/>
              <w:rPr>
                <w:lang w:val="sv-SE"/>
              </w:rPr>
            </w:pPr>
            <w:r w:rsidRPr="00A50800">
              <w:rPr>
                <w:lang w:val="sv-SE"/>
              </w:rPr>
              <w:lastRenderedPageBreak/>
              <w:t>Omräknat antal Aktier som varje Teckningsoption berättigar till Teckning av</w:t>
            </w:r>
          </w:p>
        </w:tc>
        <w:tc>
          <w:tcPr>
            <w:tcW w:w="540" w:type="dxa"/>
            <w:vMerge w:val="restart"/>
            <w:vAlign w:val="center"/>
          </w:tcPr>
          <w:p w14:paraId="33D879D4" w14:textId="77777777" w:rsidR="00F3012E" w:rsidRPr="00437F01" w:rsidRDefault="00F3012E" w:rsidP="00695A7D">
            <w:pPr>
              <w:pStyle w:val="TableText"/>
              <w:spacing w:before="360" w:after="0"/>
            </w:pPr>
            <w:r w:rsidRPr="00437F01">
              <w:t>=</w:t>
            </w:r>
          </w:p>
        </w:tc>
        <w:tc>
          <w:tcPr>
            <w:tcW w:w="5130" w:type="dxa"/>
            <w:tcBorders>
              <w:bottom w:val="single" w:sz="4" w:space="0" w:color="auto"/>
            </w:tcBorders>
          </w:tcPr>
          <w:p w14:paraId="12C67942"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(Aktiens genomsnittskurs ökad med den utdelning som utbetalas per Aktie)</w:t>
            </w:r>
          </w:p>
        </w:tc>
      </w:tr>
      <w:tr w:rsidR="00F3012E" w:rsidRPr="00437F01" w14:paraId="47D2E2F7" w14:textId="77777777" w:rsidTr="00695A7D">
        <w:trPr>
          <w:cantSplit/>
        </w:trPr>
        <w:tc>
          <w:tcPr>
            <w:tcW w:w="2610" w:type="dxa"/>
            <w:vMerge/>
          </w:tcPr>
          <w:p w14:paraId="5AA77BA3" w14:textId="77777777" w:rsidR="00F3012E" w:rsidRPr="00A50800" w:rsidRDefault="00F3012E" w:rsidP="00695A7D">
            <w:pPr>
              <w:pStyle w:val="TableText"/>
              <w:spacing w:after="0"/>
              <w:rPr>
                <w:lang w:val="sv-SE"/>
              </w:rPr>
            </w:pPr>
          </w:p>
        </w:tc>
        <w:tc>
          <w:tcPr>
            <w:tcW w:w="540" w:type="dxa"/>
            <w:vMerge/>
          </w:tcPr>
          <w:p w14:paraId="663EFEE5" w14:textId="77777777" w:rsidR="00F3012E" w:rsidRPr="00A50800" w:rsidRDefault="00F3012E" w:rsidP="00695A7D">
            <w:pPr>
              <w:pStyle w:val="TableText"/>
              <w:spacing w:after="0"/>
              <w:rPr>
                <w:lang w:val="sv-SE"/>
              </w:rPr>
            </w:pPr>
          </w:p>
        </w:tc>
        <w:tc>
          <w:tcPr>
            <w:tcW w:w="5130" w:type="dxa"/>
            <w:tcBorders>
              <w:top w:val="single" w:sz="4" w:space="0" w:color="auto"/>
              <w:bottom w:val="nil"/>
            </w:tcBorders>
          </w:tcPr>
          <w:p w14:paraId="19C57980" w14:textId="77777777" w:rsidR="00F3012E" w:rsidRPr="00437F01" w:rsidRDefault="00F3012E" w:rsidP="00695A7D">
            <w:pPr>
              <w:pStyle w:val="TableText"/>
              <w:spacing w:after="0"/>
            </w:pPr>
            <w:proofErr w:type="spellStart"/>
            <w:r w:rsidRPr="00437F01">
              <w:t>Aktiens</w:t>
            </w:r>
            <w:proofErr w:type="spellEnd"/>
            <w:r w:rsidRPr="00437F01">
              <w:t xml:space="preserve"> </w:t>
            </w:r>
            <w:proofErr w:type="spellStart"/>
            <w:r w:rsidRPr="00437F01">
              <w:t>genomsnittskurs</w:t>
            </w:r>
            <w:proofErr w:type="spellEnd"/>
          </w:p>
        </w:tc>
      </w:tr>
      <w:tr w:rsidR="00F3012E" w:rsidRPr="007F470D" w14:paraId="08BB1036" w14:textId="77777777" w:rsidTr="00695A7D">
        <w:trPr>
          <w:cantSplit/>
        </w:trPr>
        <w:tc>
          <w:tcPr>
            <w:tcW w:w="2610" w:type="dxa"/>
            <w:vMerge w:val="restart"/>
            <w:vAlign w:val="center"/>
          </w:tcPr>
          <w:p w14:paraId="0059F1CE" w14:textId="77777777" w:rsidR="00F3012E" w:rsidRPr="00437F01" w:rsidRDefault="00F3012E" w:rsidP="00695A7D">
            <w:pPr>
              <w:pStyle w:val="TableText"/>
              <w:spacing w:after="0"/>
            </w:pPr>
            <w:r w:rsidRPr="00437F01">
              <w:rPr>
                <w:i/>
              </w:rPr>
              <w:t>Recalculated Subscription</w:t>
            </w:r>
            <w:r>
              <w:rPr>
                <w:i/>
              </w:rPr>
              <w:t xml:space="preserve"> </w:t>
            </w:r>
            <w:r w:rsidRPr="00437F01">
              <w:rPr>
                <w:i/>
              </w:rPr>
              <w:t>Price</w:t>
            </w:r>
          </w:p>
        </w:tc>
        <w:tc>
          <w:tcPr>
            <w:tcW w:w="540" w:type="dxa"/>
            <w:vMerge w:val="restart"/>
            <w:tcBorders>
              <w:right w:val="nil"/>
            </w:tcBorders>
            <w:vAlign w:val="center"/>
          </w:tcPr>
          <w:p w14:paraId="159E17AC" w14:textId="77777777" w:rsidR="00F3012E" w:rsidRPr="00437F01" w:rsidRDefault="00F3012E" w:rsidP="00695A7D">
            <w:pPr>
              <w:pStyle w:val="TableText"/>
              <w:spacing w:before="240" w:after="0"/>
            </w:pPr>
            <w:r w:rsidRPr="00437F01">
              <w:t>=</w:t>
            </w:r>
          </w:p>
        </w:tc>
        <w:tc>
          <w:tcPr>
            <w:tcW w:w="5130" w:type="dxa"/>
            <w:tcBorders>
              <w:top w:val="nil"/>
              <w:left w:val="nil"/>
              <w:bottom w:val="single" w:sz="4" w:space="0" w:color="auto"/>
              <w:right w:val="nil"/>
            </w:tcBorders>
          </w:tcPr>
          <w:p w14:paraId="6CFEDEED" w14:textId="77777777" w:rsidR="00F3012E" w:rsidRPr="00437F01" w:rsidRDefault="00F3012E" w:rsidP="00695A7D">
            <w:pPr>
              <w:pStyle w:val="TableText"/>
              <w:spacing w:after="0"/>
            </w:pPr>
            <w:r w:rsidRPr="00437F01">
              <w:rPr>
                <w:i/>
              </w:rPr>
              <w:t>Previous Subscription Price x the average share price of the Share during a period of 25 trading days calculated from the day on which the Share is quoted</w:t>
            </w:r>
            <w:r>
              <w:rPr>
                <w:i/>
              </w:rPr>
              <w:t xml:space="preserve"> </w:t>
            </w:r>
            <w:r w:rsidRPr="00437F01">
              <w:rPr>
                <w:i/>
              </w:rPr>
              <w:t>without any right to dividend (the average price of Share)</w:t>
            </w:r>
          </w:p>
        </w:tc>
      </w:tr>
      <w:tr w:rsidR="00F3012E" w:rsidRPr="007F470D" w14:paraId="13CCEC70" w14:textId="77777777" w:rsidTr="00695A7D">
        <w:trPr>
          <w:cantSplit/>
        </w:trPr>
        <w:tc>
          <w:tcPr>
            <w:tcW w:w="2610" w:type="dxa"/>
            <w:vMerge/>
          </w:tcPr>
          <w:p w14:paraId="0B6992B4" w14:textId="77777777" w:rsidR="00F3012E" w:rsidRPr="00437F01" w:rsidRDefault="00F3012E" w:rsidP="00695A7D">
            <w:pPr>
              <w:pStyle w:val="TableText"/>
              <w:spacing w:after="0"/>
            </w:pPr>
          </w:p>
        </w:tc>
        <w:tc>
          <w:tcPr>
            <w:tcW w:w="540" w:type="dxa"/>
            <w:vMerge/>
          </w:tcPr>
          <w:p w14:paraId="6C2DC7DF" w14:textId="77777777" w:rsidR="00F3012E" w:rsidRPr="00437F01" w:rsidRDefault="00F3012E" w:rsidP="00695A7D">
            <w:pPr>
              <w:pStyle w:val="TableText"/>
              <w:spacing w:after="0"/>
            </w:pPr>
          </w:p>
        </w:tc>
        <w:tc>
          <w:tcPr>
            <w:tcW w:w="5130" w:type="dxa"/>
            <w:tcBorders>
              <w:top w:val="single" w:sz="4" w:space="0" w:color="auto"/>
              <w:bottom w:val="nil"/>
            </w:tcBorders>
          </w:tcPr>
          <w:p w14:paraId="3359B6F7" w14:textId="77777777" w:rsidR="00F3012E" w:rsidRPr="00437F01" w:rsidRDefault="00F3012E" w:rsidP="00695A7D">
            <w:pPr>
              <w:pStyle w:val="TableText"/>
              <w:spacing w:after="0"/>
            </w:pPr>
            <w:r w:rsidRPr="00437F01">
              <w:rPr>
                <w:i/>
              </w:rPr>
              <w:t>Average price of Share increased by the dividend paid per Share</w:t>
            </w:r>
          </w:p>
        </w:tc>
      </w:tr>
      <w:tr w:rsidR="00F3012E" w:rsidRPr="007F470D" w14:paraId="743B7E5A" w14:textId="77777777" w:rsidTr="00695A7D">
        <w:trPr>
          <w:cantSplit/>
        </w:trPr>
        <w:tc>
          <w:tcPr>
            <w:tcW w:w="2610" w:type="dxa"/>
          </w:tcPr>
          <w:p w14:paraId="37973BD6" w14:textId="77777777" w:rsidR="00F3012E" w:rsidRPr="00437F01" w:rsidRDefault="00F3012E" w:rsidP="00695A7D">
            <w:pPr>
              <w:pStyle w:val="TableText"/>
              <w:spacing w:after="0"/>
            </w:pPr>
          </w:p>
        </w:tc>
        <w:tc>
          <w:tcPr>
            <w:tcW w:w="540" w:type="dxa"/>
            <w:tcBorders>
              <w:right w:val="nil"/>
            </w:tcBorders>
          </w:tcPr>
          <w:p w14:paraId="3FDF4E98" w14:textId="77777777" w:rsidR="00F3012E" w:rsidRPr="00437F01" w:rsidRDefault="00F3012E" w:rsidP="00695A7D">
            <w:pPr>
              <w:pStyle w:val="TableText"/>
              <w:spacing w:after="0"/>
            </w:pPr>
          </w:p>
        </w:tc>
        <w:tc>
          <w:tcPr>
            <w:tcW w:w="5130" w:type="dxa"/>
            <w:tcBorders>
              <w:top w:val="nil"/>
              <w:left w:val="nil"/>
              <w:bottom w:val="nil"/>
              <w:right w:val="nil"/>
            </w:tcBorders>
          </w:tcPr>
          <w:p w14:paraId="74D6EC7D" w14:textId="77777777" w:rsidR="00F3012E" w:rsidRPr="00437F01" w:rsidRDefault="00F3012E" w:rsidP="00695A7D">
            <w:pPr>
              <w:pStyle w:val="TableText"/>
              <w:spacing w:after="0"/>
              <w:rPr>
                <w:i/>
              </w:rPr>
            </w:pPr>
          </w:p>
        </w:tc>
      </w:tr>
      <w:tr w:rsidR="00F3012E" w:rsidRPr="007F470D" w14:paraId="323F922E" w14:textId="77777777" w:rsidTr="00695A7D">
        <w:trPr>
          <w:cantSplit/>
        </w:trPr>
        <w:tc>
          <w:tcPr>
            <w:tcW w:w="2610" w:type="dxa"/>
            <w:vMerge w:val="restart"/>
            <w:vAlign w:val="center"/>
          </w:tcPr>
          <w:p w14:paraId="296B4825" w14:textId="77777777" w:rsidR="00F3012E" w:rsidRPr="00437F01" w:rsidRDefault="00F3012E" w:rsidP="00695A7D">
            <w:pPr>
              <w:pStyle w:val="TableText"/>
              <w:spacing w:after="0"/>
            </w:pPr>
            <w:r w:rsidRPr="00437F01">
              <w:rPr>
                <w:i/>
              </w:rPr>
              <w:t>Re-calculated number of</w:t>
            </w:r>
            <w:r>
              <w:rPr>
                <w:i/>
              </w:rPr>
              <w:t xml:space="preserve"> </w:t>
            </w:r>
            <w:r w:rsidRPr="00437F01">
              <w:rPr>
                <w:i/>
              </w:rPr>
              <w:t>Shares that each Warrant entitles to Subscribe for</w:t>
            </w:r>
          </w:p>
        </w:tc>
        <w:tc>
          <w:tcPr>
            <w:tcW w:w="540" w:type="dxa"/>
            <w:vMerge w:val="restart"/>
            <w:vAlign w:val="center"/>
          </w:tcPr>
          <w:p w14:paraId="13BB7A40" w14:textId="77777777" w:rsidR="00F3012E" w:rsidRPr="00437F01" w:rsidRDefault="00F3012E" w:rsidP="00695A7D">
            <w:pPr>
              <w:pStyle w:val="TableText"/>
              <w:spacing w:before="360" w:after="0"/>
            </w:pPr>
            <w:r w:rsidRPr="00437F01">
              <w:t>=</w:t>
            </w:r>
          </w:p>
        </w:tc>
        <w:tc>
          <w:tcPr>
            <w:tcW w:w="5130" w:type="dxa"/>
            <w:tcBorders>
              <w:top w:val="nil"/>
              <w:bottom w:val="single" w:sz="4" w:space="0" w:color="auto"/>
            </w:tcBorders>
          </w:tcPr>
          <w:p w14:paraId="1A4DB5AE" w14:textId="77777777" w:rsidR="00F3012E" w:rsidRPr="00437F01" w:rsidRDefault="00F3012E" w:rsidP="00695A7D">
            <w:pPr>
              <w:pStyle w:val="TableText"/>
              <w:spacing w:after="0"/>
            </w:pPr>
            <w:r w:rsidRPr="00437F01">
              <w:rPr>
                <w:i/>
              </w:rPr>
              <w:t>Previous number of Shares that each Warrant entitles to subscribe for x (the average price of Share increased by the dividend paid per Share)</w:t>
            </w:r>
          </w:p>
        </w:tc>
      </w:tr>
      <w:tr w:rsidR="00F3012E" w:rsidRPr="00437F01" w14:paraId="23BFAD0C" w14:textId="77777777" w:rsidTr="00695A7D">
        <w:trPr>
          <w:cantSplit/>
        </w:trPr>
        <w:tc>
          <w:tcPr>
            <w:tcW w:w="2610" w:type="dxa"/>
            <w:vMerge/>
          </w:tcPr>
          <w:p w14:paraId="4BD7AA81" w14:textId="77777777" w:rsidR="00F3012E" w:rsidRPr="00437F01" w:rsidRDefault="00F3012E" w:rsidP="00695A7D">
            <w:pPr>
              <w:pStyle w:val="TableText"/>
              <w:spacing w:after="0"/>
            </w:pPr>
          </w:p>
        </w:tc>
        <w:tc>
          <w:tcPr>
            <w:tcW w:w="540" w:type="dxa"/>
            <w:vMerge/>
          </w:tcPr>
          <w:p w14:paraId="2BB4EEC1" w14:textId="77777777" w:rsidR="00F3012E" w:rsidRPr="00437F01" w:rsidRDefault="00F3012E" w:rsidP="00695A7D">
            <w:pPr>
              <w:pStyle w:val="TableText"/>
              <w:spacing w:after="0"/>
            </w:pPr>
          </w:p>
        </w:tc>
        <w:tc>
          <w:tcPr>
            <w:tcW w:w="5130" w:type="dxa"/>
            <w:tcBorders>
              <w:top w:val="single" w:sz="4" w:space="0" w:color="auto"/>
              <w:bottom w:val="nil"/>
            </w:tcBorders>
          </w:tcPr>
          <w:p w14:paraId="57383E6D" w14:textId="77777777" w:rsidR="00F3012E" w:rsidRPr="00437F01" w:rsidRDefault="00F3012E" w:rsidP="00695A7D">
            <w:pPr>
              <w:pStyle w:val="TableText"/>
              <w:spacing w:after="0"/>
            </w:pPr>
            <w:r w:rsidRPr="00437F01">
              <w:rPr>
                <w:i/>
              </w:rPr>
              <w:t>Average price of Share</w:t>
            </w:r>
          </w:p>
        </w:tc>
      </w:tr>
      <w:tr w:rsidR="00F3012E" w:rsidRPr="00437F01" w14:paraId="717945CE" w14:textId="77777777" w:rsidTr="00695A7D">
        <w:trPr>
          <w:cantSplit/>
        </w:trPr>
        <w:tc>
          <w:tcPr>
            <w:tcW w:w="2610" w:type="dxa"/>
          </w:tcPr>
          <w:p w14:paraId="0B5E69D9" w14:textId="77777777" w:rsidR="00F3012E" w:rsidRPr="00437F01" w:rsidRDefault="00F3012E" w:rsidP="00695A7D">
            <w:pPr>
              <w:pStyle w:val="TableText"/>
              <w:spacing w:after="120"/>
            </w:pPr>
          </w:p>
        </w:tc>
        <w:tc>
          <w:tcPr>
            <w:tcW w:w="540" w:type="dxa"/>
            <w:tcBorders>
              <w:right w:val="nil"/>
            </w:tcBorders>
          </w:tcPr>
          <w:p w14:paraId="400F5E0F" w14:textId="77777777" w:rsidR="00F3012E" w:rsidRPr="00437F01" w:rsidRDefault="00F3012E" w:rsidP="00695A7D">
            <w:pPr>
              <w:pStyle w:val="TableText"/>
              <w:spacing w:after="120"/>
            </w:pPr>
          </w:p>
        </w:tc>
        <w:tc>
          <w:tcPr>
            <w:tcW w:w="5130" w:type="dxa"/>
            <w:tcBorders>
              <w:top w:val="nil"/>
              <w:left w:val="nil"/>
              <w:bottom w:val="nil"/>
              <w:right w:val="nil"/>
            </w:tcBorders>
          </w:tcPr>
          <w:p w14:paraId="28983014" w14:textId="77777777" w:rsidR="00F3012E" w:rsidRPr="00437F01" w:rsidRDefault="00F3012E" w:rsidP="00695A7D">
            <w:pPr>
              <w:pStyle w:val="TableText"/>
              <w:spacing w:after="120"/>
              <w:rPr>
                <w:i/>
              </w:rPr>
            </w:pPr>
          </w:p>
        </w:tc>
      </w:tr>
    </w:tbl>
    <w:p w14:paraId="5477E82B" w14:textId="77777777" w:rsidR="00F3012E" w:rsidRPr="00437F01" w:rsidRDefault="00F3012E" w:rsidP="00F3012E">
      <w:pPr>
        <w:pStyle w:val="BodyText"/>
        <w:ind w:left="720"/>
      </w:pPr>
      <w:r w:rsidRPr="00A05113">
        <w:rPr>
          <w:lang w:val="sv-SE"/>
        </w:rPr>
        <w:t>Enligt</w:t>
      </w:r>
      <w:r w:rsidRPr="00A50800">
        <w:rPr>
          <w:lang w:val="sv-SE"/>
        </w:rPr>
        <w:t xml:space="preserve"> ovan omräknad Teckningskurs och omräknat antal Aktier </w:t>
      </w:r>
      <w:r>
        <w:rPr>
          <w:lang w:val="sv-SE"/>
        </w:rPr>
        <w:t>ska</w:t>
      </w:r>
      <w:r w:rsidRPr="00A50800">
        <w:rPr>
          <w:lang w:val="sv-SE"/>
        </w:rPr>
        <w:t xml:space="preserve"> fastställas av Bolaget senast vid tidpunkten för utbetalning av utdelningen och </w:t>
      </w:r>
      <w:r>
        <w:rPr>
          <w:lang w:val="sv-SE"/>
        </w:rPr>
        <w:t>ska</w:t>
      </w:r>
      <w:r w:rsidRPr="00A50800">
        <w:rPr>
          <w:lang w:val="sv-SE"/>
        </w:rPr>
        <w:t xml:space="preserve"> tillämpas vid Teckning som verkställs därefter.</w:t>
      </w:r>
      <w:r w:rsidRPr="00A50800">
        <w:rPr>
          <w:lang w:val="sv-SE"/>
        </w:rPr>
        <w:br/>
      </w:r>
      <w:r w:rsidRPr="00437F01">
        <w:rPr>
          <w:i/>
        </w:rPr>
        <w:t xml:space="preserve">The recalculated Subscription Price and the recalculated number of Shares </w:t>
      </w:r>
      <w:proofErr w:type="gramStart"/>
      <w:r w:rsidRPr="00437F01">
        <w:rPr>
          <w:i/>
        </w:rPr>
        <w:t>as set</w:t>
      </w:r>
      <w:proofErr w:type="gramEnd"/>
      <w:r w:rsidRPr="00437F01">
        <w:rPr>
          <w:i/>
        </w:rPr>
        <w:t xml:space="preserve"> out above shall be determined by the Company at the latest by the time of payment of the dividend in question and shall apply to Subscriptions executed thereafter.</w:t>
      </w:r>
    </w:p>
    <w:p w14:paraId="1712AF09" w14:textId="77777777" w:rsidR="00F3012E" w:rsidRPr="00437F01" w:rsidRDefault="00F3012E" w:rsidP="00F3012E">
      <w:pPr>
        <w:pStyle w:val="BodyText"/>
        <w:ind w:left="720"/>
      </w:pPr>
      <w:r w:rsidRPr="00A50800">
        <w:rPr>
          <w:lang w:val="sv-SE"/>
        </w:rPr>
        <w:t xml:space="preserve">Har anmälan om Teckning ägt rum men, p.g.a. bestämmelserna i punkt </w:t>
      </w:r>
      <w:r>
        <w:fldChar w:fldCharType="begin"/>
      </w:r>
      <w:r>
        <w:rPr>
          <w:lang w:val="sv-SE"/>
        </w:rPr>
        <w:instrText xml:space="preserve"> REF _Ref420689968 \r \h </w:instrText>
      </w:r>
      <w:r>
        <w:fldChar w:fldCharType="separate"/>
      </w:r>
      <w:r>
        <w:rPr>
          <w:lang w:val="sv-SE"/>
        </w:rPr>
        <w:t>7</w:t>
      </w:r>
      <w:r>
        <w:fldChar w:fldCharType="end"/>
      </w:r>
      <w:r w:rsidRPr="00A50800">
        <w:rPr>
          <w:lang w:val="sv-SE"/>
        </w:rPr>
        <w:t xml:space="preserve"> ovan, slutlig registrering på avstämningskonto ej skett, </w:t>
      </w:r>
      <w:r>
        <w:rPr>
          <w:lang w:val="sv-SE"/>
        </w:rPr>
        <w:t>ska</w:t>
      </w:r>
      <w:r w:rsidRPr="00A50800">
        <w:rPr>
          <w:lang w:val="sv-SE"/>
        </w:rPr>
        <w:t xml:space="preserve"> särskilt noteras att varje Teckningsoption efter omräkningar kan berättiga Optionsinnehavare till ytterligare Aktier. Slutlig registrering på avstämningskonto sker sedan omräkningarna fastställts, dock tidigast vid den tidpunkt som </w:t>
      </w:r>
      <w:r w:rsidRPr="00A05113">
        <w:rPr>
          <w:lang w:val="sv-SE"/>
        </w:rPr>
        <w:t>anges</w:t>
      </w:r>
      <w:r w:rsidRPr="00A50800">
        <w:rPr>
          <w:lang w:val="sv-SE"/>
        </w:rPr>
        <w:t xml:space="preserve"> i punkt </w:t>
      </w:r>
      <w:r>
        <w:fldChar w:fldCharType="begin"/>
      </w:r>
      <w:r>
        <w:rPr>
          <w:lang w:val="sv-SE"/>
        </w:rPr>
        <w:instrText xml:space="preserve"> REF _Ref420689968 \r \h </w:instrText>
      </w:r>
      <w:r>
        <w:fldChar w:fldCharType="separate"/>
      </w:r>
      <w:r>
        <w:rPr>
          <w:lang w:val="sv-SE"/>
        </w:rPr>
        <w:t>7</w:t>
      </w:r>
      <w:r>
        <w:fldChar w:fldCharType="end"/>
      </w:r>
      <w:r w:rsidRPr="00A50800">
        <w:rPr>
          <w:lang w:val="sv-SE"/>
        </w:rPr>
        <w:t xml:space="preserve"> ovan. Om Bolaget inte längre är avstämningsbolag verkställs Teckning genom att de nya Aktierna upptas i aktieboken som interimsaktier. Slutlig registrering i aktieboken sker sedan omräknad Teckningskurs och omräknat antal Aktier som varje Teckningsoption berättigar till Teckning av fastställts.</w:t>
      </w:r>
      <w:r w:rsidRPr="00A50800">
        <w:rPr>
          <w:lang w:val="sv-SE"/>
        </w:rPr>
        <w:br/>
      </w:r>
      <w:r w:rsidRPr="00437F01">
        <w:rPr>
          <w:i/>
        </w:rPr>
        <w:t>In the event that notice for Subscription has been made but, due to the regulations in section </w:t>
      </w:r>
      <w:r>
        <w:rPr>
          <w:i/>
        </w:rPr>
        <w:fldChar w:fldCharType="begin"/>
      </w:r>
      <w:r>
        <w:rPr>
          <w:i/>
        </w:rPr>
        <w:instrText xml:space="preserve"> REF _Ref420689968 \r \h </w:instrText>
      </w:r>
      <w:r>
        <w:rPr>
          <w:i/>
        </w:rPr>
      </w:r>
      <w:r>
        <w:rPr>
          <w:i/>
        </w:rPr>
        <w:fldChar w:fldCharType="separate"/>
      </w:r>
      <w:r>
        <w:rPr>
          <w:i/>
        </w:rPr>
        <w:t>7</w:t>
      </w:r>
      <w:r>
        <w:rPr>
          <w:i/>
        </w:rPr>
        <w:fldChar w:fldCharType="end"/>
      </w:r>
      <w:r w:rsidRPr="00437F01">
        <w:rPr>
          <w:i/>
        </w:rPr>
        <w:t xml:space="preserve"> above, final registration on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ry account</w:t>
      </w:r>
      <w:r w:rsidRPr="00437F01" w:rsidDel="009F3CC8">
        <w:rPr>
          <w:i/>
        </w:rPr>
        <w:t xml:space="preserve"> </w:t>
      </w:r>
      <w:r w:rsidRPr="00437F01">
        <w:rPr>
          <w:i/>
        </w:rPr>
        <w:t xml:space="preserve">has not been made, it shall be specifically noted that each Warrant after recalculations may entitle the </w:t>
      </w:r>
      <w:r>
        <w:rPr>
          <w:i/>
        </w:rPr>
        <w:t>Warrant Holder</w:t>
      </w:r>
      <w:r w:rsidRPr="00437F01">
        <w:rPr>
          <w:i/>
        </w:rPr>
        <w:t xml:space="preserve"> to additional Shares. Final registration in the </w:t>
      </w:r>
      <w:r>
        <w:rPr>
          <w:i/>
        </w:rPr>
        <w:t>c</w:t>
      </w:r>
      <w:r w:rsidRPr="00437F01">
        <w:rPr>
          <w:i/>
        </w:rPr>
        <w:t xml:space="preserve">entral </w:t>
      </w:r>
      <w:r>
        <w:rPr>
          <w:i/>
        </w:rPr>
        <w:t>s</w:t>
      </w:r>
      <w:r w:rsidRPr="00437F01">
        <w:rPr>
          <w:i/>
        </w:rPr>
        <w:t xml:space="preserve">ecurities </w:t>
      </w:r>
      <w:r>
        <w:rPr>
          <w:i/>
        </w:rPr>
        <w:t>d</w:t>
      </w:r>
      <w:r w:rsidRPr="00437F01">
        <w:rPr>
          <w:i/>
        </w:rPr>
        <w:t>eposit</w:t>
      </w:r>
      <w:r>
        <w:rPr>
          <w:i/>
        </w:rPr>
        <w:t>o</w:t>
      </w:r>
      <w:r w:rsidRPr="00437F01">
        <w:rPr>
          <w:i/>
        </w:rPr>
        <w:t xml:space="preserve">ry account is made after the recalculations has been determined, but in no event earlier than the time stated in section </w:t>
      </w:r>
      <w:r>
        <w:rPr>
          <w:i/>
        </w:rPr>
        <w:fldChar w:fldCharType="begin"/>
      </w:r>
      <w:r>
        <w:rPr>
          <w:i/>
        </w:rPr>
        <w:instrText xml:space="preserve"> REF _Ref420689968 \r \h </w:instrText>
      </w:r>
      <w:r>
        <w:rPr>
          <w:i/>
        </w:rPr>
      </w:r>
      <w:r>
        <w:rPr>
          <w:i/>
        </w:rPr>
        <w:fldChar w:fldCharType="separate"/>
      </w:r>
      <w:r>
        <w:rPr>
          <w:i/>
        </w:rPr>
        <w:t>7</w:t>
      </w:r>
      <w:r>
        <w:rPr>
          <w:i/>
        </w:rPr>
        <w:fldChar w:fldCharType="end"/>
      </w:r>
      <w:r w:rsidRPr="00437F01">
        <w:rPr>
          <w:i/>
        </w:rPr>
        <w:t xml:space="preserve"> above. </w:t>
      </w:r>
      <w:proofErr w:type="gramStart"/>
      <w:r w:rsidRPr="00437F01">
        <w:rPr>
          <w:i/>
        </w:rPr>
        <w:t>In the event that</w:t>
      </w:r>
      <w:proofErr w:type="gramEnd"/>
      <w:r w:rsidRPr="00437F01">
        <w:rPr>
          <w:i/>
        </w:rPr>
        <w:t xml:space="preserve"> the Company is no longer a company registered with Euroclear, Subscription for Shares is </w:t>
      </w:r>
      <w:proofErr w:type="gramStart"/>
      <w:r w:rsidRPr="00437F01">
        <w:rPr>
          <w:i/>
        </w:rPr>
        <w:t>effected</w:t>
      </w:r>
      <w:proofErr w:type="gramEnd"/>
      <w:r w:rsidRPr="00437F01">
        <w:rPr>
          <w:i/>
        </w:rPr>
        <w:t xml:space="preserve"> by the new Shares being registered as interim shares in the Company's share register. Final registration in the share register is made after the recalculated Subscription Price and the recalculated number of Shares which each Warrant entitles to have been determined.</w:t>
      </w:r>
    </w:p>
    <w:p w14:paraId="42D1B7F2" w14:textId="77777777" w:rsidR="00F3012E" w:rsidRPr="00437F01" w:rsidRDefault="00F3012E" w:rsidP="006350FE">
      <w:pPr>
        <w:pStyle w:val="BodyText"/>
        <w:numPr>
          <w:ilvl w:val="2"/>
          <w:numId w:val="56"/>
        </w:numPr>
        <w:spacing w:after="0"/>
        <w:rPr>
          <w:b/>
        </w:rPr>
      </w:pPr>
      <w:bookmarkStart w:id="51" w:name="_Ref445831730"/>
      <w:r w:rsidRPr="006B6AC0">
        <w:rPr>
          <w:b/>
          <w:lang w:val="sv-SE"/>
        </w:rPr>
        <w:t xml:space="preserve">Återbetalning till aktieägarna med obligatorisk </w:t>
      </w:r>
      <w:proofErr w:type="spellStart"/>
      <w:r w:rsidRPr="006B6AC0">
        <w:rPr>
          <w:b/>
          <w:lang w:val="sv-SE"/>
        </w:rPr>
        <w:t>minsking</w:t>
      </w:r>
      <w:proofErr w:type="spellEnd"/>
      <w:r w:rsidRPr="006B6AC0">
        <w:rPr>
          <w:b/>
          <w:lang w:val="sv-SE"/>
        </w:rPr>
        <w:t xml:space="preserve"> av aktiekapital </w:t>
      </w:r>
      <w:proofErr w:type="gramStart"/>
      <w:r w:rsidRPr="006B6AC0">
        <w:rPr>
          <w:b/>
          <w:lang w:val="sv-SE"/>
        </w:rPr>
        <w:t>m.m.</w:t>
      </w:r>
      <w:proofErr w:type="gramEnd"/>
      <w:r w:rsidRPr="00437F01">
        <w:rPr>
          <w:b/>
        </w:rPr>
        <w:t>/</w:t>
      </w:r>
      <w:r w:rsidRPr="00437F01">
        <w:rPr>
          <w:b/>
          <w:i/>
        </w:rPr>
        <w:t>Repayment to the shareholders by reduction of share capital</w:t>
      </w:r>
      <w:bookmarkEnd w:id="51"/>
    </w:p>
    <w:p w14:paraId="028AAA4A" w14:textId="77777777" w:rsidR="00F3012E" w:rsidRPr="00437F01" w:rsidRDefault="00F3012E" w:rsidP="00F3012E">
      <w:pPr>
        <w:pStyle w:val="BodyText"/>
        <w:ind w:left="720"/>
      </w:pPr>
      <w:r w:rsidRPr="006B6AC0">
        <w:rPr>
          <w:lang w:val="en-US"/>
        </w:rPr>
        <w:t xml:space="preserve">Om </w:t>
      </w:r>
      <w:proofErr w:type="spellStart"/>
      <w:r w:rsidRPr="006B6AC0">
        <w:rPr>
          <w:lang w:val="en-US"/>
        </w:rPr>
        <w:t>Bolagets</w:t>
      </w:r>
      <w:proofErr w:type="spellEnd"/>
      <w:r w:rsidRPr="006B6AC0">
        <w:rPr>
          <w:lang w:val="en-US"/>
        </w:rPr>
        <w:t xml:space="preserve"> </w:t>
      </w:r>
      <w:proofErr w:type="spellStart"/>
      <w:r w:rsidRPr="006B6AC0">
        <w:rPr>
          <w:u w:val="single"/>
          <w:lang w:val="en-US"/>
        </w:rPr>
        <w:t>aktiekapital</w:t>
      </w:r>
      <w:proofErr w:type="spellEnd"/>
      <w:r w:rsidRPr="006B6AC0">
        <w:rPr>
          <w:u w:val="single"/>
          <w:lang w:val="en-US"/>
        </w:rPr>
        <w:t xml:space="preserve"> </w:t>
      </w:r>
      <w:proofErr w:type="spellStart"/>
      <w:r w:rsidRPr="006B6AC0">
        <w:rPr>
          <w:u w:val="single"/>
          <w:lang w:val="en-US"/>
        </w:rPr>
        <w:t>eller</w:t>
      </w:r>
      <w:proofErr w:type="spellEnd"/>
      <w:r w:rsidRPr="006B6AC0">
        <w:rPr>
          <w:u w:val="single"/>
          <w:lang w:val="en-US"/>
        </w:rPr>
        <w:t xml:space="preserve"> </w:t>
      </w:r>
      <w:proofErr w:type="spellStart"/>
      <w:r w:rsidRPr="006B6AC0">
        <w:rPr>
          <w:u w:val="single"/>
          <w:lang w:val="en-US"/>
        </w:rPr>
        <w:t>reservfond</w:t>
      </w:r>
      <w:proofErr w:type="spellEnd"/>
      <w:r w:rsidRPr="006B6AC0">
        <w:rPr>
          <w:u w:val="single"/>
          <w:lang w:val="en-US"/>
        </w:rPr>
        <w:t xml:space="preserve"> </w:t>
      </w:r>
      <w:proofErr w:type="spellStart"/>
      <w:r w:rsidRPr="006B6AC0">
        <w:rPr>
          <w:u w:val="single"/>
          <w:lang w:val="en-US"/>
        </w:rPr>
        <w:t>skulle</w:t>
      </w:r>
      <w:proofErr w:type="spellEnd"/>
      <w:r w:rsidRPr="006B6AC0">
        <w:rPr>
          <w:u w:val="single"/>
          <w:lang w:val="en-US"/>
        </w:rPr>
        <w:t xml:space="preserve"> </w:t>
      </w:r>
      <w:proofErr w:type="spellStart"/>
      <w:r w:rsidRPr="006B6AC0">
        <w:rPr>
          <w:u w:val="single"/>
          <w:lang w:val="en-US"/>
        </w:rPr>
        <w:t>minskas</w:t>
      </w:r>
      <w:proofErr w:type="spellEnd"/>
      <w:r w:rsidRPr="006B6AC0">
        <w:rPr>
          <w:u w:val="single"/>
          <w:lang w:val="en-US"/>
        </w:rPr>
        <w:t xml:space="preserve"> med </w:t>
      </w:r>
      <w:proofErr w:type="spellStart"/>
      <w:r w:rsidRPr="006B6AC0">
        <w:rPr>
          <w:u w:val="single"/>
          <w:lang w:val="en-US"/>
        </w:rPr>
        <w:t>återbetalning</w:t>
      </w:r>
      <w:proofErr w:type="spellEnd"/>
      <w:r w:rsidRPr="006B6AC0">
        <w:rPr>
          <w:u w:val="single"/>
          <w:lang w:val="en-US"/>
        </w:rPr>
        <w:t xml:space="preserve"> till </w:t>
      </w:r>
      <w:proofErr w:type="spellStart"/>
      <w:r w:rsidRPr="006B6AC0">
        <w:rPr>
          <w:u w:val="single"/>
          <w:lang w:val="en-US"/>
        </w:rPr>
        <w:t>aktieägarna</w:t>
      </w:r>
      <w:proofErr w:type="spellEnd"/>
      <w:r w:rsidRPr="006B6AC0">
        <w:rPr>
          <w:lang w:val="en-US"/>
        </w:rPr>
        <w:t xml:space="preserve"> ska </w:t>
      </w:r>
      <w:proofErr w:type="spellStart"/>
      <w:r w:rsidRPr="006B6AC0">
        <w:rPr>
          <w:lang w:val="en-US"/>
        </w:rPr>
        <w:t>följande</w:t>
      </w:r>
      <w:proofErr w:type="spellEnd"/>
      <w:r w:rsidRPr="006B6AC0">
        <w:rPr>
          <w:lang w:val="en-US"/>
        </w:rPr>
        <w:t xml:space="preserve"> </w:t>
      </w:r>
      <w:proofErr w:type="spellStart"/>
      <w:r w:rsidRPr="006B6AC0">
        <w:rPr>
          <w:lang w:val="en-US"/>
        </w:rPr>
        <w:t>gälla</w:t>
      </w:r>
      <w:proofErr w:type="spellEnd"/>
      <w:r w:rsidRPr="006B6AC0">
        <w:rPr>
          <w:lang w:val="en-US"/>
        </w:rPr>
        <w:t>:</w:t>
      </w:r>
      <w:r w:rsidRPr="00437F01">
        <w:br/>
      </w:r>
      <w:r w:rsidRPr="00437F01">
        <w:rPr>
          <w:i/>
        </w:rPr>
        <w:t>In the event the Company's s</w:t>
      </w:r>
      <w:r w:rsidRPr="00437F01">
        <w:rPr>
          <w:i/>
          <w:u w:val="single"/>
        </w:rPr>
        <w:t>hare capital or statutory reserve is reduced through a repayment to the shareholders</w:t>
      </w:r>
      <w:r w:rsidRPr="00437F01">
        <w:rPr>
          <w:i/>
        </w:rPr>
        <w:t>, the following shall apply:</w:t>
      </w:r>
    </w:p>
    <w:p w14:paraId="1CB39786" w14:textId="77777777" w:rsidR="00F3012E" w:rsidRPr="00437F01" w:rsidRDefault="00F3012E" w:rsidP="007C4B62">
      <w:pPr>
        <w:pStyle w:val="BodyText"/>
        <w:numPr>
          <w:ilvl w:val="0"/>
          <w:numId w:val="64"/>
        </w:numPr>
        <w:ind w:left="720" w:firstLine="0"/>
        <w:rPr>
          <w:rFonts w:eastAsia="Times New Roman"/>
        </w:rPr>
      </w:pPr>
      <w:r w:rsidRPr="00A50800">
        <w:rPr>
          <w:rFonts w:eastAsia="Times New Roman"/>
          <w:lang w:val="sv-SE"/>
        </w:rPr>
        <w:t xml:space="preserve">Om Bolagets Aktier inte är föremål för marknadsnotering, </w:t>
      </w:r>
      <w:r>
        <w:rPr>
          <w:rFonts w:eastAsia="Times New Roman"/>
          <w:lang w:val="sv-SE"/>
        </w:rPr>
        <w:t>ska</w:t>
      </w:r>
      <w:r w:rsidRPr="00A50800">
        <w:rPr>
          <w:rFonts w:eastAsia="Times New Roman"/>
          <w:lang w:val="sv-SE"/>
        </w:rPr>
        <w:t xml:space="preserve"> omräkning ske, dels av Teckningskursen, dels av det antal Aktier som varje Teckningsoption ger rätt att teckna i enlighet med denna punkt </w:t>
      </w:r>
      <w:r>
        <w:fldChar w:fldCharType="begin"/>
      </w:r>
      <w:r>
        <w:rPr>
          <w:rFonts w:eastAsia="Times New Roman"/>
          <w:lang w:val="sv-SE"/>
        </w:rPr>
        <w:instrText xml:space="preserve"> REF _Ref445831730 \r \h </w:instrText>
      </w:r>
      <w:r>
        <w:fldChar w:fldCharType="separate"/>
      </w:r>
      <w:r>
        <w:rPr>
          <w:rFonts w:eastAsia="Times New Roman"/>
          <w:lang w:val="sv-SE"/>
        </w:rPr>
        <w:t>8.2.9</w:t>
      </w:r>
      <w:r>
        <w:fldChar w:fldCharType="end"/>
      </w:r>
      <w:r w:rsidRPr="00A50800">
        <w:rPr>
          <w:rFonts w:eastAsia="Times New Roman"/>
          <w:lang w:val="sv-SE"/>
        </w:rPr>
        <w:t xml:space="preserve"> angivna principer. Omräkningen som </w:t>
      </w:r>
      <w:r>
        <w:rPr>
          <w:rFonts w:eastAsia="Times New Roman"/>
          <w:lang w:val="sv-SE"/>
        </w:rPr>
        <w:t>ska</w:t>
      </w:r>
      <w:r w:rsidRPr="00A50800">
        <w:rPr>
          <w:rFonts w:eastAsia="Times New Roman"/>
          <w:lang w:val="sv-SE"/>
        </w:rPr>
        <w:t xml:space="preserve"> utföras av Bolaget, </w:t>
      </w:r>
      <w:r>
        <w:rPr>
          <w:rFonts w:eastAsia="Times New Roman"/>
          <w:lang w:val="sv-SE"/>
        </w:rPr>
        <w:t>ska</w:t>
      </w:r>
      <w:r w:rsidRPr="00A50800">
        <w:rPr>
          <w:rFonts w:eastAsia="Times New Roman"/>
          <w:lang w:val="sv-SE"/>
        </w:rPr>
        <w:t xml:space="preserve"> ha som utgångspunkt att värdet på Teckningsoptionerna </w:t>
      </w:r>
      <w:r>
        <w:rPr>
          <w:rFonts w:eastAsia="Times New Roman"/>
          <w:lang w:val="sv-SE"/>
        </w:rPr>
        <w:t>ska</w:t>
      </w:r>
      <w:r w:rsidRPr="00A50800">
        <w:rPr>
          <w:rFonts w:eastAsia="Times New Roman"/>
          <w:lang w:val="sv-SE"/>
        </w:rPr>
        <w:t xml:space="preserve"> lämnas oförändrat.</w:t>
      </w:r>
      <w:r w:rsidRPr="00A50800">
        <w:rPr>
          <w:rFonts w:eastAsia="Times New Roman"/>
          <w:lang w:val="sv-SE"/>
        </w:rPr>
        <w:br/>
      </w:r>
      <w:r w:rsidRPr="00437F01">
        <w:rPr>
          <w:rFonts w:eastAsia="Times New Roman"/>
          <w:i/>
        </w:rPr>
        <w:lastRenderedPageBreak/>
        <w:t xml:space="preserve">Should the Company's Shares not be listed, a recalculation of the Subscription Price and the number of Shares each Warrant entitles to subscribe for shall be effected in accordance with the principles set forth in this section </w:t>
      </w:r>
      <w:r>
        <w:rPr>
          <w:i/>
        </w:rPr>
        <w:fldChar w:fldCharType="begin"/>
      </w:r>
      <w:r>
        <w:rPr>
          <w:rFonts w:eastAsia="Times New Roman"/>
          <w:i/>
        </w:rPr>
        <w:instrText xml:space="preserve"> REF _Ref445831730 \r \h </w:instrText>
      </w:r>
      <w:r>
        <w:rPr>
          <w:i/>
        </w:rPr>
      </w:r>
      <w:r>
        <w:rPr>
          <w:i/>
        </w:rPr>
        <w:fldChar w:fldCharType="separate"/>
      </w:r>
      <w:r>
        <w:rPr>
          <w:rFonts w:eastAsia="Times New Roman"/>
          <w:i/>
        </w:rPr>
        <w:t>8.2.9</w:t>
      </w:r>
      <w:r>
        <w:rPr>
          <w:i/>
        </w:rPr>
        <w:fldChar w:fldCharType="end"/>
      </w:r>
      <w:r w:rsidRPr="00437F01">
        <w:rPr>
          <w:rFonts w:eastAsia="Times New Roman"/>
          <w:i/>
        </w:rPr>
        <w:t>. The recalculation shall be made by the Company and shall be made on the basis that the value of the Warrants shall remain unchanged.</w:t>
      </w:r>
    </w:p>
    <w:p w14:paraId="30C8C3D4" w14:textId="77777777" w:rsidR="00F3012E" w:rsidRPr="00437F01" w:rsidRDefault="00F3012E" w:rsidP="007C4B62">
      <w:pPr>
        <w:pStyle w:val="BodyText"/>
        <w:numPr>
          <w:ilvl w:val="0"/>
          <w:numId w:val="64"/>
        </w:numPr>
        <w:ind w:left="720" w:firstLine="0"/>
      </w:pPr>
      <w:r w:rsidRPr="00F40CE0">
        <w:rPr>
          <w:rFonts w:eastAsia="Times New Roman"/>
          <w:lang w:val="sv-SE"/>
        </w:rPr>
        <w:t xml:space="preserve">Om Bolagets Aktier är föremål för marknadsnotering, ska tillämpas en omräknad Teckningskurs liksom en omräkning av det antal Aktier som varje Teckningsoption berättigar till Teckning av. </w:t>
      </w:r>
      <w:proofErr w:type="spellStart"/>
      <w:r w:rsidRPr="006B6AC0">
        <w:rPr>
          <w:rFonts w:eastAsia="Times New Roman"/>
          <w:lang w:val="en-US"/>
        </w:rPr>
        <w:t>Omräkningarna</w:t>
      </w:r>
      <w:proofErr w:type="spellEnd"/>
      <w:r w:rsidRPr="006B6AC0">
        <w:rPr>
          <w:rFonts w:eastAsia="Times New Roman"/>
          <w:lang w:val="en-US"/>
        </w:rPr>
        <w:t xml:space="preserve"> </w:t>
      </w:r>
      <w:proofErr w:type="spellStart"/>
      <w:r w:rsidRPr="006B6AC0">
        <w:rPr>
          <w:rFonts w:eastAsia="Times New Roman"/>
          <w:lang w:val="en-US"/>
        </w:rPr>
        <w:t>utförs</w:t>
      </w:r>
      <w:proofErr w:type="spellEnd"/>
      <w:r w:rsidRPr="006B6AC0">
        <w:rPr>
          <w:rFonts w:eastAsia="Times New Roman"/>
          <w:lang w:val="en-US"/>
        </w:rPr>
        <w:t xml:space="preserve"> av </w:t>
      </w:r>
      <w:proofErr w:type="spellStart"/>
      <w:r w:rsidRPr="006B6AC0">
        <w:rPr>
          <w:rFonts w:eastAsia="Times New Roman"/>
          <w:lang w:val="en-US"/>
        </w:rPr>
        <w:t>Bolaget</w:t>
      </w:r>
      <w:proofErr w:type="spellEnd"/>
      <w:r w:rsidRPr="006B6AC0">
        <w:rPr>
          <w:rFonts w:eastAsia="Times New Roman"/>
          <w:lang w:val="en-US"/>
        </w:rPr>
        <w:t xml:space="preserve"> </w:t>
      </w:r>
      <w:proofErr w:type="spellStart"/>
      <w:r w:rsidRPr="006B6AC0">
        <w:rPr>
          <w:rFonts w:eastAsia="Times New Roman"/>
          <w:lang w:val="en-US"/>
        </w:rPr>
        <w:t>och</w:t>
      </w:r>
      <w:proofErr w:type="spellEnd"/>
      <w:r w:rsidRPr="006B6AC0">
        <w:rPr>
          <w:rFonts w:eastAsia="Times New Roman"/>
          <w:lang w:val="en-US"/>
        </w:rPr>
        <w:t xml:space="preserve"> </w:t>
      </w:r>
      <w:proofErr w:type="spellStart"/>
      <w:r w:rsidRPr="006B6AC0">
        <w:rPr>
          <w:rFonts w:eastAsia="Times New Roman"/>
          <w:lang w:val="en-US"/>
        </w:rPr>
        <w:t>enligt</w:t>
      </w:r>
      <w:proofErr w:type="spellEnd"/>
      <w:r w:rsidRPr="006B6AC0">
        <w:rPr>
          <w:rFonts w:eastAsia="Times New Roman"/>
          <w:lang w:val="en-US"/>
        </w:rPr>
        <w:t xml:space="preserve"> </w:t>
      </w:r>
      <w:proofErr w:type="spellStart"/>
      <w:r w:rsidRPr="006B6AC0">
        <w:rPr>
          <w:rFonts w:eastAsia="Times New Roman"/>
          <w:lang w:val="en-US"/>
        </w:rPr>
        <w:t>följande</w:t>
      </w:r>
      <w:proofErr w:type="spellEnd"/>
      <w:r w:rsidRPr="006B6AC0">
        <w:rPr>
          <w:rFonts w:eastAsia="Times New Roman"/>
          <w:lang w:val="en-US"/>
        </w:rPr>
        <w:t xml:space="preserve"> </w:t>
      </w:r>
      <w:proofErr w:type="spellStart"/>
      <w:r w:rsidRPr="006B6AC0">
        <w:rPr>
          <w:rFonts w:eastAsia="Times New Roman"/>
          <w:lang w:val="en-US"/>
        </w:rPr>
        <w:t>formler</w:t>
      </w:r>
      <w:proofErr w:type="spellEnd"/>
      <w:r w:rsidRPr="006B6AC0">
        <w:rPr>
          <w:rFonts w:eastAsia="Times New Roman"/>
          <w:lang w:val="en-US"/>
        </w:rPr>
        <w:t>:</w:t>
      </w:r>
      <w:r w:rsidRPr="00437F01">
        <w:rPr>
          <w:rFonts w:eastAsia="Times New Roman"/>
        </w:rPr>
        <w:br/>
      </w:r>
      <w:r w:rsidRPr="00437F01">
        <w:rPr>
          <w:rFonts w:eastAsia="Times New Roman"/>
          <w:i/>
        </w:rPr>
        <w:t>Should the Compan</w:t>
      </w:r>
      <w:r w:rsidRPr="00437F01">
        <w:rPr>
          <w:i/>
        </w:rPr>
        <w:t>y's Shares be listed, a recalculated Subscription Price as well as a recalculated number of Shares which each Warrant entitles to Subscribe for shall be applied. Recalculations shall be made by the Company in accordance with the following formulas:</w:t>
      </w:r>
    </w:p>
    <w:tbl>
      <w:tblPr>
        <w:tblW w:w="8370" w:type="dxa"/>
        <w:tblInd w:w="630" w:type="dxa"/>
        <w:tblBorders>
          <w:top w:val="nil"/>
          <w:left w:val="nil"/>
          <w:bottom w:val="nil"/>
          <w:right w:val="nil"/>
          <w:insideH w:val="nil"/>
          <w:insideV w:val="nil"/>
        </w:tblBorders>
        <w:tblLook w:val="04A0" w:firstRow="1" w:lastRow="0" w:firstColumn="1" w:lastColumn="0" w:noHBand="0" w:noVBand="1"/>
      </w:tblPr>
      <w:tblGrid>
        <w:gridCol w:w="2430"/>
        <w:gridCol w:w="450"/>
        <w:gridCol w:w="5490"/>
      </w:tblGrid>
      <w:tr w:rsidR="00F3012E" w:rsidRPr="00D00630" w14:paraId="2539957D" w14:textId="77777777" w:rsidTr="00695A7D">
        <w:trPr>
          <w:cantSplit/>
        </w:trPr>
        <w:tc>
          <w:tcPr>
            <w:tcW w:w="2430" w:type="dxa"/>
            <w:vMerge w:val="restart"/>
            <w:vAlign w:val="center"/>
          </w:tcPr>
          <w:p w14:paraId="210D65D2" w14:textId="77777777" w:rsidR="00F3012E" w:rsidRPr="006B6AC0" w:rsidRDefault="00F3012E" w:rsidP="00695A7D">
            <w:pPr>
              <w:pStyle w:val="TableText"/>
              <w:spacing w:after="0"/>
              <w:rPr>
                <w:lang w:val="sv-SE"/>
              </w:rPr>
            </w:pPr>
            <w:r w:rsidRPr="006B6AC0">
              <w:rPr>
                <w:lang w:val="sv-SE"/>
              </w:rPr>
              <w:t>Omräknad Teckningskurs</w:t>
            </w:r>
          </w:p>
        </w:tc>
        <w:tc>
          <w:tcPr>
            <w:tcW w:w="450" w:type="dxa"/>
            <w:vMerge w:val="restart"/>
            <w:vAlign w:val="center"/>
          </w:tcPr>
          <w:p w14:paraId="1A07FFE9" w14:textId="77777777" w:rsidR="00F3012E" w:rsidRPr="00437F01" w:rsidRDefault="00F3012E" w:rsidP="00695A7D">
            <w:pPr>
              <w:pStyle w:val="TableText"/>
              <w:spacing w:before="240" w:after="0"/>
            </w:pPr>
            <w:r w:rsidRPr="00437F01">
              <w:t>=</w:t>
            </w:r>
          </w:p>
        </w:tc>
        <w:tc>
          <w:tcPr>
            <w:tcW w:w="5490" w:type="dxa"/>
            <w:tcBorders>
              <w:bottom w:val="single" w:sz="4" w:space="0" w:color="auto"/>
            </w:tcBorders>
          </w:tcPr>
          <w:p w14:paraId="3FF14039" w14:textId="77777777" w:rsidR="00F3012E" w:rsidRPr="00A50800" w:rsidRDefault="00F3012E" w:rsidP="00695A7D">
            <w:pPr>
              <w:pStyle w:val="TableText"/>
              <w:spacing w:after="0"/>
              <w:rPr>
                <w:lang w:val="sv-SE"/>
              </w:rPr>
            </w:pPr>
            <w:r w:rsidRPr="00A50800">
              <w:rPr>
                <w:lang w:val="sv-SE"/>
              </w:rPr>
              <w:t xml:space="preserve">Föregående Teckningskurs </w:t>
            </w:r>
            <w:r w:rsidRPr="00A50800">
              <w:rPr>
                <w:i/>
                <w:lang w:val="sv-SE"/>
              </w:rPr>
              <w:t>x</w:t>
            </w:r>
            <w:r w:rsidRPr="00A50800">
              <w:rPr>
                <w:lang w:val="sv-SE"/>
              </w:rPr>
              <w:t xml:space="preserve"> Aktiens genomsnittliga aktiekurs under en period om 25 handelsdagar räknat fr.o.m. den dag då Aktien noteras utan rätt till återbetalning (Aktiens genomsnittskurs)</w:t>
            </w:r>
          </w:p>
        </w:tc>
      </w:tr>
      <w:tr w:rsidR="00F3012E" w:rsidRPr="00D00630" w14:paraId="78CEDFD3" w14:textId="77777777" w:rsidTr="00695A7D">
        <w:trPr>
          <w:cantSplit/>
        </w:trPr>
        <w:tc>
          <w:tcPr>
            <w:tcW w:w="2430" w:type="dxa"/>
            <w:vMerge/>
          </w:tcPr>
          <w:p w14:paraId="2D289A87" w14:textId="77777777" w:rsidR="00F3012E" w:rsidRPr="00A50800" w:rsidRDefault="00F3012E" w:rsidP="00695A7D">
            <w:pPr>
              <w:pStyle w:val="TableText"/>
              <w:spacing w:after="0"/>
              <w:rPr>
                <w:lang w:val="sv-SE"/>
              </w:rPr>
            </w:pPr>
          </w:p>
        </w:tc>
        <w:tc>
          <w:tcPr>
            <w:tcW w:w="450" w:type="dxa"/>
            <w:vMerge/>
            <w:tcBorders>
              <w:right w:val="nil"/>
            </w:tcBorders>
          </w:tcPr>
          <w:p w14:paraId="09BCF6C7" w14:textId="77777777" w:rsidR="00F3012E" w:rsidRPr="00A50800" w:rsidRDefault="00F3012E" w:rsidP="00695A7D">
            <w:pPr>
              <w:pStyle w:val="TableText"/>
              <w:spacing w:after="0"/>
              <w:rPr>
                <w:lang w:val="sv-SE"/>
              </w:rPr>
            </w:pPr>
          </w:p>
        </w:tc>
        <w:tc>
          <w:tcPr>
            <w:tcW w:w="5490" w:type="dxa"/>
            <w:tcBorders>
              <w:top w:val="single" w:sz="4" w:space="0" w:color="auto"/>
              <w:left w:val="nil"/>
              <w:bottom w:val="nil"/>
              <w:right w:val="nil"/>
            </w:tcBorders>
          </w:tcPr>
          <w:p w14:paraId="3153D994" w14:textId="77777777" w:rsidR="00F3012E" w:rsidRPr="00A50800" w:rsidRDefault="00F3012E" w:rsidP="00695A7D">
            <w:pPr>
              <w:pStyle w:val="TableText"/>
              <w:spacing w:after="0"/>
              <w:rPr>
                <w:lang w:val="sv-SE"/>
              </w:rPr>
            </w:pPr>
            <w:r w:rsidRPr="00A50800">
              <w:rPr>
                <w:lang w:val="sv-SE"/>
              </w:rPr>
              <w:t>Aktiens genomsnittskurs ökad med det belopp som återbetalas per Aktie</w:t>
            </w:r>
          </w:p>
        </w:tc>
      </w:tr>
      <w:tr w:rsidR="00F3012E" w:rsidRPr="00D00630" w14:paraId="70235CFF" w14:textId="77777777" w:rsidTr="00695A7D">
        <w:trPr>
          <w:cantSplit/>
        </w:trPr>
        <w:tc>
          <w:tcPr>
            <w:tcW w:w="2430" w:type="dxa"/>
            <w:vAlign w:val="center"/>
          </w:tcPr>
          <w:p w14:paraId="336D926C" w14:textId="77777777" w:rsidR="00F3012E" w:rsidRPr="00A50800" w:rsidRDefault="00F3012E" w:rsidP="00695A7D">
            <w:pPr>
              <w:pStyle w:val="TableText"/>
              <w:spacing w:after="0"/>
              <w:rPr>
                <w:lang w:val="sv-SE"/>
              </w:rPr>
            </w:pPr>
          </w:p>
        </w:tc>
        <w:tc>
          <w:tcPr>
            <w:tcW w:w="450" w:type="dxa"/>
            <w:tcBorders>
              <w:right w:val="nil"/>
            </w:tcBorders>
            <w:vAlign w:val="center"/>
          </w:tcPr>
          <w:p w14:paraId="0D96FAF3" w14:textId="77777777" w:rsidR="00F3012E" w:rsidRPr="006B6AC0" w:rsidRDefault="00F3012E" w:rsidP="00695A7D">
            <w:pPr>
              <w:pStyle w:val="TableText"/>
              <w:spacing w:after="0"/>
              <w:rPr>
                <w:lang w:val="sv-SE"/>
              </w:rPr>
            </w:pPr>
          </w:p>
        </w:tc>
        <w:tc>
          <w:tcPr>
            <w:tcW w:w="5490" w:type="dxa"/>
            <w:tcBorders>
              <w:top w:val="nil"/>
              <w:left w:val="nil"/>
              <w:bottom w:val="nil"/>
              <w:right w:val="nil"/>
            </w:tcBorders>
          </w:tcPr>
          <w:p w14:paraId="7425FB37" w14:textId="77777777" w:rsidR="00F3012E" w:rsidRPr="00A50800" w:rsidRDefault="00F3012E" w:rsidP="00695A7D">
            <w:pPr>
              <w:pStyle w:val="TableText"/>
              <w:spacing w:after="0"/>
              <w:rPr>
                <w:lang w:val="sv-SE"/>
              </w:rPr>
            </w:pPr>
          </w:p>
        </w:tc>
      </w:tr>
      <w:tr w:rsidR="00F3012E" w:rsidRPr="00D00630" w14:paraId="6D6B5D75" w14:textId="77777777" w:rsidTr="00695A7D">
        <w:trPr>
          <w:cantSplit/>
        </w:trPr>
        <w:tc>
          <w:tcPr>
            <w:tcW w:w="2430" w:type="dxa"/>
            <w:vMerge w:val="restart"/>
            <w:vAlign w:val="center"/>
          </w:tcPr>
          <w:p w14:paraId="17B391C2" w14:textId="77777777" w:rsidR="00F3012E" w:rsidRPr="00A50800" w:rsidRDefault="00F3012E" w:rsidP="00695A7D">
            <w:pPr>
              <w:pStyle w:val="TableText"/>
              <w:spacing w:after="0"/>
              <w:rPr>
                <w:lang w:val="sv-SE"/>
              </w:rPr>
            </w:pPr>
            <w:r w:rsidRPr="00A50800">
              <w:rPr>
                <w:lang w:val="sv-SE"/>
              </w:rPr>
              <w:t>Omräknat antal Aktier som varje Teckningsoption berättigar till Teckning av</w:t>
            </w:r>
          </w:p>
        </w:tc>
        <w:tc>
          <w:tcPr>
            <w:tcW w:w="450" w:type="dxa"/>
            <w:vMerge w:val="restart"/>
            <w:vAlign w:val="center"/>
          </w:tcPr>
          <w:p w14:paraId="5EEB8156" w14:textId="77777777" w:rsidR="00F3012E" w:rsidRPr="00437F01" w:rsidRDefault="00F3012E" w:rsidP="00695A7D">
            <w:pPr>
              <w:pStyle w:val="TableText"/>
              <w:spacing w:after="0"/>
            </w:pPr>
            <w:r w:rsidRPr="00437F01">
              <w:t>=</w:t>
            </w:r>
          </w:p>
        </w:tc>
        <w:tc>
          <w:tcPr>
            <w:tcW w:w="5490" w:type="dxa"/>
            <w:tcBorders>
              <w:top w:val="nil"/>
              <w:bottom w:val="single" w:sz="4" w:space="0" w:color="auto"/>
            </w:tcBorders>
          </w:tcPr>
          <w:p w14:paraId="0BCDB37C" w14:textId="77777777" w:rsidR="00F3012E" w:rsidRPr="00A50800" w:rsidRDefault="00F3012E" w:rsidP="00695A7D">
            <w:pPr>
              <w:pStyle w:val="TableText"/>
              <w:spacing w:after="0"/>
              <w:rPr>
                <w:lang w:val="sv-SE"/>
              </w:rPr>
            </w:pPr>
            <w:r w:rsidRPr="00A50800">
              <w:rPr>
                <w:lang w:val="sv-SE"/>
              </w:rPr>
              <w:t xml:space="preserve">Föregående antal Aktier som varje Teckningsoption berättigar till Teckning av </w:t>
            </w:r>
            <w:r w:rsidRPr="00A50800">
              <w:rPr>
                <w:i/>
                <w:lang w:val="sv-SE"/>
              </w:rPr>
              <w:t>x</w:t>
            </w:r>
            <w:r w:rsidRPr="00A50800">
              <w:rPr>
                <w:lang w:val="sv-SE"/>
              </w:rPr>
              <w:t xml:space="preserve"> (Aktiens genomsnittskurs ökad med det belopp som återbetalas per Aktie)</w:t>
            </w:r>
          </w:p>
        </w:tc>
      </w:tr>
      <w:tr w:rsidR="00F3012E" w:rsidRPr="00437F01" w14:paraId="368B9FBB" w14:textId="77777777" w:rsidTr="00695A7D">
        <w:trPr>
          <w:cantSplit/>
        </w:trPr>
        <w:tc>
          <w:tcPr>
            <w:tcW w:w="2430" w:type="dxa"/>
            <w:vMerge/>
          </w:tcPr>
          <w:p w14:paraId="4AED414C" w14:textId="77777777" w:rsidR="00F3012E" w:rsidRPr="00A50800" w:rsidRDefault="00F3012E" w:rsidP="00695A7D">
            <w:pPr>
              <w:pStyle w:val="TableText"/>
              <w:spacing w:after="0"/>
              <w:rPr>
                <w:lang w:val="sv-SE"/>
              </w:rPr>
            </w:pPr>
          </w:p>
        </w:tc>
        <w:tc>
          <w:tcPr>
            <w:tcW w:w="450" w:type="dxa"/>
            <w:vMerge/>
          </w:tcPr>
          <w:p w14:paraId="0AEEDAC0" w14:textId="77777777" w:rsidR="00F3012E" w:rsidRPr="00A50800" w:rsidRDefault="00F3012E" w:rsidP="00695A7D">
            <w:pPr>
              <w:pStyle w:val="TableText"/>
              <w:spacing w:after="0"/>
              <w:rPr>
                <w:lang w:val="sv-SE"/>
              </w:rPr>
            </w:pPr>
          </w:p>
        </w:tc>
        <w:tc>
          <w:tcPr>
            <w:tcW w:w="5490" w:type="dxa"/>
            <w:tcBorders>
              <w:top w:val="single" w:sz="4" w:space="0" w:color="auto"/>
            </w:tcBorders>
          </w:tcPr>
          <w:p w14:paraId="084ABEF0" w14:textId="77777777" w:rsidR="00F3012E" w:rsidRPr="00437F01" w:rsidRDefault="00F3012E" w:rsidP="00695A7D">
            <w:pPr>
              <w:pStyle w:val="TableText"/>
              <w:spacing w:after="0"/>
            </w:pPr>
            <w:proofErr w:type="spellStart"/>
            <w:r w:rsidRPr="00437F01">
              <w:t>Aktiens</w:t>
            </w:r>
            <w:proofErr w:type="spellEnd"/>
            <w:r w:rsidRPr="00437F01">
              <w:t xml:space="preserve"> </w:t>
            </w:r>
            <w:proofErr w:type="spellStart"/>
            <w:r w:rsidRPr="00437F01">
              <w:t>genomsnittskurs</w:t>
            </w:r>
            <w:proofErr w:type="spellEnd"/>
          </w:p>
        </w:tc>
      </w:tr>
      <w:tr w:rsidR="00F3012E" w:rsidRPr="007F470D" w14:paraId="5CB5CE18" w14:textId="77777777" w:rsidTr="00695A7D">
        <w:trPr>
          <w:cantSplit/>
        </w:trPr>
        <w:tc>
          <w:tcPr>
            <w:tcW w:w="2430" w:type="dxa"/>
            <w:vMerge w:val="restart"/>
            <w:vAlign w:val="center"/>
          </w:tcPr>
          <w:p w14:paraId="257B98A9" w14:textId="77777777" w:rsidR="00F3012E" w:rsidRPr="00437F01" w:rsidRDefault="00F3012E" w:rsidP="00695A7D">
            <w:pPr>
              <w:pStyle w:val="TableText"/>
              <w:spacing w:after="0"/>
            </w:pPr>
            <w:r w:rsidRPr="00437F01">
              <w:rPr>
                <w:i/>
              </w:rPr>
              <w:t>Recalculated Subscription</w:t>
            </w:r>
            <w:r>
              <w:rPr>
                <w:i/>
              </w:rPr>
              <w:t xml:space="preserve"> </w:t>
            </w:r>
            <w:r w:rsidRPr="00437F01">
              <w:rPr>
                <w:i/>
              </w:rPr>
              <w:t>Price</w:t>
            </w:r>
          </w:p>
        </w:tc>
        <w:tc>
          <w:tcPr>
            <w:tcW w:w="450" w:type="dxa"/>
            <w:vMerge w:val="restart"/>
            <w:vAlign w:val="center"/>
          </w:tcPr>
          <w:p w14:paraId="119C4910" w14:textId="77777777" w:rsidR="00F3012E" w:rsidRPr="00437F01" w:rsidRDefault="00F3012E" w:rsidP="00695A7D">
            <w:pPr>
              <w:pStyle w:val="TableText"/>
              <w:spacing w:before="360" w:after="0"/>
            </w:pPr>
            <w:r w:rsidRPr="00437F01">
              <w:t>=</w:t>
            </w:r>
          </w:p>
        </w:tc>
        <w:tc>
          <w:tcPr>
            <w:tcW w:w="5490" w:type="dxa"/>
            <w:tcBorders>
              <w:bottom w:val="single" w:sz="4" w:space="0" w:color="auto"/>
            </w:tcBorders>
          </w:tcPr>
          <w:p w14:paraId="33ABB119" w14:textId="77777777" w:rsidR="00F3012E" w:rsidRPr="00437F01" w:rsidRDefault="00F3012E" w:rsidP="00695A7D">
            <w:pPr>
              <w:pStyle w:val="TableText"/>
              <w:spacing w:after="0"/>
            </w:pPr>
            <w:r w:rsidRPr="00437F01">
              <w:rPr>
                <w:i/>
              </w:rPr>
              <w:t>Previous Subscription Price x the average share price of the Share during a period of 25 trading days calculated from the day of which the Share is quoted without any right to participate in the distribution (the average price of Share)</w:t>
            </w:r>
          </w:p>
        </w:tc>
      </w:tr>
      <w:tr w:rsidR="00F3012E" w:rsidRPr="007F470D" w14:paraId="180B7108" w14:textId="77777777" w:rsidTr="00695A7D">
        <w:trPr>
          <w:cantSplit/>
        </w:trPr>
        <w:tc>
          <w:tcPr>
            <w:tcW w:w="2430" w:type="dxa"/>
            <w:vMerge/>
          </w:tcPr>
          <w:p w14:paraId="45B04988" w14:textId="77777777" w:rsidR="00F3012E" w:rsidRPr="00437F01" w:rsidRDefault="00F3012E" w:rsidP="00695A7D">
            <w:pPr>
              <w:pStyle w:val="TableText"/>
              <w:spacing w:after="0"/>
            </w:pPr>
          </w:p>
        </w:tc>
        <w:tc>
          <w:tcPr>
            <w:tcW w:w="450" w:type="dxa"/>
            <w:vMerge/>
          </w:tcPr>
          <w:p w14:paraId="1701C5F1" w14:textId="77777777" w:rsidR="00F3012E" w:rsidRPr="00437F01" w:rsidRDefault="00F3012E" w:rsidP="00695A7D">
            <w:pPr>
              <w:pStyle w:val="TableText"/>
              <w:spacing w:after="0"/>
            </w:pPr>
          </w:p>
        </w:tc>
        <w:tc>
          <w:tcPr>
            <w:tcW w:w="5490" w:type="dxa"/>
            <w:tcBorders>
              <w:top w:val="single" w:sz="4" w:space="0" w:color="auto"/>
              <w:bottom w:val="nil"/>
            </w:tcBorders>
          </w:tcPr>
          <w:p w14:paraId="3A1378BB" w14:textId="77777777" w:rsidR="00F3012E" w:rsidRPr="00437F01" w:rsidRDefault="00F3012E" w:rsidP="00695A7D">
            <w:pPr>
              <w:pStyle w:val="TableText"/>
              <w:spacing w:after="0"/>
            </w:pPr>
            <w:r w:rsidRPr="00437F01">
              <w:rPr>
                <w:i/>
              </w:rPr>
              <w:t>Average price of Share increased by the amount repaid per Share</w:t>
            </w:r>
          </w:p>
        </w:tc>
      </w:tr>
      <w:tr w:rsidR="00F3012E" w:rsidRPr="007F470D" w14:paraId="76160A22" w14:textId="77777777" w:rsidTr="00695A7D">
        <w:trPr>
          <w:cantSplit/>
        </w:trPr>
        <w:tc>
          <w:tcPr>
            <w:tcW w:w="2430" w:type="dxa"/>
            <w:vAlign w:val="center"/>
          </w:tcPr>
          <w:p w14:paraId="09FC043F" w14:textId="77777777" w:rsidR="00F3012E" w:rsidRPr="00437F01" w:rsidRDefault="00F3012E" w:rsidP="00695A7D">
            <w:pPr>
              <w:pStyle w:val="TableText"/>
              <w:spacing w:after="0"/>
              <w:rPr>
                <w:i/>
              </w:rPr>
            </w:pPr>
          </w:p>
        </w:tc>
        <w:tc>
          <w:tcPr>
            <w:tcW w:w="450" w:type="dxa"/>
            <w:tcBorders>
              <w:right w:val="nil"/>
            </w:tcBorders>
            <w:vAlign w:val="center"/>
          </w:tcPr>
          <w:p w14:paraId="243B8B2D" w14:textId="77777777" w:rsidR="00F3012E" w:rsidRPr="00437F01" w:rsidRDefault="00F3012E" w:rsidP="00695A7D">
            <w:pPr>
              <w:pStyle w:val="TableText"/>
              <w:spacing w:after="0"/>
            </w:pPr>
          </w:p>
        </w:tc>
        <w:tc>
          <w:tcPr>
            <w:tcW w:w="5490" w:type="dxa"/>
            <w:tcBorders>
              <w:top w:val="nil"/>
              <w:left w:val="nil"/>
              <w:bottom w:val="nil"/>
              <w:right w:val="nil"/>
            </w:tcBorders>
          </w:tcPr>
          <w:p w14:paraId="1B571039" w14:textId="77777777" w:rsidR="00F3012E" w:rsidRPr="00437F01" w:rsidRDefault="00F3012E" w:rsidP="00695A7D">
            <w:pPr>
              <w:pStyle w:val="TableText"/>
              <w:spacing w:after="0"/>
              <w:rPr>
                <w:i/>
              </w:rPr>
            </w:pPr>
          </w:p>
        </w:tc>
      </w:tr>
      <w:tr w:rsidR="00F3012E" w:rsidRPr="007F470D" w14:paraId="477D5E25" w14:textId="77777777" w:rsidTr="00695A7D">
        <w:trPr>
          <w:cantSplit/>
        </w:trPr>
        <w:tc>
          <w:tcPr>
            <w:tcW w:w="2430" w:type="dxa"/>
            <w:vMerge w:val="restart"/>
            <w:vAlign w:val="center"/>
          </w:tcPr>
          <w:p w14:paraId="468FB9BB" w14:textId="77777777" w:rsidR="00F3012E" w:rsidRPr="00437F01" w:rsidRDefault="00F3012E" w:rsidP="00695A7D">
            <w:pPr>
              <w:pStyle w:val="TableText"/>
              <w:spacing w:after="0"/>
            </w:pPr>
            <w:r w:rsidRPr="00437F01">
              <w:rPr>
                <w:i/>
              </w:rPr>
              <w:t>Recalculated number of</w:t>
            </w:r>
            <w:r>
              <w:rPr>
                <w:i/>
              </w:rPr>
              <w:t xml:space="preserve"> </w:t>
            </w:r>
            <w:r w:rsidRPr="00437F01">
              <w:rPr>
                <w:i/>
              </w:rPr>
              <w:t>Shares that each Warrant entitles to Subscribe for</w:t>
            </w:r>
          </w:p>
        </w:tc>
        <w:tc>
          <w:tcPr>
            <w:tcW w:w="450" w:type="dxa"/>
            <w:vMerge w:val="restart"/>
            <w:vAlign w:val="center"/>
          </w:tcPr>
          <w:p w14:paraId="12D50CAF" w14:textId="77777777" w:rsidR="00F3012E" w:rsidRPr="00437F01" w:rsidRDefault="00F3012E" w:rsidP="00695A7D">
            <w:pPr>
              <w:pStyle w:val="TableText"/>
              <w:spacing w:before="360" w:after="0"/>
            </w:pPr>
            <w:r w:rsidRPr="00437F01">
              <w:t>=</w:t>
            </w:r>
          </w:p>
        </w:tc>
        <w:tc>
          <w:tcPr>
            <w:tcW w:w="5490" w:type="dxa"/>
            <w:tcBorders>
              <w:top w:val="nil"/>
              <w:bottom w:val="single" w:sz="4" w:space="0" w:color="auto"/>
            </w:tcBorders>
          </w:tcPr>
          <w:p w14:paraId="12544F92" w14:textId="77777777" w:rsidR="00F3012E" w:rsidRPr="00437F01" w:rsidRDefault="00F3012E" w:rsidP="00695A7D">
            <w:pPr>
              <w:pStyle w:val="TableText"/>
              <w:spacing w:after="0"/>
            </w:pPr>
            <w:r w:rsidRPr="00437F01">
              <w:rPr>
                <w:i/>
              </w:rPr>
              <w:t>Previous number of Shares that the Warrant entitles to Subscribe for x (the average price of Share</w:t>
            </w:r>
            <w:r w:rsidRPr="00437F01">
              <w:t xml:space="preserve"> </w:t>
            </w:r>
            <w:r w:rsidRPr="00437F01">
              <w:rPr>
                <w:i/>
              </w:rPr>
              <w:t>increased by the amount repaid per Share)</w:t>
            </w:r>
          </w:p>
        </w:tc>
      </w:tr>
      <w:tr w:rsidR="00F3012E" w:rsidRPr="00437F01" w14:paraId="499FDF0D" w14:textId="77777777" w:rsidTr="00695A7D">
        <w:trPr>
          <w:cantSplit/>
        </w:trPr>
        <w:tc>
          <w:tcPr>
            <w:tcW w:w="2430" w:type="dxa"/>
            <w:vMerge/>
          </w:tcPr>
          <w:p w14:paraId="2F917D92" w14:textId="77777777" w:rsidR="00F3012E" w:rsidRPr="00437F01" w:rsidRDefault="00F3012E" w:rsidP="00695A7D">
            <w:pPr>
              <w:pStyle w:val="TableText"/>
              <w:spacing w:after="0"/>
            </w:pPr>
          </w:p>
        </w:tc>
        <w:tc>
          <w:tcPr>
            <w:tcW w:w="450" w:type="dxa"/>
            <w:vMerge/>
          </w:tcPr>
          <w:p w14:paraId="7B8B127E" w14:textId="77777777" w:rsidR="00F3012E" w:rsidRPr="00437F01" w:rsidRDefault="00F3012E" w:rsidP="00695A7D">
            <w:pPr>
              <w:pStyle w:val="TableText"/>
              <w:spacing w:after="0"/>
            </w:pPr>
          </w:p>
        </w:tc>
        <w:tc>
          <w:tcPr>
            <w:tcW w:w="5490" w:type="dxa"/>
            <w:tcBorders>
              <w:top w:val="single" w:sz="4" w:space="0" w:color="auto"/>
              <w:bottom w:val="nil"/>
            </w:tcBorders>
          </w:tcPr>
          <w:p w14:paraId="21515E6A" w14:textId="77777777" w:rsidR="00F3012E" w:rsidRPr="00437F01" w:rsidRDefault="00F3012E" w:rsidP="00695A7D">
            <w:pPr>
              <w:pStyle w:val="TableText"/>
              <w:spacing w:after="0"/>
            </w:pPr>
            <w:r w:rsidRPr="00437F01">
              <w:rPr>
                <w:i/>
              </w:rPr>
              <w:t>Average price of Share</w:t>
            </w:r>
          </w:p>
        </w:tc>
      </w:tr>
      <w:tr w:rsidR="00F3012E" w:rsidRPr="00437F01" w14:paraId="3BE8E41F" w14:textId="77777777" w:rsidTr="00695A7D">
        <w:trPr>
          <w:cantSplit/>
        </w:trPr>
        <w:tc>
          <w:tcPr>
            <w:tcW w:w="2430" w:type="dxa"/>
          </w:tcPr>
          <w:p w14:paraId="153CC7B2" w14:textId="77777777" w:rsidR="00F3012E" w:rsidRPr="00437F01" w:rsidRDefault="00F3012E" w:rsidP="00695A7D">
            <w:pPr>
              <w:pStyle w:val="TableText"/>
              <w:spacing w:after="0"/>
            </w:pPr>
          </w:p>
        </w:tc>
        <w:tc>
          <w:tcPr>
            <w:tcW w:w="450" w:type="dxa"/>
            <w:tcBorders>
              <w:right w:val="nil"/>
            </w:tcBorders>
          </w:tcPr>
          <w:p w14:paraId="57C5C690" w14:textId="77777777" w:rsidR="00F3012E" w:rsidRPr="00437F01" w:rsidRDefault="00F3012E" w:rsidP="00695A7D">
            <w:pPr>
              <w:pStyle w:val="TableText"/>
              <w:spacing w:after="0"/>
            </w:pPr>
          </w:p>
        </w:tc>
        <w:tc>
          <w:tcPr>
            <w:tcW w:w="5490" w:type="dxa"/>
            <w:tcBorders>
              <w:top w:val="nil"/>
              <w:left w:val="nil"/>
              <w:bottom w:val="nil"/>
              <w:right w:val="nil"/>
            </w:tcBorders>
          </w:tcPr>
          <w:p w14:paraId="595F666A" w14:textId="77777777" w:rsidR="00F3012E" w:rsidRPr="00437F01" w:rsidRDefault="00F3012E" w:rsidP="00695A7D">
            <w:pPr>
              <w:pStyle w:val="TableText"/>
              <w:spacing w:after="0"/>
              <w:rPr>
                <w:i/>
              </w:rPr>
            </w:pPr>
          </w:p>
        </w:tc>
      </w:tr>
    </w:tbl>
    <w:p w14:paraId="70845D83" w14:textId="77777777" w:rsidR="00F3012E" w:rsidRPr="00437F01" w:rsidRDefault="00F3012E" w:rsidP="00F3012E">
      <w:pPr>
        <w:pStyle w:val="BodyText"/>
        <w:ind w:left="720"/>
      </w:pPr>
      <w:r w:rsidRPr="00EB7BAC">
        <w:rPr>
          <w:szCs w:val="22"/>
          <w:lang w:val="sv-SE"/>
        </w:rPr>
        <w:t>Aktiens</w:t>
      </w:r>
      <w:r w:rsidRPr="00A50800">
        <w:rPr>
          <w:lang w:val="sv-SE"/>
        </w:rPr>
        <w:t xml:space="preserve"> genomsnittskurs beräknas i enlighet med vad som angivits i </w:t>
      </w:r>
      <w:r>
        <w:rPr>
          <w:lang w:val="sv-SE"/>
        </w:rPr>
        <w:t>punkt</w:t>
      </w:r>
      <w:r w:rsidRPr="00A50800">
        <w:rPr>
          <w:lang w:val="sv-SE"/>
        </w:rPr>
        <w:t xml:space="preserve">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xml:space="preserve"> ovan.</w:t>
      </w:r>
      <w:r w:rsidRPr="00A50800">
        <w:rPr>
          <w:lang w:val="sv-SE"/>
        </w:rPr>
        <w:br/>
      </w:r>
      <w:r w:rsidRPr="00437F01">
        <w:rPr>
          <w:i/>
        </w:rPr>
        <w:t xml:space="preserve">The average price of Share is calculated in accordance with the provisions set forth in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above.</w:t>
      </w:r>
    </w:p>
    <w:p w14:paraId="21046C25" w14:textId="77777777" w:rsidR="00F3012E" w:rsidRDefault="00F3012E" w:rsidP="00F3012E">
      <w:pPr>
        <w:pStyle w:val="BodyText"/>
        <w:ind w:left="720"/>
        <w:rPr>
          <w:i/>
        </w:rPr>
      </w:pPr>
      <w:r w:rsidRPr="006B6AC0">
        <w:rPr>
          <w:lang w:val="en-US"/>
        </w:rPr>
        <w:t xml:space="preserve">Vid </w:t>
      </w:r>
      <w:proofErr w:type="spellStart"/>
      <w:r w:rsidRPr="006B6AC0">
        <w:rPr>
          <w:lang w:val="en-US"/>
        </w:rPr>
        <w:t>omräkning</w:t>
      </w:r>
      <w:proofErr w:type="spellEnd"/>
      <w:r w:rsidRPr="006B6AC0">
        <w:rPr>
          <w:lang w:val="en-US"/>
        </w:rPr>
        <w:t xml:space="preserve"> </w:t>
      </w:r>
      <w:proofErr w:type="spellStart"/>
      <w:r w:rsidRPr="006B6AC0">
        <w:rPr>
          <w:lang w:val="en-US"/>
        </w:rPr>
        <w:t>enligt</w:t>
      </w:r>
      <w:proofErr w:type="spellEnd"/>
      <w:r w:rsidRPr="006B6AC0">
        <w:rPr>
          <w:lang w:val="en-US"/>
        </w:rPr>
        <w:t xml:space="preserve"> </w:t>
      </w:r>
      <w:proofErr w:type="spellStart"/>
      <w:r w:rsidRPr="006B6AC0">
        <w:rPr>
          <w:lang w:val="en-US"/>
        </w:rPr>
        <w:t>ovan</w:t>
      </w:r>
      <w:proofErr w:type="spellEnd"/>
      <w:r w:rsidRPr="006B6AC0">
        <w:rPr>
          <w:lang w:val="en-US"/>
        </w:rPr>
        <w:t xml:space="preserve"> </w:t>
      </w:r>
      <w:proofErr w:type="spellStart"/>
      <w:r w:rsidRPr="006B6AC0">
        <w:rPr>
          <w:lang w:val="en-US"/>
        </w:rPr>
        <w:t>och</w:t>
      </w:r>
      <w:proofErr w:type="spellEnd"/>
      <w:r w:rsidRPr="006B6AC0">
        <w:rPr>
          <w:lang w:val="en-US"/>
        </w:rPr>
        <w:t xml:space="preserve"> </w:t>
      </w:r>
      <w:proofErr w:type="spellStart"/>
      <w:r w:rsidRPr="006B6AC0">
        <w:rPr>
          <w:lang w:val="en-US"/>
        </w:rPr>
        <w:t>där</w:t>
      </w:r>
      <w:proofErr w:type="spellEnd"/>
      <w:r w:rsidRPr="006B6AC0">
        <w:rPr>
          <w:lang w:val="en-US"/>
        </w:rPr>
        <w:t xml:space="preserve"> </w:t>
      </w:r>
      <w:proofErr w:type="spellStart"/>
      <w:r w:rsidRPr="006B6AC0">
        <w:rPr>
          <w:lang w:val="en-US"/>
        </w:rPr>
        <w:t>minskningen</w:t>
      </w:r>
      <w:proofErr w:type="spellEnd"/>
      <w:r w:rsidRPr="006B6AC0">
        <w:rPr>
          <w:lang w:val="en-US"/>
        </w:rPr>
        <w:t xml:space="preserve"> </w:t>
      </w:r>
      <w:proofErr w:type="spellStart"/>
      <w:r w:rsidRPr="006B6AC0">
        <w:rPr>
          <w:lang w:val="en-US"/>
        </w:rPr>
        <w:t>sker</w:t>
      </w:r>
      <w:proofErr w:type="spellEnd"/>
      <w:r w:rsidRPr="006B6AC0">
        <w:rPr>
          <w:lang w:val="en-US"/>
        </w:rPr>
        <w:t xml:space="preserve"> </w:t>
      </w:r>
      <w:proofErr w:type="spellStart"/>
      <w:r w:rsidRPr="006B6AC0">
        <w:rPr>
          <w:lang w:val="en-US"/>
        </w:rPr>
        <w:t>genom</w:t>
      </w:r>
      <w:proofErr w:type="spellEnd"/>
      <w:r w:rsidRPr="006B6AC0">
        <w:rPr>
          <w:lang w:val="en-US"/>
        </w:rPr>
        <w:t xml:space="preserve"> </w:t>
      </w:r>
      <w:proofErr w:type="spellStart"/>
      <w:r w:rsidRPr="006B6AC0">
        <w:rPr>
          <w:u w:val="single"/>
          <w:lang w:val="en-US"/>
        </w:rPr>
        <w:t>inlösen</w:t>
      </w:r>
      <w:proofErr w:type="spellEnd"/>
      <w:r w:rsidRPr="006B6AC0">
        <w:rPr>
          <w:u w:val="single"/>
          <w:lang w:val="en-US"/>
        </w:rPr>
        <w:t xml:space="preserve"> av </w:t>
      </w:r>
      <w:proofErr w:type="spellStart"/>
      <w:r w:rsidRPr="006B6AC0">
        <w:rPr>
          <w:u w:val="single"/>
          <w:lang w:val="en-US"/>
        </w:rPr>
        <w:t>Aktier</w:t>
      </w:r>
      <w:proofErr w:type="spellEnd"/>
      <w:r w:rsidRPr="006B6AC0">
        <w:rPr>
          <w:lang w:val="en-US"/>
        </w:rPr>
        <w:t xml:space="preserve">, ska </w:t>
      </w:r>
      <w:proofErr w:type="spellStart"/>
      <w:r w:rsidRPr="006B6AC0">
        <w:rPr>
          <w:lang w:val="en-US"/>
        </w:rPr>
        <w:t>istället</w:t>
      </w:r>
      <w:proofErr w:type="spellEnd"/>
      <w:r w:rsidRPr="006B6AC0">
        <w:rPr>
          <w:lang w:val="en-US"/>
        </w:rPr>
        <w:t xml:space="preserve"> för det </w:t>
      </w:r>
      <w:proofErr w:type="spellStart"/>
      <w:r w:rsidRPr="006B6AC0">
        <w:rPr>
          <w:lang w:val="en-US"/>
        </w:rPr>
        <w:t>faktiska</w:t>
      </w:r>
      <w:proofErr w:type="spellEnd"/>
      <w:r w:rsidRPr="006B6AC0">
        <w:rPr>
          <w:lang w:val="en-US"/>
        </w:rPr>
        <w:t xml:space="preserve"> </w:t>
      </w:r>
      <w:proofErr w:type="spellStart"/>
      <w:r w:rsidRPr="006B6AC0">
        <w:rPr>
          <w:lang w:val="en-US"/>
        </w:rPr>
        <w:t>belopp</w:t>
      </w:r>
      <w:proofErr w:type="spellEnd"/>
      <w:r w:rsidRPr="006B6AC0">
        <w:rPr>
          <w:lang w:val="en-US"/>
        </w:rPr>
        <w:t xml:space="preserve"> </w:t>
      </w:r>
      <w:proofErr w:type="spellStart"/>
      <w:r w:rsidRPr="006B6AC0">
        <w:rPr>
          <w:lang w:val="en-US"/>
        </w:rPr>
        <w:t>som</w:t>
      </w:r>
      <w:proofErr w:type="spellEnd"/>
      <w:r w:rsidRPr="006B6AC0">
        <w:rPr>
          <w:lang w:val="en-US"/>
        </w:rPr>
        <w:t xml:space="preserve"> </w:t>
      </w:r>
      <w:proofErr w:type="spellStart"/>
      <w:r w:rsidRPr="006B6AC0">
        <w:rPr>
          <w:lang w:val="en-US"/>
        </w:rPr>
        <w:t>återbetalas</w:t>
      </w:r>
      <w:proofErr w:type="spellEnd"/>
      <w:r w:rsidRPr="006B6AC0">
        <w:rPr>
          <w:lang w:val="en-US"/>
        </w:rPr>
        <w:t xml:space="preserve"> per </w:t>
      </w:r>
      <w:proofErr w:type="spellStart"/>
      <w:r w:rsidRPr="006B6AC0">
        <w:rPr>
          <w:lang w:val="en-US"/>
        </w:rPr>
        <w:t>Aktie</w:t>
      </w:r>
      <w:proofErr w:type="spellEnd"/>
      <w:r w:rsidRPr="006B6AC0">
        <w:rPr>
          <w:lang w:val="en-US"/>
        </w:rPr>
        <w:t xml:space="preserve"> </w:t>
      </w:r>
      <w:proofErr w:type="spellStart"/>
      <w:r w:rsidRPr="006B6AC0">
        <w:rPr>
          <w:lang w:val="en-US"/>
        </w:rPr>
        <w:t>ett</w:t>
      </w:r>
      <w:proofErr w:type="spellEnd"/>
      <w:r w:rsidRPr="006B6AC0">
        <w:rPr>
          <w:lang w:val="en-US"/>
        </w:rPr>
        <w:t xml:space="preserve"> </w:t>
      </w:r>
      <w:proofErr w:type="spellStart"/>
      <w:r w:rsidRPr="006B6AC0">
        <w:rPr>
          <w:lang w:val="en-US"/>
        </w:rPr>
        <w:t>beräknat</w:t>
      </w:r>
      <w:proofErr w:type="spellEnd"/>
      <w:r w:rsidRPr="006B6AC0">
        <w:rPr>
          <w:lang w:val="en-US"/>
        </w:rPr>
        <w:t xml:space="preserve"> </w:t>
      </w:r>
      <w:proofErr w:type="spellStart"/>
      <w:r w:rsidRPr="006B6AC0">
        <w:rPr>
          <w:lang w:val="en-US"/>
        </w:rPr>
        <w:t>återbetalningsbelopp</w:t>
      </w:r>
      <w:proofErr w:type="spellEnd"/>
      <w:r w:rsidRPr="006B6AC0">
        <w:rPr>
          <w:lang w:val="en-US"/>
        </w:rPr>
        <w:t xml:space="preserve"> </w:t>
      </w:r>
      <w:proofErr w:type="spellStart"/>
      <w:r w:rsidRPr="006B6AC0">
        <w:rPr>
          <w:lang w:val="en-US"/>
        </w:rPr>
        <w:t>användas</w:t>
      </w:r>
      <w:proofErr w:type="spellEnd"/>
      <w:r w:rsidRPr="006B6AC0">
        <w:rPr>
          <w:lang w:val="en-US"/>
        </w:rPr>
        <w:t xml:space="preserve"> </w:t>
      </w:r>
      <w:proofErr w:type="spellStart"/>
      <w:r w:rsidRPr="006B6AC0">
        <w:rPr>
          <w:lang w:val="en-US"/>
        </w:rPr>
        <w:t>enligt</w:t>
      </w:r>
      <w:proofErr w:type="spellEnd"/>
      <w:r w:rsidRPr="006B6AC0">
        <w:rPr>
          <w:lang w:val="en-US"/>
        </w:rPr>
        <w:t xml:space="preserve"> </w:t>
      </w:r>
      <w:proofErr w:type="spellStart"/>
      <w:r w:rsidRPr="006B6AC0">
        <w:rPr>
          <w:lang w:val="en-US"/>
        </w:rPr>
        <w:t>följande</w:t>
      </w:r>
      <w:proofErr w:type="spellEnd"/>
      <w:r w:rsidRPr="006B6AC0">
        <w:rPr>
          <w:lang w:val="en-US"/>
        </w:rPr>
        <w:t>:</w:t>
      </w:r>
      <w:r w:rsidRPr="00437F01">
        <w:br/>
      </w:r>
      <w:r w:rsidRPr="00437F01">
        <w:rPr>
          <w:i/>
        </w:rPr>
        <w:t xml:space="preserve">When re-calculating in accordance with the above and in the event that reduction is effected through </w:t>
      </w:r>
      <w:r w:rsidRPr="00437F01">
        <w:rPr>
          <w:i/>
          <w:u w:val="single"/>
        </w:rPr>
        <w:t>redemption of shares</w:t>
      </w:r>
      <w:r w:rsidRPr="00437F01">
        <w:rPr>
          <w:i/>
        </w:rPr>
        <w:t>, a repayment amount according to the calculation below shall be used instead of the actual amount that will be repaid per Share according to the following:</w:t>
      </w:r>
    </w:p>
    <w:p w14:paraId="1F848D71" w14:textId="29C35FB8" w:rsidR="003B12B8" w:rsidRDefault="003B12B8" w:rsidP="00F3012E">
      <w:pPr>
        <w:pStyle w:val="BodyText"/>
        <w:ind w:left="720"/>
      </w:pPr>
      <w:r>
        <w:br w:type="page"/>
      </w:r>
    </w:p>
    <w:tbl>
      <w:tblPr>
        <w:tblW w:w="8363" w:type="dxa"/>
        <w:tblInd w:w="630" w:type="dxa"/>
        <w:tblBorders>
          <w:top w:val="nil"/>
          <w:left w:val="nil"/>
          <w:bottom w:val="nil"/>
          <w:right w:val="nil"/>
          <w:insideH w:val="nil"/>
          <w:insideV w:val="nil"/>
        </w:tblBorders>
        <w:tblLook w:val="04A0" w:firstRow="1" w:lastRow="0" w:firstColumn="1" w:lastColumn="0" w:noHBand="0" w:noVBand="1"/>
      </w:tblPr>
      <w:tblGrid>
        <w:gridCol w:w="2430"/>
        <w:gridCol w:w="450"/>
        <w:gridCol w:w="5483"/>
      </w:tblGrid>
      <w:tr w:rsidR="00F3012E" w:rsidRPr="00D00630" w14:paraId="1D62A047" w14:textId="77777777" w:rsidTr="00695A7D">
        <w:trPr>
          <w:cantSplit/>
        </w:trPr>
        <w:tc>
          <w:tcPr>
            <w:tcW w:w="2430" w:type="dxa"/>
            <w:vMerge w:val="restart"/>
            <w:vAlign w:val="center"/>
          </w:tcPr>
          <w:p w14:paraId="41B57D2A" w14:textId="77777777" w:rsidR="00F3012E" w:rsidRPr="006B6AC0" w:rsidRDefault="00F3012E" w:rsidP="00695A7D">
            <w:pPr>
              <w:pStyle w:val="TableText"/>
              <w:spacing w:after="0"/>
              <w:rPr>
                <w:lang w:val="sv-SE"/>
              </w:rPr>
            </w:pPr>
            <w:r w:rsidRPr="006B6AC0">
              <w:rPr>
                <w:lang w:val="sv-SE"/>
              </w:rPr>
              <w:lastRenderedPageBreak/>
              <w:t>Beräknat återbetalningsbelopp</w:t>
            </w:r>
            <w:r w:rsidRPr="006B6AC0">
              <w:rPr>
                <w:lang w:val="sv-SE"/>
              </w:rPr>
              <w:br/>
              <w:t>per Aktie</w:t>
            </w:r>
          </w:p>
        </w:tc>
        <w:tc>
          <w:tcPr>
            <w:tcW w:w="450" w:type="dxa"/>
            <w:vMerge w:val="restart"/>
            <w:vAlign w:val="center"/>
          </w:tcPr>
          <w:p w14:paraId="6A8F9729" w14:textId="77777777" w:rsidR="00F3012E" w:rsidRPr="00437F01" w:rsidRDefault="00F3012E" w:rsidP="00695A7D">
            <w:pPr>
              <w:pStyle w:val="TableText"/>
              <w:spacing w:before="480" w:after="0"/>
            </w:pPr>
            <w:r w:rsidRPr="00437F01">
              <w:t>=</w:t>
            </w:r>
          </w:p>
        </w:tc>
        <w:tc>
          <w:tcPr>
            <w:tcW w:w="5483" w:type="dxa"/>
            <w:tcBorders>
              <w:bottom w:val="single" w:sz="4" w:space="0" w:color="auto"/>
            </w:tcBorders>
          </w:tcPr>
          <w:p w14:paraId="21A6F71C" w14:textId="77777777" w:rsidR="00F3012E" w:rsidRPr="00A50800" w:rsidRDefault="00F3012E" w:rsidP="00695A7D">
            <w:pPr>
              <w:pStyle w:val="TableText"/>
              <w:spacing w:after="0"/>
              <w:rPr>
                <w:lang w:val="sv-SE"/>
              </w:rPr>
            </w:pPr>
            <w:r w:rsidRPr="00A50800">
              <w:rPr>
                <w:lang w:val="sv-SE"/>
              </w:rPr>
              <w:t>Det faktiska belopp som återbetalas på inlöst Aktie minskat med Aktiens genomsnittliga aktiekurs under en period om 25 handelsdagar närmast före den dag då Aktien noteras utan rätt till deltagande minskningen (Aktiens genomsnittskurs)</w:t>
            </w:r>
          </w:p>
        </w:tc>
      </w:tr>
      <w:tr w:rsidR="00F3012E" w:rsidRPr="00D00630" w14:paraId="23180B61" w14:textId="77777777" w:rsidTr="00695A7D">
        <w:trPr>
          <w:cantSplit/>
        </w:trPr>
        <w:tc>
          <w:tcPr>
            <w:tcW w:w="2430" w:type="dxa"/>
            <w:vMerge/>
          </w:tcPr>
          <w:p w14:paraId="6BAB729F" w14:textId="77777777" w:rsidR="00F3012E" w:rsidRPr="00A50800" w:rsidRDefault="00F3012E" w:rsidP="00695A7D">
            <w:pPr>
              <w:pStyle w:val="TableText"/>
              <w:spacing w:after="0"/>
              <w:rPr>
                <w:lang w:val="sv-SE"/>
              </w:rPr>
            </w:pPr>
          </w:p>
        </w:tc>
        <w:tc>
          <w:tcPr>
            <w:tcW w:w="450" w:type="dxa"/>
            <w:vMerge/>
          </w:tcPr>
          <w:p w14:paraId="2B592BC2" w14:textId="77777777" w:rsidR="00F3012E" w:rsidRPr="00A50800" w:rsidRDefault="00F3012E" w:rsidP="00695A7D">
            <w:pPr>
              <w:pStyle w:val="TableText"/>
              <w:spacing w:after="0"/>
              <w:rPr>
                <w:lang w:val="sv-SE"/>
              </w:rPr>
            </w:pPr>
          </w:p>
        </w:tc>
        <w:tc>
          <w:tcPr>
            <w:tcW w:w="5483" w:type="dxa"/>
            <w:tcBorders>
              <w:top w:val="single" w:sz="4" w:space="0" w:color="auto"/>
              <w:bottom w:val="nil"/>
            </w:tcBorders>
          </w:tcPr>
          <w:p w14:paraId="16F07DD5" w14:textId="77777777" w:rsidR="00F3012E" w:rsidRPr="00A50800" w:rsidRDefault="00F3012E" w:rsidP="00695A7D">
            <w:pPr>
              <w:pStyle w:val="TableText"/>
              <w:spacing w:after="0"/>
              <w:rPr>
                <w:lang w:val="sv-SE"/>
              </w:rPr>
            </w:pPr>
            <w:r w:rsidRPr="00A50800">
              <w:rPr>
                <w:lang w:val="sv-SE"/>
              </w:rPr>
              <w:t>Det antal Aktier i Bolaget som ligger till grund för inlösen av en Aktie minskat med talet 1</w:t>
            </w:r>
          </w:p>
        </w:tc>
      </w:tr>
      <w:tr w:rsidR="00F3012E" w:rsidRPr="007F470D" w14:paraId="1A835FD6" w14:textId="77777777" w:rsidTr="00695A7D">
        <w:trPr>
          <w:cantSplit/>
        </w:trPr>
        <w:tc>
          <w:tcPr>
            <w:tcW w:w="2430" w:type="dxa"/>
            <w:vMerge w:val="restart"/>
            <w:vAlign w:val="center"/>
          </w:tcPr>
          <w:p w14:paraId="6C794826" w14:textId="77777777" w:rsidR="00F3012E" w:rsidRPr="00437F01" w:rsidRDefault="00F3012E" w:rsidP="00695A7D">
            <w:pPr>
              <w:pStyle w:val="TableText"/>
              <w:spacing w:after="0"/>
            </w:pPr>
            <w:r w:rsidRPr="00437F01">
              <w:rPr>
                <w:i/>
              </w:rPr>
              <w:t>Calculated repayment</w:t>
            </w:r>
            <w:r w:rsidRPr="00437F01">
              <w:rPr>
                <w:i/>
              </w:rPr>
              <w:br/>
              <w:t>per Share</w:t>
            </w:r>
          </w:p>
        </w:tc>
        <w:tc>
          <w:tcPr>
            <w:tcW w:w="450" w:type="dxa"/>
            <w:vMerge w:val="restart"/>
            <w:vAlign w:val="center"/>
          </w:tcPr>
          <w:p w14:paraId="03D1D7B0" w14:textId="77777777" w:rsidR="00F3012E" w:rsidRPr="00437F01" w:rsidRDefault="00F3012E" w:rsidP="00695A7D">
            <w:pPr>
              <w:pStyle w:val="TableText"/>
              <w:spacing w:before="240" w:after="0"/>
            </w:pPr>
            <w:r w:rsidRPr="00437F01">
              <w:t>=</w:t>
            </w:r>
          </w:p>
        </w:tc>
        <w:tc>
          <w:tcPr>
            <w:tcW w:w="5483" w:type="dxa"/>
            <w:tcBorders>
              <w:top w:val="nil"/>
              <w:bottom w:val="single" w:sz="4" w:space="0" w:color="auto"/>
            </w:tcBorders>
          </w:tcPr>
          <w:p w14:paraId="244C3469" w14:textId="77777777" w:rsidR="00F3012E" w:rsidRPr="002A1EA0" w:rsidRDefault="00F3012E" w:rsidP="00695A7D">
            <w:pPr>
              <w:pStyle w:val="TableText"/>
              <w:spacing w:after="0"/>
              <w:rPr>
                <w:i/>
              </w:rPr>
            </w:pPr>
            <w:r w:rsidRPr="002A1EA0">
              <w:rPr>
                <w:i/>
              </w:rPr>
              <w:t xml:space="preserve">The actual amount that has been repaid per redeemed Share reduced by the average share price of the Shares during a </w:t>
            </w:r>
            <w:proofErr w:type="gramStart"/>
            <w:r w:rsidRPr="002A1EA0">
              <w:rPr>
                <w:i/>
              </w:rPr>
              <w:t>25 day</w:t>
            </w:r>
            <w:proofErr w:type="gramEnd"/>
            <w:r w:rsidRPr="002A1EA0">
              <w:rPr>
                <w:i/>
              </w:rPr>
              <w:t xml:space="preserve"> period immediately prior to the day the Share is quoted without the right to participate in the reduction (the average price of Share)</w:t>
            </w:r>
          </w:p>
        </w:tc>
      </w:tr>
      <w:tr w:rsidR="00F3012E" w:rsidRPr="007F470D" w14:paraId="7FF9ADA6" w14:textId="77777777" w:rsidTr="00695A7D">
        <w:trPr>
          <w:cantSplit/>
        </w:trPr>
        <w:tc>
          <w:tcPr>
            <w:tcW w:w="2430" w:type="dxa"/>
            <w:vMerge/>
          </w:tcPr>
          <w:p w14:paraId="3D00575B" w14:textId="77777777" w:rsidR="00F3012E" w:rsidRPr="00437F01" w:rsidRDefault="00F3012E" w:rsidP="00695A7D">
            <w:pPr>
              <w:pStyle w:val="TableText"/>
              <w:spacing w:after="0"/>
            </w:pPr>
          </w:p>
        </w:tc>
        <w:tc>
          <w:tcPr>
            <w:tcW w:w="450" w:type="dxa"/>
            <w:vMerge/>
          </w:tcPr>
          <w:p w14:paraId="512403E4" w14:textId="77777777" w:rsidR="00F3012E" w:rsidRPr="00437F01" w:rsidRDefault="00F3012E" w:rsidP="00695A7D">
            <w:pPr>
              <w:pStyle w:val="TableText"/>
              <w:spacing w:after="0"/>
            </w:pPr>
          </w:p>
        </w:tc>
        <w:tc>
          <w:tcPr>
            <w:tcW w:w="5483" w:type="dxa"/>
            <w:tcBorders>
              <w:top w:val="single" w:sz="4" w:space="0" w:color="auto"/>
              <w:bottom w:val="nil"/>
            </w:tcBorders>
          </w:tcPr>
          <w:p w14:paraId="6DB626C1" w14:textId="77777777" w:rsidR="00F3012E" w:rsidRPr="00437F01" w:rsidRDefault="00F3012E" w:rsidP="00695A7D">
            <w:pPr>
              <w:pStyle w:val="TableText"/>
              <w:spacing w:after="0"/>
              <w:rPr>
                <w:i/>
              </w:rPr>
            </w:pPr>
            <w:r w:rsidRPr="002A1EA0">
              <w:rPr>
                <w:i/>
              </w:rPr>
              <w:t xml:space="preserve">The number of Shares in the Company that serves as basis for the </w:t>
            </w:r>
            <w:r w:rsidRPr="006B6AC0">
              <w:rPr>
                <w:i/>
                <w:lang w:val="en-US"/>
              </w:rPr>
              <w:t>redemption</w:t>
            </w:r>
            <w:r w:rsidRPr="002A1EA0">
              <w:rPr>
                <w:i/>
              </w:rPr>
              <w:t xml:space="preserve"> of Shares reduced with the number 1</w:t>
            </w:r>
          </w:p>
        </w:tc>
      </w:tr>
      <w:tr w:rsidR="00F3012E" w:rsidRPr="007F470D" w14:paraId="347CDEEA" w14:textId="77777777" w:rsidTr="00695A7D">
        <w:trPr>
          <w:cantSplit/>
        </w:trPr>
        <w:tc>
          <w:tcPr>
            <w:tcW w:w="2430" w:type="dxa"/>
          </w:tcPr>
          <w:p w14:paraId="2887BD1B" w14:textId="77777777" w:rsidR="00F3012E" w:rsidRPr="00437F01" w:rsidRDefault="00F3012E" w:rsidP="00695A7D">
            <w:pPr>
              <w:pStyle w:val="TableText"/>
              <w:spacing w:after="100" w:afterAutospacing="1"/>
            </w:pPr>
          </w:p>
        </w:tc>
        <w:tc>
          <w:tcPr>
            <w:tcW w:w="450" w:type="dxa"/>
            <w:tcBorders>
              <w:right w:val="nil"/>
            </w:tcBorders>
          </w:tcPr>
          <w:p w14:paraId="7A6E7BC3" w14:textId="77777777" w:rsidR="00F3012E" w:rsidRPr="00437F01" w:rsidRDefault="00F3012E" w:rsidP="00695A7D">
            <w:pPr>
              <w:pStyle w:val="TableText"/>
              <w:spacing w:after="100" w:afterAutospacing="1"/>
            </w:pPr>
          </w:p>
        </w:tc>
        <w:tc>
          <w:tcPr>
            <w:tcW w:w="5483" w:type="dxa"/>
            <w:tcBorders>
              <w:top w:val="nil"/>
              <w:left w:val="nil"/>
              <w:bottom w:val="nil"/>
              <w:right w:val="nil"/>
            </w:tcBorders>
          </w:tcPr>
          <w:p w14:paraId="7B8EE890" w14:textId="77777777" w:rsidR="00F3012E" w:rsidRPr="002A1EA0" w:rsidRDefault="00F3012E" w:rsidP="00695A7D">
            <w:pPr>
              <w:pStyle w:val="TableText"/>
              <w:spacing w:after="100" w:afterAutospacing="1"/>
              <w:rPr>
                <w:i/>
              </w:rPr>
            </w:pPr>
          </w:p>
        </w:tc>
      </w:tr>
    </w:tbl>
    <w:p w14:paraId="35808190" w14:textId="77777777" w:rsidR="00F3012E" w:rsidRPr="00437F01" w:rsidRDefault="00F3012E" w:rsidP="00F3012E">
      <w:pPr>
        <w:pStyle w:val="BodyText"/>
        <w:ind w:left="720"/>
        <w:rPr>
          <w:i/>
        </w:rPr>
      </w:pPr>
      <w:r w:rsidRPr="00EB7BAC">
        <w:rPr>
          <w:szCs w:val="22"/>
          <w:lang w:val="sv-SE"/>
        </w:rPr>
        <w:t>Aktiens</w:t>
      </w:r>
      <w:r w:rsidRPr="00A50800">
        <w:rPr>
          <w:lang w:val="sv-SE"/>
        </w:rPr>
        <w:t xml:space="preserve"> genomsnittskurs beräknas i enlighet med vad som angivits i </w:t>
      </w:r>
      <w:r>
        <w:rPr>
          <w:lang w:val="sv-SE"/>
        </w:rPr>
        <w:t>punkt</w:t>
      </w:r>
      <w:r w:rsidRPr="00A50800">
        <w:rPr>
          <w:lang w:val="sv-SE"/>
        </w:rPr>
        <w:t xml:space="preserve"> </w:t>
      </w:r>
      <w:r>
        <w:rPr>
          <w:szCs w:val="22"/>
        </w:rPr>
        <w:fldChar w:fldCharType="begin"/>
      </w:r>
      <w:r>
        <w:rPr>
          <w:lang w:val="sv-SE"/>
        </w:rPr>
        <w:instrText xml:space="preserve"> REF _Ref445997720 \r \h </w:instrText>
      </w:r>
      <w:r>
        <w:rPr>
          <w:szCs w:val="22"/>
        </w:rPr>
      </w:r>
      <w:r>
        <w:rPr>
          <w:szCs w:val="22"/>
        </w:rPr>
        <w:fldChar w:fldCharType="separate"/>
      </w:r>
      <w:r>
        <w:rPr>
          <w:lang w:val="sv-SE"/>
        </w:rPr>
        <w:t>8.2.4</w:t>
      </w:r>
      <w:r>
        <w:rPr>
          <w:szCs w:val="22"/>
        </w:rPr>
        <w:fldChar w:fldCharType="end"/>
      </w:r>
      <w:r w:rsidRPr="00A50800">
        <w:rPr>
          <w:lang w:val="sv-SE"/>
        </w:rPr>
        <w:t xml:space="preserve"> ovan.</w:t>
      </w:r>
      <w:r w:rsidRPr="00A50800">
        <w:rPr>
          <w:lang w:val="sv-SE"/>
        </w:rPr>
        <w:br/>
      </w:r>
      <w:r w:rsidRPr="00437F01">
        <w:rPr>
          <w:i/>
        </w:rPr>
        <w:t xml:space="preserve">The average price of Share is calculated in accordance with the provisions set forth in section </w:t>
      </w:r>
      <w:r>
        <w:rPr>
          <w:i/>
          <w:szCs w:val="22"/>
        </w:rPr>
        <w:fldChar w:fldCharType="begin"/>
      </w:r>
      <w:r>
        <w:rPr>
          <w:i/>
        </w:rPr>
        <w:instrText xml:space="preserve"> REF _Ref445997720 \r \h </w:instrText>
      </w:r>
      <w:r>
        <w:rPr>
          <w:i/>
          <w:szCs w:val="22"/>
        </w:rPr>
      </w:r>
      <w:r>
        <w:rPr>
          <w:i/>
          <w:szCs w:val="22"/>
        </w:rPr>
        <w:fldChar w:fldCharType="separate"/>
      </w:r>
      <w:r>
        <w:rPr>
          <w:i/>
        </w:rPr>
        <w:t>8.2.4</w:t>
      </w:r>
      <w:r>
        <w:rPr>
          <w:i/>
          <w:szCs w:val="22"/>
        </w:rPr>
        <w:fldChar w:fldCharType="end"/>
      </w:r>
      <w:r w:rsidRPr="00437F01">
        <w:rPr>
          <w:i/>
        </w:rPr>
        <w:t xml:space="preserve"> above.</w:t>
      </w:r>
    </w:p>
    <w:p w14:paraId="1DF740E4" w14:textId="77777777" w:rsidR="00F3012E" w:rsidRPr="00437F01" w:rsidRDefault="00F3012E" w:rsidP="00F3012E">
      <w:pPr>
        <w:pStyle w:val="BodyText"/>
        <w:ind w:left="720"/>
      </w:pPr>
      <w:r w:rsidRPr="00A50800">
        <w:rPr>
          <w:lang w:val="sv-SE"/>
        </w:rPr>
        <w:t xml:space="preserve">Enligt ovan omräknad Teckningskurs och omräknat antal Aktier </w:t>
      </w:r>
      <w:r>
        <w:rPr>
          <w:lang w:val="sv-SE"/>
        </w:rPr>
        <w:t>ska</w:t>
      </w:r>
      <w:r w:rsidRPr="00A50800">
        <w:rPr>
          <w:lang w:val="sv-SE"/>
        </w:rPr>
        <w:t xml:space="preserve"> fastställas av Bolaget två </w:t>
      </w:r>
      <w:r w:rsidRPr="00EB7BAC">
        <w:rPr>
          <w:szCs w:val="22"/>
          <w:lang w:val="sv-SE"/>
        </w:rPr>
        <w:t>Bankdagar</w:t>
      </w:r>
      <w:r w:rsidRPr="00A50800">
        <w:rPr>
          <w:lang w:val="sv-SE"/>
        </w:rPr>
        <w:t xml:space="preserve"> efter utgången av den angivna perioden om 25 handelsdagar och </w:t>
      </w:r>
      <w:r>
        <w:rPr>
          <w:lang w:val="sv-SE"/>
        </w:rPr>
        <w:t>ska</w:t>
      </w:r>
      <w:r w:rsidRPr="00A50800">
        <w:rPr>
          <w:lang w:val="sv-SE"/>
        </w:rPr>
        <w:t xml:space="preserve"> tillämpas vid Teckning, som verkställs därefter.</w:t>
      </w:r>
      <w:r w:rsidRPr="00A50800">
        <w:rPr>
          <w:lang w:val="sv-SE"/>
        </w:rPr>
        <w:br/>
      </w:r>
      <w:r w:rsidRPr="00437F01">
        <w:rPr>
          <w:i/>
        </w:rPr>
        <w:t xml:space="preserve">The recalculated Subscription Price and recalculated number of Shares </w:t>
      </w:r>
      <w:proofErr w:type="gramStart"/>
      <w:r w:rsidRPr="00437F01">
        <w:rPr>
          <w:i/>
        </w:rPr>
        <w:t>as set</w:t>
      </w:r>
      <w:proofErr w:type="gramEnd"/>
      <w:r w:rsidRPr="00437F01">
        <w:rPr>
          <w:i/>
        </w:rPr>
        <w:t xml:space="preserve"> out above shall be determined by the Company two Business Days after the expiration of the stated period of 25 trading days, and shall apply to Subscriptions made after such time.</w:t>
      </w:r>
    </w:p>
    <w:p w14:paraId="31811A8F" w14:textId="77777777" w:rsidR="00F3012E" w:rsidRPr="00437F01" w:rsidRDefault="00F3012E" w:rsidP="00F3012E">
      <w:pPr>
        <w:pStyle w:val="BodyText"/>
        <w:ind w:left="720"/>
      </w:pPr>
      <w:r w:rsidRPr="00EB7BAC">
        <w:rPr>
          <w:szCs w:val="22"/>
          <w:lang w:val="sv-SE"/>
        </w:rPr>
        <w:t>Teckning</w:t>
      </w:r>
      <w:r w:rsidRPr="00A50800">
        <w:rPr>
          <w:lang w:val="sv-SE"/>
        </w:rPr>
        <w:t xml:space="preserve"> verkställs ej under tiden från minskningsbeslutet t.o.m. den dag då den omräknade Teckningskursen och det omräknade antalet Aktier fastställts enligt vad ovan sagts.</w:t>
      </w:r>
      <w:r w:rsidRPr="00A50800">
        <w:rPr>
          <w:lang w:val="sv-SE"/>
        </w:rPr>
        <w:br/>
      </w:r>
      <w:r w:rsidRPr="00437F01">
        <w:rPr>
          <w:i/>
        </w:rPr>
        <w:t>Subscriptions shall not be executed during the period commencing with the adoption of the resolution to reduce the share capital up to and including the day on which the recalculated Subscription Price and recalculated number of Shares is determined.</w:t>
      </w:r>
    </w:p>
    <w:p w14:paraId="40E4AE79" w14:textId="77777777" w:rsidR="00F3012E" w:rsidRPr="00A50800" w:rsidRDefault="00F3012E" w:rsidP="006350FE">
      <w:pPr>
        <w:pStyle w:val="BodyText"/>
        <w:numPr>
          <w:ilvl w:val="2"/>
          <w:numId w:val="56"/>
        </w:numPr>
        <w:spacing w:after="0"/>
        <w:rPr>
          <w:b/>
          <w:lang w:val="sv-SE"/>
        </w:rPr>
      </w:pPr>
      <w:r w:rsidRPr="00A50800">
        <w:rPr>
          <w:b/>
          <w:szCs w:val="22"/>
          <w:lang w:val="sv-SE"/>
        </w:rPr>
        <w:t>Å</w:t>
      </w:r>
      <w:r w:rsidRPr="00A50800">
        <w:rPr>
          <w:b/>
          <w:lang w:val="sv-SE"/>
        </w:rPr>
        <w:t xml:space="preserve">terköp av egna </w:t>
      </w:r>
      <w:r>
        <w:rPr>
          <w:b/>
          <w:lang w:val="sv-SE"/>
        </w:rPr>
        <w:t>Aktie</w:t>
      </w:r>
      <w:r w:rsidRPr="00A50800">
        <w:rPr>
          <w:b/>
          <w:lang w:val="sv-SE"/>
        </w:rPr>
        <w:t xml:space="preserve">r </w:t>
      </w:r>
      <w:proofErr w:type="gramStart"/>
      <w:r w:rsidRPr="00A50800">
        <w:rPr>
          <w:b/>
          <w:lang w:val="sv-SE"/>
        </w:rPr>
        <w:t>m.m.</w:t>
      </w:r>
      <w:proofErr w:type="gramEnd"/>
      <w:r w:rsidRPr="00A50800">
        <w:rPr>
          <w:b/>
          <w:lang w:val="sv-SE"/>
        </w:rPr>
        <w:t>/</w:t>
      </w:r>
      <w:proofErr w:type="spellStart"/>
      <w:r w:rsidRPr="00A50800">
        <w:rPr>
          <w:b/>
          <w:i/>
          <w:lang w:val="sv-SE"/>
        </w:rPr>
        <w:t>Repurchase</w:t>
      </w:r>
      <w:proofErr w:type="spellEnd"/>
      <w:r w:rsidRPr="00A50800">
        <w:rPr>
          <w:b/>
          <w:i/>
          <w:lang w:val="sv-SE"/>
        </w:rPr>
        <w:t xml:space="preserve"> of </w:t>
      </w:r>
      <w:proofErr w:type="spellStart"/>
      <w:r w:rsidRPr="00A50800">
        <w:rPr>
          <w:b/>
          <w:i/>
          <w:lang w:val="sv-SE"/>
        </w:rPr>
        <w:t>shares</w:t>
      </w:r>
      <w:proofErr w:type="spellEnd"/>
      <w:r w:rsidRPr="00A50800">
        <w:rPr>
          <w:b/>
          <w:i/>
          <w:lang w:val="sv-SE"/>
        </w:rPr>
        <w:t xml:space="preserve"> </w:t>
      </w:r>
      <w:proofErr w:type="gramStart"/>
      <w:r w:rsidRPr="00A50800">
        <w:rPr>
          <w:b/>
          <w:i/>
          <w:lang w:val="sv-SE"/>
        </w:rPr>
        <w:t>etc.</w:t>
      </w:r>
      <w:proofErr w:type="gramEnd"/>
    </w:p>
    <w:p w14:paraId="20063F96" w14:textId="77777777" w:rsidR="00F3012E" w:rsidRPr="00437F01" w:rsidRDefault="00F3012E" w:rsidP="00F3012E">
      <w:pPr>
        <w:pStyle w:val="BodyText"/>
        <w:ind w:left="720"/>
        <w:rPr>
          <w:i/>
        </w:rPr>
      </w:pPr>
      <w:r w:rsidRPr="00A50800">
        <w:rPr>
          <w:lang w:val="sv-SE"/>
        </w:rPr>
        <w:t xml:space="preserve">Om Bolaget – utan att fråga är om minskning av aktiekapital – skulle genomföra </w:t>
      </w:r>
      <w:r w:rsidRPr="00A50800">
        <w:rPr>
          <w:u w:val="single"/>
          <w:lang w:val="sv-SE"/>
        </w:rPr>
        <w:t>återköp av egna Aktier</w:t>
      </w:r>
      <w:r w:rsidRPr="00A50800">
        <w:rPr>
          <w:lang w:val="sv-SE"/>
        </w:rPr>
        <w:t xml:space="preserve"> men där, enligt Bolagets bedömning, sådan åtgärd med hänsyn till dess tekniska </w:t>
      </w:r>
      <w:r w:rsidRPr="00EB7BAC">
        <w:rPr>
          <w:szCs w:val="22"/>
          <w:lang w:val="sv-SE"/>
        </w:rPr>
        <w:t>utformning</w:t>
      </w:r>
      <w:r w:rsidRPr="00A50800">
        <w:rPr>
          <w:lang w:val="sv-SE"/>
        </w:rPr>
        <w:t xml:space="preserve"> och ekonomiska effekter, är att jämställa med minskning som är obligatorisk, </w:t>
      </w:r>
      <w:r>
        <w:rPr>
          <w:lang w:val="sv-SE"/>
        </w:rPr>
        <w:t>ska</w:t>
      </w:r>
      <w:r w:rsidRPr="00A50800">
        <w:rPr>
          <w:lang w:val="sv-SE"/>
        </w:rPr>
        <w:t xml:space="preserve"> omräkning av Teckningskursen och antal Aktier som varje Teckningsoption berättigar till Teckning av ske med tillämpning av så långt möjligt av de principer som anges ovan i </w:t>
      </w:r>
      <w:r>
        <w:rPr>
          <w:lang w:val="sv-SE"/>
        </w:rPr>
        <w:t>punkt</w:t>
      </w:r>
      <w:r w:rsidRPr="00A50800">
        <w:rPr>
          <w:lang w:val="sv-SE"/>
        </w:rPr>
        <w:t xml:space="preserve"> </w:t>
      </w:r>
      <w:r>
        <w:rPr>
          <w:szCs w:val="22"/>
        </w:rPr>
        <w:fldChar w:fldCharType="begin"/>
      </w:r>
      <w:r>
        <w:rPr>
          <w:lang w:val="sv-SE"/>
        </w:rPr>
        <w:instrText xml:space="preserve"> REF _Ref445831730 \r \h </w:instrText>
      </w:r>
      <w:r>
        <w:rPr>
          <w:szCs w:val="22"/>
        </w:rPr>
      </w:r>
      <w:r>
        <w:rPr>
          <w:szCs w:val="22"/>
        </w:rPr>
        <w:fldChar w:fldCharType="separate"/>
      </w:r>
      <w:r>
        <w:rPr>
          <w:lang w:val="sv-SE"/>
        </w:rPr>
        <w:t>8.2.9</w:t>
      </w:r>
      <w:r>
        <w:rPr>
          <w:szCs w:val="22"/>
        </w:rPr>
        <w:fldChar w:fldCharType="end"/>
      </w:r>
      <w:r w:rsidRPr="00A50800">
        <w:rPr>
          <w:lang w:val="sv-SE"/>
        </w:rPr>
        <w:t>.</w:t>
      </w:r>
      <w:r w:rsidRPr="00A50800">
        <w:rPr>
          <w:lang w:val="sv-SE"/>
        </w:rPr>
        <w:br/>
      </w:r>
      <w:r w:rsidRPr="00437F01">
        <w:rPr>
          <w:i/>
        </w:rPr>
        <w:t xml:space="preserve">In the event the Company – without reducing the share capital – should carry out a </w:t>
      </w:r>
      <w:r w:rsidRPr="00437F01">
        <w:rPr>
          <w:i/>
          <w:u w:val="single"/>
        </w:rPr>
        <w:t>repurchase of its own shares</w:t>
      </w:r>
      <w:r w:rsidRPr="00437F01">
        <w:rPr>
          <w:i/>
        </w:rPr>
        <w:t xml:space="preserve">, but where the measure due to its technical structure and financial effects, is equivalent to a reduction, the recalculation of the Subscription Price as well as of the number of Shares that each Warrant entitles to Subscription of shall be made by applying, to the extent possible, the principles set forth in section </w:t>
      </w:r>
      <w:r>
        <w:rPr>
          <w:i/>
          <w:szCs w:val="22"/>
        </w:rPr>
        <w:fldChar w:fldCharType="begin"/>
      </w:r>
      <w:r>
        <w:rPr>
          <w:i/>
        </w:rPr>
        <w:instrText xml:space="preserve"> REF _Ref445831730 \r \h </w:instrText>
      </w:r>
      <w:r>
        <w:rPr>
          <w:i/>
          <w:szCs w:val="22"/>
        </w:rPr>
      </w:r>
      <w:r>
        <w:rPr>
          <w:i/>
          <w:szCs w:val="22"/>
        </w:rPr>
        <w:fldChar w:fldCharType="separate"/>
      </w:r>
      <w:r>
        <w:rPr>
          <w:i/>
        </w:rPr>
        <w:t>8.2.9</w:t>
      </w:r>
      <w:r>
        <w:rPr>
          <w:i/>
          <w:szCs w:val="22"/>
        </w:rPr>
        <w:fldChar w:fldCharType="end"/>
      </w:r>
      <w:r w:rsidRPr="00437F01">
        <w:rPr>
          <w:i/>
        </w:rPr>
        <w:t>.</w:t>
      </w:r>
    </w:p>
    <w:p w14:paraId="2AC218FD" w14:textId="77777777" w:rsidR="00F3012E" w:rsidRPr="00437F01" w:rsidRDefault="00F3012E" w:rsidP="006350FE">
      <w:pPr>
        <w:pStyle w:val="BodyText"/>
        <w:numPr>
          <w:ilvl w:val="2"/>
          <w:numId w:val="56"/>
        </w:numPr>
        <w:spacing w:after="0"/>
        <w:rPr>
          <w:b/>
        </w:rPr>
      </w:pPr>
      <w:bookmarkStart w:id="52" w:name="_Ref445999037"/>
      <w:r w:rsidRPr="00437F01">
        <w:rPr>
          <w:b/>
        </w:rPr>
        <w:t xml:space="preserve">Byte </w:t>
      </w:r>
      <w:proofErr w:type="spellStart"/>
      <w:r w:rsidRPr="00437F01">
        <w:rPr>
          <w:b/>
        </w:rPr>
        <w:t>av</w:t>
      </w:r>
      <w:proofErr w:type="spellEnd"/>
      <w:r w:rsidRPr="00437F01">
        <w:rPr>
          <w:b/>
        </w:rPr>
        <w:t xml:space="preserve"> </w:t>
      </w:r>
      <w:proofErr w:type="spellStart"/>
      <w:r w:rsidRPr="00437F01">
        <w:rPr>
          <w:b/>
        </w:rPr>
        <w:t>aktiekapitalsvaluta</w:t>
      </w:r>
      <w:proofErr w:type="spellEnd"/>
      <w:r w:rsidRPr="00437F01">
        <w:rPr>
          <w:b/>
        </w:rPr>
        <w:t>/</w:t>
      </w:r>
      <w:r w:rsidRPr="00437F01">
        <w:rPr>
          <w:b/>
          <w:i/>
        </w:rPr>
        <w:t>Change of the currency of share capital</w:t>
      </w:r>
      <w:bookmarkEnd w:id="52"/>
    </w:p>
    <w:p w14:paraId="73455DED" w14:textId="77777777" w:rsidR="00F3012E" w:rsidRPr="00437F01" w:rsidRDefault="00F3012E" w:rsidP="00F3012E">
      <w:pPr>
        <w:pStyle w:val="BodyText"/>
        <w:ind w:left="720"/>
      </w:pPr>
      <w:r w:rsidRPr="00A50800">
        <w:rPr>
          <w:lang w:val="sv-SE"/>
        </w:rPr>
        <w:t xml:space="preserve">Genomför bolaget </w:t>
      </w:r>
      <w:r w:rsidRPr="00A50800">
        <w:rPr>
          <w:u w:val="single"/>
          <w:lang w:val="sv-SE"/>
        </w:rPr>
        <w:t>byte av aktiekapitalsvaluta</w:t>
      </w:r>
      <w:r w:rsidRPr="00A50800">
        <w:rPr>
          <w:lang w:val="sv-SE"/>
        </w:rPr>
        <w:t xml:space="preserve">, innebärande att Bolagets aktiekapital </w:t>
      </w:r>
      <w:r>
        <w:rPr>
          <w:lang w:val="sv-SE"/>
        </w:rPr>
        <w:t>ska</w:t>
      </w:r>
      <w:r w:rsidRPr="00A50800">
        <w:rPr>
          <w:lang w:val="sv-SE"/>
        </w:rPr>
        <w:t xml:space="preserve"> vara bestämt i annan valuta än svenska kronor, </w:t>
      </w:r>
      <w:r>
        <w:rPr>
          <w:lang w:val="sv-SE"/>
        </w:rPr>
        <w:t>ska</w:t>
      </w:r>
      <w:r w:rsidRPr="00A50800">
        <w:rPr>
          <w:lang w:val="sv-SE"/>
        </w:rPr>
        <w:t xml:space="preserve"> Teckningskursen omräknas till samma valuta </w:t>
      </w:r>
      <w:r w:rsidRPr="00EB7BAC">
        <w:rPr>
          <w:szCs w:val="22"/>
          <w:lang w:val="sv-SE"/>
        </w:rPr>
        <w:t>som</w:t>
      </w:r>
      <w:r w:rsidRPr="00A50800">
        <w:rPr>
          <w:lang w:val="sv-SE"/>
        </w:rPr>
        <w:t xml:space="preserve"> aktiekapitalet är bestämt i samt därvid avrundas till två decimaler. Sådan valutaomräkning </w:t>
      </w:r>
      <w:r>
        <w:rPr>
          <w:lang w:val="sv-SE"/>
        </w:rPr>
        <w:t>ska</w:t>
      </w:r>
      <w:r w:rsidRPr="00A50800">
        <w:rPr>
          <w:lang w:val="sv-SE"/>
        </w:rPr>
        <w:t xml:space="preserve"> ske med tillämpning av den växelkurs som använts för omräkning av aktiekapitalet vid valutabytet.</w:t>
      </w:r>
      <w:r w:rsidRPr="00A50800">
        <w:rPr>
          <w:lang w:val="sv-SE"/>
        </w:rPr>
        <w:br/>
      </w:r>
      <w:r w:rsidRPr="00437F01">
        <w:rPr>
          <w:i/>
        </w:rPr>
        <w:t xml:space="preserve">In the event the Company </w:t>
      </w:r>
      <w:r w:rsidRPr="00437F01">
        <w:rPr>
          <w:i/>
          <w:u w:val="single"/>
        </w:rPr>
        <w:t xml:space="preserve">carries out a change of the currency of its share capital </w:t>
      </w:r>
      <w:r w:rsidRPr="00437F01">
        <w:rPr>
          <w:i/>
        </w:rPr>
        <w:t xml:space="preserve">resulting in that the share capital of the Company shall be determined in a currency other than SEK, the Subscription Price shall be recalculated into the same currency as the currency of the share </w:t>
      </w:r>
      <w:r w:rsidRPr="00437F01">
        <w:rPr>
          <w:i/>
        </w:rPr>
        <w:lastRenderedPageBreak/>
        <w:t>capital and be rounded off to two decimals. Such recalculation of the currency shall be made with application of the exchange rate which has been used when re-calculating the currency of the share capital.</w:t>
      </w:r>
    </w:p>
    <w:p w14:paraId="473139E5" w14:textId="77777777" w:rsidR="00F3012E" w:rsidRPr="00437F01" w:rsidRDefault="00F3012E" w:rsidP="00F3012E">
      <w:pPr>
        <w:pStyle w:val="BodyText"/>
        <w:ind w:left="720"/>
      </w:pPr>
      <w:r w:rsidRPr="00EB7BAC">
        <w:rPr>
          <w:szCs w:val="22"/>
          <w:lang w:val="sv-SE"/>
        </w:rPr>
        <w:t>Enligt</w:t>
      </w:r>
      <w:r w:rsidRPr="00A50800">
        <w:rPr>
          <w:lang w:val="sv-SE"/>
        </w:rPr>
        <w:t xml:space="preserve"> ovan omräknad Teckningskurs fastställs av Bolaget och </w:t>
      </w:r>
      <w:r>
        <w:rPr>
          <w:lang w:val="sv-SE"/>
        </w:rPr>
        <w:t>ska</w:t>
      </w:r>
      <w:r w:rsidRPr="00A50800">
        <w:rPr>
          <w:lang w:val="sv-SE"/>
        </w:rPr>
        <w:t xml:space="preserve"> tillämpas vid Teckning som verkställs från och med den dag som bytet av aktiekapitalsvaluta får verkan.</w:t>
      </w:r>
      <w:r w:rsidRPr="00A50800">
        <w:rPr>
          <w:lang w:val="sv-SE"/>
        </w:rPr>
        <w:br/>
      </w:r>
      <w:r w:rsidRPr="00437F01">
        <w:rPr>
          <w:i/>
        </w:rPr>
        <w:t>The recalculated Subscription Price in accordance with above shall be determined by the Company and shall be applied on Subscriptions which are effected as from the day the currency change of the share capital became effective.</w:t>
      </w:r>
    </w:p>
    <w:p w14:paraId="4686D624" w14:textId="77777777" w:rsidR="00F3012E" w:rsidRPr="00A50800" w:rsidRDefault="00F3012E" w:rsidP="006350FE">
      <w:pPr>
        <w:pStyle w:val="BodyText"/>
        <w:numPr>
          <w:ilvl w:val="2"/>
          <w:numId w:val="56"/>
        </w:numPr>
        <w:spacing w:after="0"/>
        <w:rPr>
          <w:b/>
          <w:lang w:val="sv-SE"/>
        </w:rPr>
      </w:pPr>
      <w:bookmarkStart w:id="53" w:name="_Ref445999198"/>
      <w:r w:rsidRPr="00A50800">
        <w:rPr>
          <w:b/>
          <w:lang w:val="sv-SE"/>
        </w:rPr>
        <w:t>Skälig omräkning/</w:t>
      </w:r>
      <w:proofErr w:type="spellStart"/>
      <w:r w:rsidRPr="00A50800">
        <w:rPr>
          <w:b/>
          <w:i/>
          <w:lang w:val="sv-SE"/>
        </w:rPr>
        <w:t>Reasonable</w:t>
      </w:r>
      <w:proofErr w:type="spellEnd"/>
      <w:r w:rsidRPr="00A50800">
        <w:rPr>
          <w:b/>
          <w:i/>
          <w:lang w:val="sv-SE"/>
        </w:rPr>
        <w:t xml:space="preserve"> </w:t>
      </w:r>
      <w:proofErr w:type="spellStart"/>
      <w:r w:rsidRPr="00A50800">
        <w:rPr>
          <w:b/>
          <w:i/>
          <w:lang w:val="sv-SE"/>
        </w:rPr>
        <w:t>recalculation</w:t>
      </w:r>
      <w:bookmarkEnd w:id="53"/>
      <w:proofErr w:type="spellEnd"/>
    </w:p>
    <w:p w14:paraId="3DD1F5A6" w14:textId="77777777" w:rsidR="00F3012E" w:rsidRPr="00437F01" w:rsidRDefault="00F3012E" w:rsidP="00F3012E">
      <w:pPr>
        <w:pStyle w:val="BodyText"/>
        <w:ind w:left="720"/>
      </w:pPr>
      <w:r w:rsidRPr="00A50800">
        <w:rPr>
          <w:lang w:val="sv-SE"/>
        </w:rPr>
        <w:t xml:space="preserve">Genomför Bolaget åtgärd som avses i punkterna </w:t>
      </w:r>
      <w:r>
        <w:rPr>
          <w:szCs w:val="22"/>
        </w:rPr>
        <w:fldChar w:fldCharType="begin"/>
      </w:r>
      <w:r>
        <w:rPr>
          <w:lang w:val="sv-SE"/>
        </w:rPr>
        <w:instrText xml:space="preserve"> REF _Ref419826047 \r \h </w:instrText>
      </w:r>
      <w:r>
        <w:rPr>
          <w:szCs w:val="22"/>
        </w:rPr>
      </w:r>
      <w:r>
        <w:rPr>
          <w:szCs w:val="22"/>
        </w:rPr>
        <w:fldChar w:fldCharType="separate"/>
      </w:r>
      <w:r>
        <w:rPr>
          <w:lang w:val="sv-SE"/>
        </w:rPr>
        <w:t>8.2.2</w:t>
      </w:r>
      <w:r>
        <w:rPr>
          <w:szCs w:val="22"/>
        </w:rPr>
        <w:fldChar w:fldCharType="end"/>
      </w:r>
      <w:r w:rsidRPr="00A50800">
        <w:rPr>
          <w:lang w:val="sv-SE"/>
        </w:rPr>
        <w:t>–</w:t>
      </w:r>
      <w:r>
        <w:rPr>
          <w:szCs w:val="22"/>
        </w:rPr>
        <w:fldChar w:fldCharType="begin"/>
      </w:r>
      <w:r>
        <w:rPr>
          <w:szCs w:val="22"/>
          <w:lang w:val="sv-SE"/>
        </w:rPr>
        <w:instrText xml:space="preserve"> REF _Ref445997940 \r \h </w:instrText>
      </w:r>
      <w:r>
        <w:rPr>
          <w:szCs w:val="22"/>
        </w:rPr>
      </w:r>
      <w:r>
        <w:rPr>
          <w:szCs w:val="22"/>
        </w:rPr>
        <w:fldChar w:fldCharType="separate"/>
      </w:r>
      <w:r>
        <w:rPr>
          <w:szCs w:val="22"/>
          <w:lang w:val="sv-SE"/>
        </w:rPr>
        <w:t>8.2.6</w:t>
      </w:r>
      <w:r>
        <w:rPr>
          <w:szCs w:val="22"/>
        </w:rPr>
        <w:fldChar w:fldCharType="end"/>
      </w:r>
      <w:r w:rsidRPr="00A50800">
        <w:rPr>
          <w:lang w:val="sv-SE"/>
        </w:rPr>
        <w:t xml:space="preserve"> eller punkterna </w:t>
      </w:r>
      <w:r>
        <w:rPr>
          <w:szCs w:val="22"/>
        </w:rPr>
        <w:fldChar w:fldCharType="begin"/>
      </w:r>
      <w:r>
        <w:rPr>
          <w:lang w:val="sv-SE"/>
        </w:rPr>
        <w:instrText xml:space="preserve"> REF _Ref445999030 \r \h </w:instrText>
      </w:r>
      <w:r>
        <w:rPr>
          <w:szCs w:val="22"/>
        </w:rPr>
      </w:r>
      <w:r>
        <w:rPr>
          <w:szCs w:val="22"/>
        </w:rPr>
        <w:fldChar w:fldCharType="separate"/>
      </w:r>
      <w:r>
        <w:rPr>
          <w:lang w:val="sv-SE"/>
        </w:rPr>
        <w:t>8.2.8</w:t>
      </w:r>
      <w:r>
        <w:rPr>
          <w:szCs w:val="22"/>
        </w:rPr>
        <w:fldChar w:fldCharType="end"/>
      </w:r>
      <w:r w:rsidRPr="00A50800">
        <w:rPr>
          <w:lang w:val="sv-SE"/>
        </w:rPr>
        <w:t>–</w:t>
      </w:r>
      <w:r>
        <w:rPr>
          <w:szCs w:val="22"/>
        </w:rPr>
        <w:fldChar w:fldCharType="begin"/>
      </w:r>
      <w:r>
        <w:rPr>
          <w:szCs w:val="22"/>
          <w:lang w:val="sv-SE"/>
        </w:rPr>
        <w:instrText xml:space="preserve"> REF _Ref445999037 \r \h </w:instrText>
      </w:r>
      <w:r>
        <w:rPr>
          <w:szCs w:val="22"/>
        </w:rPr>
      </w:r>
      <w:r>
        <w:rPr>
          <w:szCs w:val="22"/>
        </w:rPr>
        <w:fldChar w:fldCharType="separate"/>
      </w:r>
      <w:r>
        <w:rPr>
          <w:szCs w:val="22"/>
          <w:lang w:val="sv-SE"/>
        </w:rPr>
        <w:t>8.2.11</w:t>
      </w:r>
      <w:r>
        <w:rPr>
          <w:szCs w:val="22"/>
        </w:rPr>
        <w:fldChar w:fldCharType="end"/>
      </w:r>
      <w:r w:rsidRPr="00A50800">
        <w:rPr>
          <w:lang w:val="sv-SE"/>
        </w:rPr>
        <w:t xml:space="preserve"> ovan eller annan liknande åtgärd med liknande effekt och skulle, enligt Bolagets bedömning, </w:t>
      </w:r>
      <w:r w:rsidRPr="00EB7BAC">
        <w:rPr>
          <w:szCs w:val="22"/>
          <w:lang w:val="sv-SE"/>
        </w:rPr>
        <w:t>tillämpning</w:t>
      </w:r>
      <w:r w:rsidRPr="00A50800">
        <w:rPr>
          <w:lang w:val="sv-SE"/>
        </w:rPr>
        <w:t xml:space="preserve"> av härför avsedd omräkningsformel, med hänsyn till åtgärdens tekniska utformning eller av annat skäl, ej kunna ske eller leda till att den ekonomiska kompensation som </w:t>
      </w:r>
      <w:r>
        <w:rPr>
          <w:lang w:val="sv-SE"/>
        </w:rPr>
        <w:t>Optionsinnehavarna</w:t>
      </w:r>
      <w:r w:rsidRPr="00A50800">
        <w:rPr>
          <w:lang w:val="sv-SE"/>
        </w:rPr>
        <w:t xml:space="preserve"> erhåller i förhållande till aktieägarna inte är skälig, </w:t>
      </w:r>
      <w:r>
        <w:rPr>
          <w:lang w:val="sv-SE"/>
        </w:rPr>
        <w:t>ska</w:t>
      </w:r>
      <w:r w:rsidRPr="00A50800">
        <w:rPr>
          <w:lang w:val="sv-SE"/>
        </w:rPr>
        <w:t xml:space="preserve"> Bolaget genomföra omräkningarna av Teckningskursen och av antalet Aktier som varje Teckningsoption berättigar till Teckning av i syfte att omräkningarna leder till ett skäligt resultat.</w:t>
      </w:r>
      <w:r w:rsidRPr="00A50800">
        <w:rPr>
          <w:lang w:val="sv-SE"/>
        </w:rPr>
        <w:br/>
      </w:r>
      <w:r w:rsidRPr="00437F01">
        <w:rPr>
          <w:i/>
        </w:rPr>
        <w:t xml:space="preserve">In the event that the Company carries out measures set forth in sections </w:t>
      </w:r>
      <w:r>
        <w:rPr>
          <w:i/>
          <w:szCs w:val="22"/>
        </w:rPr>
        <w:fldChar w:fldCharType="begin"/>
      </w:r>
      <w:r>
        <w:rPr>
          <w:i/>
        </w:rPr>
        <w:instrText xml:space="preserve"> REF _Ref419826047 \r \h </w:instrText>
      </w:r>
      <w:r>
        <w:rPr>
          <w:i/>
          <w:szCs w:val="22"/>
        </w:rPr>
      </w:r>
      <w:r>
        <w:rPr>
          <w:i/>
          <w:szCs w:val="22"/>
        </w:rPr>
        <w:fldChar w:fldCharType="separate"/>
      </w:r>
      <w:r>
        <w:rPr>
          <w:i/>
        </w:rPr>
        <w:t>8.2.2</w:t>
      </w:r>
      <w:r>
        <w:rPr>
          <w:i/>
          <w:szCs w:val="22"/>
        </w:rPr>
        <w:fldChar w:fldCharType="end"/>
      </w:r>
      <w:r w:rsidRPr="00437F01">
        <w:rPr>
          <w:i/>
        </w:rPr>
        <w:t>–</w:t>
      </w:r>
      <w:r>
        <w:rPr>
          <w:i/>
          <w:szCs w:val="22"/>
        </w:rPr>
        <w:fldChar w:fldCharType="begin"/>
      </w:r>
      <w:r>
        <w:rPr>
          <w:i/>
          <w:szCs w:val="22"/>
        </w:rPr>
        <w:instrText xml:space="preserve"> REF _Ref445997940 \r \h </w:instrText>
      </w:r>
      <w:r>
        <w:rPr>
          <w:i/>
          <w:szCs w:val="22"/>
        </w:rPr>
      </w:r>
      <w:r>
        <w:rPr>
          <w:i/>
          <w:szCs w:val="22"/>
        </w:rPr>
        <w:fldChar w:fldCharType="separate"/>
      </w:r>
      <w:r>
        <w:rPr>
          <w:i/>
          <w:szCs w:val="22"/>
        </w:rPr>
        <w:t>8.2.6</w:t>
      </w:r>
      <w:r>
        <w:rPr>
          <w:i/>
          <w:szCs w:val="22"/>
        </w:rPr>
        <w:fldChar w:fldCharType="end"/>
      </w:r>
      <w:r w:rsidRPr="00437F01">
        <w:rPr>
          <w:i/>
        </w:rPr>
        <w:t xml:space="preserve"> or sections </w:t>
      </w:r>
      <w:r>
        <w:rPr>
          <w:i/>
          <w:szCs w:val="22"/>
        </w:rPr>
        <w:fldChar w:fldCharType="begin"/>
      </w:r>
      <w:r>
        <w:rPr>
          <w:i/>
        </w:rPr>
        <w:instrText xml:space="preserve"> REF _Ref445999030 \r \h </w:instrText>
      </w:r>
      <w:r>
        <w:rPr>
          <w:i/>
          <w:szCs w:val="22"/>
        </w:rPr>
      </w:r>
      <w:r>
        <w:rPr>
          <w:i/>
          <w:szCs w:val="22"/>
        </w:rPr>
        <w:fldChar w:fldCharType="separate"/>
      </w:r>
      <w:r>
        <w:rPr>
          <w:i/>
        </w:rPr>
        <w:t>8.2.8</w:t>
      </w:r>
      <w:r>
        <w:rPr>
          <w:i/>
          <w:szCs w:val="22"/>
        </w:rPr>
        <w:fldChar w:fldCharType="end"/>
      </w:r>
      <w:r w:rsidRPr="00437F01">
        <w:rPr>
          <w:i/>
        </w:rPr>
        <w:t>–</w:t>
      </w:r>
      <w:r>
        <w:rPr>
          <w:i/>
          <w:szCs w:val="22"/>
        </w:rPr>
        <w:fldChar w:fldCharType="begin"/>
      </w:r>
      <w:r>
        <w:rPr>
          <w:i/>
          <w:szCs w:val="22"/>
        </w:rPr>
        <w:instrText xml:space="preserve"> REF _Ref445999037 \r \h </w:instrText>
      </w:r>
      <w:r>
        <w:rPr>
          <w:i/>
          <w:szCs w:val="22"/>
        </w:rPr>
      </w:r>
      <w:r>
        <w:rPr>
          <w:i/>
          <w:szCs w:val="22"/>
        </w:rPr>
        <w:fldChar w:fldCharType="separate"/>
      </w:r>
      <w:r>
        <w:rPr>
          <w:i/>
          <w:szCs w:val="22"/>
        </w:rPr>
        <w:t>8.2.11</w:t>
      </w:r>
      <w:r>
        <w:rPr>
          <w:i/>
          <w:szCs w:val="22"/>
        </w:rPr>
        <w:fldChar w:fldCharType="end"/>
      </w:r>
      <w:r w:rsidRPr="00437F01">
        <w:rPr>
          <w:i/>
        </w:rPr>
        <w:t xml:space="preserve"> above or other similar measure with similar effect and, if, according to the Company's opinion, the application of the intended recalculation formula with regard to the technical structure or for another reason, may not be possible or result that the economic compensation the </w:t>
      </w:r>
      <w:r>
        <w:rPr>
          <w:i/>
        </w:rPr>
        <w:t>Warrant Holder</w:t>
      </w:r>
      <w:r w:rsidRPr="00437F01">
        <w:rPr>
          <w:i/>
        </w:rPr>
        <w:t>s shall receive becoming unreasonable in relation to that of the shareholders, the Company shall make the recalculation of the Subscription Price as well as the number of Shares that each Warrant entitles to Subscribe for, for the purpose of the recalculation leading to a reasonable result.</w:t>
      </w:r>
    </w:p>
    <w:p w14:paraId="3AC9C197" w14:textId="77777777" w:rsidR="00F3012E" w:rsidRPr="00A50800" w:rsidRDefault="00F3012E" w:rsidP="006350FE">
      <w:pPr>
        <w:pStyle w:val="BodyText"/>
        <w:numPr>
          <w:ilvl w:val="2"/>
          <w:numId w:val="56"/>
        </w:numPr>
        <w:spacing w:after="0"/>
        <w:rPr>
          <w:b/>
          <w:lang w:val="sv-SE"/>
        </w:rPr>
      </w:pPr>
      <w:r w:rsidRPr="00A50800">
        <w:rPr>
          <w:b/>
          <w:lang w:val="sv-SE"/>
        </w:rPr>
        <w:t>Avrundning/</w:t>
      </w:r>
      <w:proofErr w:type="spellStart"/>
      <w:r w:rsidRPr="00A50800">
        <w:rPr>
          <w:b/>
          <w:i/>
          <w:lang w:val="sv-SE"/>
        </w:rPr>
        <w:t>Rounding</w:t>
      </w:r>
      <w:proofErr w:type="spellEnd"/>
    </w:p>
    <w:p w14:paraId="691480FD" w14:textId="77777777" w:rsidR="00F3012E" w:rsidRPr="00437F01" w:rsidRDefault="00F3012E" w:rsidP="00F3012E">
      <w:pPr>
        <w:pStyle w:val="BodyText"/>
        <w:ind w:left="720"/>
      </w:pPr>
      <w:r w:rsidRPr="00EB7BAC">
        <w:rPr>
          <w:szCs w:val="22"/>
          <w:lang w:val="sv-SE"/>
        </w:rPr>
        <w:t>Vid</w:t>
      </w:r>
      <w:r w:rsidRPr="00A50800">
        <w:rPr>
          <w:lang w:val="sv-SE"/>
        </w:rPr>
        <w:t xml:space="preserve"> omräkning enligt ovan </w:t>
      </w:r>
      <w:r>
        <w:rPr>
          <w:lang w:val="sv-SE"/>
        </w:rPr>
        <w:t>ska</w:t>
      </w:r>
      <w:r w:rsidRPr="00A50800">
        <w:rPr>
          <w:lang w:val="sv-SE"/>
        </w:rPr>
        <w:t xml:space="preserve"> Teckningskursen avrundas till helt tiotal öre, varvid fem öre </w:t>
      </w:r>
      <w:r>
        <w:rPr>
          <w:lang w:val="sv-SE"/>
        </w:rPr>
        <w:t>ska</w:t>
      </w:r>
      <w:r w:rsidRPr="00A50800">
        <w:rPr>
          <w:lang w:val="sv-SE"/>
        </w:rPr>
        <w:t xml:space="preserve"> avrundas uppåt, och antalet Aktier avrundas till två decimaler. Endast hela Aktier kan tecknas. För det fall Teckningskursen är bestämd i annan valuta än svenska kronor </w:t>
      </w:r>
      <w:r>
        <w:rPr>
          <w:lang w:val="sv-SE"/>
        </w:rPr>
        <w:t>ska</w:t>
      </w:r>
      <w:r w:rsidRPr="00A50800">
        <w:rPr>
          <w:lang w:val="sv-SE"/>
        </w:rPr>
        <w:t xml:space="preserve">, vid omräkningar enligt ovan, Teckningskursen </w:t>
      </w:r>
      <w:proofErr w:type="gramStart"/>
      <w:r w:rsidRPr="00A50800">
        <w:rPr>
          <w:lang w:val="sv-SE"/>
        </w:rPr>
        <w:t>istället</w:t>
      </w:r>
      <w:proofErr w:type="gramEnd"/>
      <w:r w:rsidRPr="00A50800">
        <w:rPr>
          <w:lang w:val="sv-SE"/>
        </w:rPr>
        <w:t xml:space="preserve"> avrundas till två decimaler.</w:t>
      </w:r>
      <w:r w:rsidRPr="00A50800">
        <w:rPr>
          <w:lang w:val="sv-SE"/>
        </w:rPr>
        <w:br/>
      </w:r>
      <w:r w:rsidRPr="00437F01">
        <w:rPr>
          <w:i/>
        </w:rPr>
        <w:t xml:space="preserve">In conjunction with recalculations in accordance with the above, the Subscription Price shall be rounded to the nearest SEK 0.10, whereupon SEK 0.05 shall be rounded upwards and the number of Shares rounded off to two decimals. Only whole Shares may be Subscribed for. </w:t>
      </w:r>
      <w:proofErr w:type="gramStart"/>
      <w:r w:rsidRPr="00437F01">
        <w:rPr>
          <w:i/>
        </w:rPr>
        <w:t>In the event that</w:t>
      </w:r>
      <w:proofErr w:type="gramEnd"/>
      <w:r w:rsidRPr="00437F01">
        <w:rPr>
          <w:i/>
        </w:rPr>
        <w:t xml:space="preserve"> the Subscription Price is determined in another currency than SEK, the Subscription Price shall, upon recalculation in accordance with the above, be rounded off to two decimals.</w:t>
      </w:r>
    </w:p>
    <w:p w14:paraId="52A56085" w14:textId="77777777" w:rsidR="00F3012E" w:rsidRPr="00A50800" w:rsidRDefault="00F3012E" w:rsidP="006350FE">
      <w:pPr>
        <w:pStyle w:val="BodyText"/>
        <w:numPr>
          <w:ilvl w:val="2"/>
          <w:numId w:val="56"/>
        </w:numPr>
        <w:spacing w:after="0"/>
        <w:rPr>
          <w:b/>
          <w:lang w:val="sv-SE"/>
        </w:rPr>
      </w:pPr>
      <w:bookmarkStart w:id="54" w:name="_Ref445999119"/>
      <w:r w:rsidRPr="00A50800">
        <w:rPr>
          <w:b/>
          <w:lang w:val="sv-SE"/>
        </w:rPr>
        <w:t>Likvidation/</w:t>
      </w:r>
      <w:proofErr w:type="spellStart"/>
      <w:r w:rsidRPr="00A50800">
        <w:rPr>
          <w:b/>
          <w:i/>
          <w:lang w:val="sv-SE"/>
        </w:rPr>
        <w:t>Liquidation</w:t>
      </w:r>
      <w:bookmarkEnd w:id="54"/>
      <w:proofErr w:type="spellEnd"/>
    </w:p>
    <w:p w14:paraId="2D74BCC3" w14:textId="77777777" w:rsidR="00F3012E" w:rsidRPr="00437F01" w:rsidRDefault="00F3012E" w:rsidP="00F3012E">
      <w:pPr>
        <w:pStyle w:val="BodyText"/>
        <w:ind w:left="720"/>
      </w:pPr>
      <w:r w:rsidRPr="00EB7BAC">
        <w:rPr>
          <w:szCs w:val="22"/>
          <w:lang w:val="sv-SE"/>
        </w:rPr>
        <w:t>Beslutas</w:t>
      </w:r>
      <w:r w:rsidRPr="00A50800">
        <w:rPr>
          <w:lang w:val="sv-SE"/>
        </w:rPr>
        <w:t xml:space="preserve"> att Bolaget </w:t>
      </w:r>
      <w:r>
        <w:rPr>
          <w:lang w:val="sv-SE"/>
        </w:rPr>
        <w:t>ska</w:t>
      </w:r>
      <w:r w:rsidRPr="00A50800">
        <w:rPr>
          <w:lang w:val="sv-SE"/>
        </w:rPr>
        <w:t xml:space="preserve"> träda i likvidation enligt 25 kap. </w:t>
      </w:r>
      <w:r>
        <w:rPr>
          <w:lang w:val="sv-SE"/>
        </w:rPr>
        <w:t>A</w:t>
      </w:r>
      <w:r w:rsidRPr="00A50800">
        <w:rPr>
          <w:lang w:val="sv-SE"/>
        </w:rPr>
        <w:t>ktiebolagslagen får, oavsett likvidationsgrunden, anmälan om Teckning ej därefter ske. Rätten att göra anmälan om Teckning upphör i och med bolagsstämmans likvidationsbeslut, oavsett sålunda att detta ej må ha vunnit laga kraft.</w:t>
      </w:r>
      <w:r w:rsidRPr="00A50800">
        <w:rPr>
          <w:lang w:val="sv-SE"/>
        </w:rPr>
        <w:br/>
      </w:r>
      <w:r w:rsidRPr="00437F01">
        <w:rPr>
          <w:i/>
        </w:rPr>
        <w:t xml:space="preserve">In the event it is resolved that the Company shall enter into liquidation according to Ch. 25 of the </w:t>
      </w:r>
      <w:r>
        <w:rPr>
          <w:i/>
        </w:rPr>
        <w:t xml:space="preserve">Swedish </w:t>
      </w:r>
      <w:r w:rsidRPr="00437F01">
        <w:rPr>
          <w:i/>
        </w:rPr>
        <w:t xml:space="preserve">Companies Act, notice for Subscription may not thereafter be made, regardless of the reasons for liquidation. The right to make notice for Subscription shall terminate upon the resolution to place the Company in liquidation regardless of whether such resolution has </w:t>
      </w:r>
      <w:proofErr w:type="gramStart"/>
      <w:r w:rsidRPr="00437F01">
        <w:rPr>
          <w:i/>
        </w:rPr>
        <w:t>entered into</w:t>
      </w:r>
      <w:proofErr w:type="gramEnd"/>
      <w:r w:rsidRPr="00437F01">
        <w:rPr>
          <w:i/>
        </w:rPr>
        <w:t xml:space="preserve"> effect.</w:t>
      </w:r>
    </w:p>
    <w:p w14:paraId="727A54A3" w14:textId="77777777" w:rsidR="00F3012E" w:rsidRPr="00437F01" w:rsidRDefault="00F3012E" w:rsidP="00F3012E">
      <w:pPr>
        <w:pStyle w:val="BodyText"/>
        <w:ind w:left="720"/>
      </w:pPr>
      <w:r w:rsidRPr="00EB7BAC">
        <w:rPr>
          <w:szCs w:val="22"/>
          <w:lang w:val="sv-SE"/>
        </w:rPr>
        <w:t>Senast</w:t>
      </w:r>
      <w:r w:rsidRPr="00A50800">
        <w:rPr>
          <w:lang w:val="sv-SE"/>
        </w:rPr>
        <w:t xml:space="preserve"> två månader innan bolagsstämman tar ställning till fråga om Bolaget </w:t>
      </w:r>
      <w:r>
        <w:rPr>
          <w:lang w:val="sv-SE"/>
        </w:rPr>
        <w:t>ska</w:t>
      </w:r>
      <w:r w:rsidRPr="00A50800">
        <w:rPr>
          <w:lang w:val="sv-SE"/>
        </w:rPr>
        <w:t xml:space="preserve"> träda i frivillig likvidation enligt 25 kap. 1 § </w:t>
      </w:r>
      <w:r>
        <w:rPr>
          <w:lang w:val="sv-SE"/>
        </w:rPr>
        <w:t>A</w:t>
      </w:r>
      <w:r w:rsidRPr="00A50800">
        <w:rPr>
          <w:lang w:val="sv-SE"/>
        </w:rPr>
        <w:t xml:space="preserve">ktiebolagslagen, </w:t>
      </w:r>
      <w:r>
        <w:rPr>
          <w:lang w:val="sv-SE"/>
        </w:rPr>
        <w:t>ska</w:t>
      </w:r>
      <w:r w:rsidRPr="00A50800">
        <w:rPr>
          <w:lang w:val="sv-SE"/>
        </w:rPr>
        <w:t xml:space="preserve"> </w:t>
      </w:r>
      <w:r>
        <w:rPr>
          <w:lang w:val="sv-SE"/>
        </w:rPr>
        <w:t>Optionsinnehavarna</w:t>
      </w:r>
      <w:r w:rsidRPr="00A50800">
        <w:rPr>
          <w:lang w:val="sv-SE"/>
        </w:rPr>
        <w:t xml:space="preserve"> genom meddelande enligt punkt </w:t>
      </w:r>
      <w:r w:rsidRPr="00437F01">
        <w:fldChar w:fldCharType="begin"/>
      </w:r>
      <w:r w:rsidRPr="00A50800">
        <w:rPr>
          <w:lang w:val="sv-SE"/>
        </w:rPr>
        <w:instrText xml:space="preserve"> REF _Ref145593081 \r \h </w:instrText>
      </w:r>
      <w:r w:rsidRPr="00437F01">
        <w:fldChar w:fldCharType="separate"/>
      </w:r>
      <w:r w:rsidRPr="00A50800">
        <w:rPr>
          <w:lang w:val="sv-SE"/>
        </w:rPr>
        <w:t>11</w:t>
      </w:r>
      <w:r w:rsidRPr="00437F01">
        <w:fldChar w:fldCharType="end"/>
      </w:r>
      <w:r w:rsidRPr="00A50800">
        <w:rPr>
          <w:lang w:val="sv-SE"/>
        </w:rPr>
        <w:t xml:space="preserve"> nedan underrättas om den avsedda likvidationen. I meddelandet </w:t>
      </w:r>
      <w:r>
        <w:rPr>
          <w:lang w:val="sv-SE"/>
        </w:rPr>
        <w:t>ska</w:t>
      </w:r>
      <w:r w:rsidRPr="00A50800">
        <w:rPr>
          <w:lang w:val="sv-SE"/>
        </w:rPr>
        <w:t xml:space="preserve"> intagas en erinran om att anmälan om Teckning ej får ske, sedan bolagsstämman fattat </w:t>
      </w:r>
      <w:r w:rsidRPr="00A50800">
        <w:rPr>
          <w:lang w:val="sv-SE"/>
        </w:rPr>
        <w:lastRenderedPageBreak/>
        <w:t>beslut om likvidation.</w:t>
      </w:r>
      <w:r w:rsidRPr="00A50800">
        <w:rPr>
          <w:lang w:val="sv-SE"/>
        </w:rPr>
        <w:br/>
      </w:r>
      <w:r w:rsidRPr="00437F01">
        <w:rPr>
          <w:i/>
        </w:rPr>
        <w:t>No later than two months prior to the determination by the shareholders' meeting as to whether the Company shall be placed into voluntary liquidation according to Ch. 25</w:t>
      </w:r>
      <w:r>
        <w:rPr>
          <w:i/>
        </w:rPr>
        <w:t xml:space="preserve"> § </w:t>
      </w:r>
      <w:r w:rsidRPr="00437F01">
        <w:rPr>
          <w:i/>
        </w:rPr>
        <w:t xml:space="preserve">1 of the </w:t>
      </w:r>
      <w:r>
        <w:rPr>
          <w:i/>
        </w:rPr>
        <w:t xml:space="preserve">Swedish </w:t>
      </w:r>
      <w:r w:rsidRPr="00437F01">
        <w:rPr>
          <w:i/>
        </w:rPr>
        <w:t xml:space="preserve">Companies Act, notice shall be given to the </w:t>
      </w:r>
      <w:r>
        <w:rPr>
          <w:i/>
        </w:rPr>
        <w:t>Warrant Holder</w:t>
      </w:r>
      <w:r w:rsidRPr="00437F01">
        <w:rPr>
          <w:i/>
        </w:rPr>
        <w:t xml:space="preserve">s in accordance with section </w:t>
      </w:r>
      <w:r w:rsidRPr="00437F01">
        <w:rPr>
          <w:i/>
        </w:rPr>
        <w:fldChar w:fldCharType="begin"/>
      </w:r>
      <w:r w:rsidRPr="00437F01">
        <w:rPr>
          <w:i/>
        </w:rPr>
        <w:instrText xml:space="preserve"> REF _Ref145593081 \r \h </w:instrText>
      </w:r>
      <w:r w:rsidRPr="00437F01">
        <w:rPr>
          <w:i/>
        </w:rPr>
      </w:r>
      <w:r w:rsidRPr="00437F01">
        <w:rPr>
          <w:i/>
        </w:rPr>
        <w:fldChar w:fldCharType="separate"/>
      </w:r>
      <w:r w:rsidRPr="00437F01">
        <w:rPr>
          <w:i/>
        </w:rPr>
        <w:t>11</w:t>
      </w:r>
      <w:r w:rsidRPr="00437F01">
        <w:rPr>
          <w:i/>
        </w:rPr>
        <w:fldChar w:fldCharType="end"/>
      </w:r>
      <w:r w:rsidRPr="00437F01">
        <w:rPr>
          <w:i/>
        </w:rPr>
        <w:t xml:space="preserve"> below in respect of the intended liquidation. The notice shall state that notice of Subscription may not be made following the adoption of a resolution by the shareholders' meeting to place the Company in liquidation.</w:t>
      </w:r>
    </w:p>
    <w:p w14:paraId="5A0DDC36" w14:textId="77777777" w:rsidR="00F3012E" w:rsidRPr="00437F01" w:rsidRDefault="00F3012E" w:rsidP="00F3012E">
      <w:pPr>
        <w:pStyle w:val="BodyText"/>
        <w:ind w:left="720"/>
      </w:pPr>
      <w:r w:rsidRPr="00EB7BAC">
        <w:rPr>
          <w:szCs w:val="22"/>
          <w:lang w:val="sv-SE"/>
        </w:rPr>
        <w:t>Skulle</w:t>
      </w:r>
      <w:r w:rsidRPr="00A50800">
        <w:rPr>
          <w:lang w:val="sv-SE"/>
        </w:rPr>
        <w:t xml:space="preserve"> Bolaget lämna meddelande om avsedd likvidation enligt ovan, </w:t>
      </w:r>
      <w:r>
        <w:rPr>
          <w:lang w:val="sv-SE"/>
        </w:rPr>
        <w:t>ska</w:t>
      </w:r>
      <w:r w:rsidRPr="00A50800">
        <w:rPr>
          <w:lang w:val="sv-SE"/>
        </w:rPr>
        <w:t xml:space="preserve"> </w:t>
      </w:r>
      <w:r>
        <w:rPr>
          <w:lang w:val="sv-SE"/>
        </w:rPr>
        <w:t>Optionsinnehavare</w:t>
      </w:r>
      <w:r w:rsidRPr="00A50800">
        <w:rPr>
          <w:lang w:val="sv-SE"/>
        </w:rPr>
        <w:t xml:space="preserve"> – oavsett vad som i punkt </w:t>
      </w:r>
      <w:r>
        <w:rPr>
          <w:lang w:val="sv-SE"/>
        </w:rPr>
        <w:fldChar w:fldCharType="begin"/>
      </w:r>
      <w:r>
        <w:rPr>
          <w:lang w:val="sv-SE"/>
        </w:rPr>
        <w:instrText xml:space="preserve"> REF _Ref167350058 \r \h </w:instrText>
      </w:r>
      <w:r>
        <w:rPr>
          <w:lang w:val="sv-SE"/>
        </w:rPr>
      </w:r>
      <w:r>
        <w:rPr>
          <w:lang w:val="sv-SE"/>
        </w:rPr>
        <w:fldChar w:fldCharType="separate"/>
      </w:r>
      <w:r>
        <w:rPr>
          <w:lang w:val="sv-SE"/>
        </w:rPr>
        <w:t>4</w:t>
      </w:r>
      <w:r>
        <w:rPr>
          <w:lang w:val="sv-SE"/>
        </w:rPr>
        <w:fldChar w:fldCharType="end"/>
      </w:r>
      <w:r w:rsidRPr="00A50800">
        <w:rPr>
          <w:lang w:val="sv-SE"/>
        </w:rPr>
        <w:t xml:space="preserve"> ovan sägs om tidigaste tidpunkt för anmälan om Teckning – äga rätt att göra anmälan om Teckning från den dag då meddelandet lämnats, förutsatt att Teckning kan verkställas senast på tionde kalenderdagen före den bolagsstämma vid vilken frågan om Bolagets likvidation </w:t>
      </w:r>
      <w:r>
        <w:rPr>
          <w:lang w:val="sv-SE"/>
        </w:rPr>
        <w:t>ska</w:t>
      </w:r>
      <w:r w:rsidRPr="00A50800">
        <w:rPr>
          <w:lang w:val="sv-SE"/>
        </w:rPr>
        <w:t xml:space="preserve"> behandlas.</w:t>
      </w:r>
      <w:r w:rsidRPr="00A50800">
        <w:rPr>
          <w:lang w:val="sv-SE"/>
        </w:rPr>
        <w:br/>
      </w:r>
      <w:r w:rsidRPr="00437F01">
        <w:rPr>
          <w:i/>
        </w:rPr>
        <w:t xml:space="preserve">In the event the Company gives notice of an intended liquidation in accordance with the above, each </w:t>
      </w:r>
      <w:r>
        <w:rPr>
          <w:i/>
        </w:rPr>
        <w:t>Warrant Holder</w:t>
      </w:r>
      <w:r w:rsidRPr="00437F01">
        <w:rPr>
          <w:i/>
        </w:rPr>
        <w:t xml:space="preserve"> – irrespective of what is set forth in section </w:t>
      </w:r>
      <w:r>
        <w:rPr>
          <w:i/>
        </w:rPr>
        <w:fldChar w:fldCharType="begin"/>
      </w:r>
      <w:r>
        <w:rPr>
          <w:i/>
        </w:rPr>
        <w:instrText xml:space="preserve"> REF _Ref167350058 \r \h </w:instrText>
      </w:r>
      <w:r>
        <w:rPr>
          <w:i/>
        </w:rPr>
      </w:r>
      <w:r>
        <w:rPr>
          <w:i/>
        </w:rPr>
        <w:fldChar w:fldCharType="separate"/>
      </w:r>
      <w:r>
        <w:rPr>
          <w:i/>
        </w:rPr>
        <w:t>4</w:t>
      </w:r>
      <w:r>
        <w:rPr>
          <w:i/>
        </w:rPr>
        <w:fldChar w:fldCharType="end"/>
      </w:r>
      <w:r w:rsidRPr="00437F01">
        <w:rPr>
          <w:i/>
        </w:rPr>
        <w:t xml:space="preserve"> regarding the earliest time at which notice for Subscriptions may be made – shall be entitled to make a notice for Subscription from the day on which the notice is given, provided it is possible to effect Subscription not later than the tenth calendar day prior to the shareholders' meeting at which the issue of the Company's liquidation shall be addressed.</w:t>
      </w:r>
    </w:p>
    <w:p w14:paraId="60C5EC24" w14:textId="77777777" w:rsidR="00F3012E" w:rsidRPr="00A50800" w:rsidRDefault="00F3012E" w:rsidP="006350FE">
      <w:pPr>
        <w:pStyle w:val="BodyText"/>
        <w:numPr>
          <w:ilvl w:val="2"/>
          <w:numId w:val="56"/>
        </w:numPr>
        <w:spacing w:after="0"/>
        <w:rPr>
          <w:rFonts w:eastAsia="Times New Roman"/>
          <w:lang w:val="sv-SE"/>
        </w:rPr>
      </w:pPr>
      <w:bookmarkStart w:id="55" w:name="_Ref445999126"/>
      <w:r w:rsidRPr="00F00BEF">
        <w:rPr>
          <w:b/>
          <w:lang w:val="sv-SE"/>
        </w:rPr>
        <w:t>Fusion</w:t>
      </w:r>
      <w:r w:rsidRPr="00A50800">
        <w:rPr>
          <w:rStyle w:val="Heading3Char"/>
          <w:b/>
          <w:lang w:val="sv-SE"/>
        </w:rPr>
        <w:t xml:space="preserve"> och delning/</w:t>
      </w:r>
      <w:r w:rsidRPr="00A50800">
        <w:rPr>
          <w:rStyle w:val="Heading3Char"/>
          <w:b/>
          <w:i/>
          <w:lang w:val="sv-SE"/>
        </w:rPr>
        <w:t>Merger and de-</w:t>
      </w:r>
      <w:proofErr w:type="spellStart"/>
      <w:r w:rsidRPr="00A50800">
        <w:rPr>
          <w:rStyle w:val="Heading3Char"/>
          <w:b/>
          <w:i/>
          <w:lang w:val="sv-SE"/>
        </w:rPr>
        <w:t>merger</w:t>
      </w:r>
      <w:bookmarkEnd w:id="55"/>
      <w:proofErr w:type="spellEnd"/>
    </w:p>
    <w:p w14:paraId="240109D4" w14:textId="77777777" w:rsidR="00F3012E" w:rsidRPr="00437F01" w:rsidRDefault="00F3012E" w:rsidP="00F3012E">
      <w:pPr>
        <w:pStyle w:val="BodyText"/>
        <w:ind w:left="720"/>
      </w:pPr>
      <w:r w:rsidRPr="00EB7BAC">
        <w:rPr>
          <w:szCs w:val="22"/>
          <w:lang w:val="sv-SE"/>
        </w:rPr>
        <w:t>Skulle</w:t>
      </w:r>
      <w:r w:rsidRPr="00A50800">
        <w:rPr>
          <w:lang w:val="sv-SE"/>
        </w:rPr>
        <w:t xml:space="preserve"> bolagsstämman, enligt </w:t>
      </w:r>
      <w:r w:rsidRPr="006B6AC0">
        <w:rPr>
          <w:u w:val="single"/>
          <w:lang w:val="sv-SE"/>
        </w:rPr>
        <w:t>23 kap. 15 § Aktiebolagslagen, godkänna fusionsplan</w:t>
      </w:r>
      <w:r w:rsidRPr="00A50800">
        <w:rPr>
          <w:lang w:val="sv-SE"/>
        </w:rPr>
        <w:t xml:space="preserve"> varigenom Bolaget </w:t>
      </w:r>
      <w:r>
        <w:rPr>
          <w:lang w:val="sv-SE"/>
        </w:rPr>
        <w:t>ska</w:t>
      </w:r>
      <w:r w:rsidRPr="00A50800">
        <w:rPr>
          <w:lang w:val="sv-SE"/>
        </w:rPr>
        <w:t xml:space="preserve"> uppgå i annat bolag, eller om bolagsstämman, enligt </w:t>
      </w:r>
      <w:r w:rsidRPr="006B6AC0">
        <w:rPr>
          <w:u w:val="single"/>
          <w:lang w:val="sv-SE"/>
        </w:rPr>
        <w:t>24 kap. 17 § Aktiebolagslagen, skulle godkänna delningsplan</w:t>
      </w:r>
      <w:r w:rsidRPr="00A50800">
        <w:rPr>
          <w:lang w:val="sv-SE"/>
        </w:rPr>
        <w:t xml:space="preserve"> varigenom Bolaget </w:t>
      </w:r>
      <w:r>
        <w:rPr>
          <w:lang w:val="sv-SE"/>
        </w:rPr>
        <w:t>ska</w:t>
      </w:r>
      <w:r w:rsidRPr="00A50800">
        <w:rPr>
          <w:lang w:val="sv-SE"/>
        </w:rPr>
        <w:t xml:space="preserve"> upplösas utan likvidation, får anmälan om Teckning därefter ej ske.</w:t>
      </w:r>
      <w:r w:rsidRPr="00E94CF0">
        <w:rPr>
          <w:lang w:val="sv-SE"/>
        </w:rPr>
        <w:br/>
      </w:r>
      <w:r w:rsidRPr="00437F01">
        <w:rPr>
          <w:i/>
        </w:rPr>
        <w:t xml:space="preserve">In the event the shareholders' meeting </w:t>
      </w:r>
      <w:r w:rsidRPr="006B6AC0">
        <w:rPr>
          <w:i/>
          <w:u w:val="single"/>
        </w:rPr>
        <w:t>approves a merger plan, in accordance with Ch. 23 § 15 of the Swedish Companies Act</w:t>
      </w:r>
      <w:r w:rsidRPr="00437F01">
        <w:rPr>
          <w:i/>
        </w:rPr>
        <w:t xml:space="preserve">, pursuant to which the Company is to be merged into another company, or in the event the shareholders' meeting </w:t>
      </w:r>
      <w:r w:rsidRPr="006B6AC0">
        <w:rPr>
          <w:i/>
          <w:u w:val="single"/>
        </w:rPr>
        <w:t>approves a demerger plan, in accordance with Ch. 24 § 17 of the Swedish Companies Act</w:t>
      </w:r>
      <w:r w:rsidRPr="00437F01">
        <w:rPr>
          <w:i/>
        </w:rPr>
        <w:t>, pursuant to which the Company will be dissolved without liquidation, notice for Subscription may not thereafter be made.</w:t>
      </w:r>
    </w:p>
    <w:p w14:paraId="56E2E14E" w14:textId="77777777" w:rsidR="00F3012E" w:rsidRPr="00437F01" w:rsidRDefault="00F3012E" w:rsidP="00F3012E">
      <w:pPr>
        <w:pStyle w:val="BodyText"/>
        <w:ind w:left="720"/>
      </w:pPr>
      <w:r w:rsidRPr="00A50800">
        <w:rPr>
          <w:lang w:val="sv-SE"/>
        </w:rPr>
        <w:t xml:space="preserve">Senast två månader innan Bolaget tar slutlig ställning till frågan om fusion eller delning enligt ovan, </w:t>
      </w:r>
      <w:r>
        <w:rPr>
          <w:lang w:val="sv-SE"/>
        </w:rPr>
        <w:t>ska</w:t>
      </w:r>
      <w:r w:rsidRPr="00A50800">
        <w:rPr>
          <w:lang w:val="sv-SE"/>
        </w:rPr>
        <w:t xml:space="preserve"> </w:t>
      </w:r>
      <w:r>
        <w:rPr>
          <w:lang w:val="sv-SE"/>
        </w:rPr>
        <w:t>Optionsinnehavarna</w:t>
      </w:r>
      <w:r w:rsidRPr="00A50800">
        <w:rPr>
          <w:lang w:val="sv-SE"/>
        </w:rPr>
        <w:t xml:space="preserve"> genom meddelande enligt punkt </w:t>
      </w:r>
      <w:r>
        <w:rPr>
          <w:lang w:val="sv-SE"/>
        </w:rPr>
        <w:fldChar w:fldCharType="begin"/>
      </w:r>
      <w:r>
        <w:rPr>
          <w:lang w:val="sv-SE"/>
        </w:rPr>
        <w:instrText xml:space="preserve"> REF _Ref145593081 \r \h </w:instrText>
      </w:r>
      <w:r>
        <w:rPr>
          <w:lang w:val="sv-SE"/>
        </w:rPr>
      </w:r>
      <w:r>
        <w:rPr>
          <w:lang w:val="sv-SE"/>
        </w:rPr>
        <w:fldChar w:fldCharType="separate"/>
      </w:r>
      <w:r>
        <w:rPr>
          <w:lang w:val="sv-SE"/>
        </w:rPr>
        <w:t>11</w:t>
      </w:r>
      <w:r>
        <w:rPr>
          <w:lang w:val="sv-SE"/>
        </w:rPr>
        <w:fldChar w:fldCharType="end"/>
      </w:r>
      <w:r w:rsidRPr="00A50800">
        <w:rPr>
          <w:lang w:val="sv-SE"/>
        </w:rPr>
        <w:t xml:space="preserve"> nedan underrättas om fusions- eller delningsavsikten. I meddelandet </w:t>
      </w:r>
      <w:r>
        <w:rPr>
          <w:lang w:val="sv-SE"/>
        </w:rPr>
        <w:t>ska</w:t>
      </w:r>
      <w:r w:rsidRPr="00A50800">
        <w:rPr>
          <w:lang w:val="sv-SE"/>
        </w:rPr>
        <w:t xml:space="preserve"> en redogörelse lämnas för det huvudsakliga innehållet i den avsedda fusionsplanen eller delningsplanen samt </w:t>
      </w:r>
      <w:r>
        <w:rPr>
          <w:lang w:val="sv-SE"/>
        </w:rPr>
        <w:t>ska</w:t>
      </w:r>
      <w:r w:rsidRPr="00A50800">
        <w:rPr>
          <w:lang w:val="sv-SE"/>
        </w:rPr>
        <w:t xml:space="preserve"> </w:t>
      </w:r>
      <w:r>
        <w:rPr>
          <w:lang w:val="sv-SE"/>
        </w:rPr>
        <w:t>Optionsinnehavarna</w:t>
      </w:r>
      <w:r w:rsidRPr="00A50800">
        <w:rPr>
          <w:lang w:val="sv-SE"/>
        </w:rPr>
        <w:t xml:space="preserve"> erinras om att anmälan om Teckning ej får ske, sedan slutligt beslut fattats om fusion eller delning.</w:t>
      </w:r>
      <w:r w:rsidRPr="00A50800">
        <w:rPr>
          <w:lang w:val="sv-SE"/>
        </w:rPr>
        <w:br/>
      </w:r>
      <w:r w:rsidRPr="00437F01">
        <w:rPr>
          <w:i/>
        </w:rPr>
        <w:t xml:space="preserve">No later than two months prior to final determination by the Company in respect of a merger or demerger as set forth above, notice shall be given to </w:t>
      </w:r>
      <w:r>
        <w:rPr>
          <w:i/>
        </w:rPr>
        <w:t>Warrant Holder</w:t>
      </w:r>
      <w:r w:rsidRPr="00437F01">
        <w:rPr>
          <w:i/>
        </w:rPr>
        <w:t xml:space="preserve">s in accordance with section </w:t>
      </w:r>
      <w:r>
        <w:rPr>
          <w:i/>
        </w:rPr>
        <w:fldChar w:fldCharType="begin"/>
      </w:r>
      <w:r>
        <w:rPr>
          <w:i/>
        </w:rPr>
        <w:instrText xml:space="preserve"> REF _Ref145593081 \r \h </w:instrText>
      </w:r>
      <w:r>
        <w:rPr>
          <w:i/>
        </w:rPr>
      </w:r>
      <w:r>
        <w:rPr>
          <w:i/>
        </w:rPr>
        <w:fldChar w:fldCharType="separate"/>
      </w:r>
      <w:r>
        <w:rPr>
          <w:i/>
        </w:rPr>
        <w:t>11</w:t>
      </w:r>
      <w:r>
        <w:rPr>
          <w:i/>
        </w:rPr>
        <w:fldChar w:fldCharType="end"/>
      </w:r>
      <w:r w:rsidRPr="00437F01">
        <w:rPr>
          <w:i/>
        </w:rPr>
        <w:t xml:space="preserve"> below of the intended merger or demerger. The notice shall set forth the principal contents of the intended merger plan or demerger plan and each </w:t>
      </w:r>
      <w:r>
        <w:rPr>
          <w:i/>
        </w:rPr>
        <w:t>Warrant Holder</w:t>
      </w:r>
      <w:r w:rsidRPr="00437F01">
        <w:rPr>
          <w:i/>
        </w:rPr>
        <w:t xml:space="preserve"> shall be notified that Subscription may not be made following a final </w:t>
      </w:r>
      <w:r>
        <w:rPr>
          <w:i/>
        </w:rPr>
        <w:t>resolution</w:t>
      </w:r>
      <w:r w:rsidRPr="00437F01">
        <w:rPr>
          <w:i/>
        </w:rPr>
        <w:t xml:space="preserve"> regarding the merger or demerger.</w:t>
      </w:r>
    </w:p>
    <w:p w14:paraId="58EA5EA0" w14:textId="77777777" w:rsidR="00F3012E" w:rsidRDefault="00F3012E" w:rsidP="00F3012E">
      <w:pPr>
        <w:pStyle w:val="BodyText"/>
        <w:ind w:left="720"/>
        <w:rPr>
          <w:i/>
        </w:rPr>
      </w:pPr>
      <w:r w:rsidRPr="00A50800">
        <w:rPr>
          <w:lang w:val="sv-SE"/>
        </w:rPr>
        <w:t xml:space="preserve">Om Bolaget lämnar meddelande om planerad fusion eller delning enligt ovan, </w:t>
      </w:r>
      <w:r>
        <w:rPr>
          <w:lang w:val="sv-SE"/>
        </w:rPr>
        <w:t>ska</w:t>
      </w:r>
      <w:r w:rsidRPr="00A50800">
        <w:rPr>
          <w:lang w:val="sv-SE"/>
        </w:rPr>
        <w:t xml:space="preserve"> </w:t>
      </w:r>
      <w:r>
        <w:rPr>
          <w:lang w:val="sv-SE"/>
        </w:rPr>
        <w:t>Optionsinnehavare</w:t>
      </w:r>
      <w:r w:rsidRPr="00A50800">
        <w:rPr>
          <w:lang w:val="sv-SE"/>
        </w:rPr>
        <w:t xml:space="preserve"> – oavsett vad som i punkt </w:t>
      </w:r>
      <w:r>
        <w:rPr>
          <w:lang w:val="sv-SE"/>
        </w:rPr>
        <w:fldChar w:fldCharType="begin"/>
      </w:r>
      <w:r>
        <w:rPr>
          <w:lang w:val="sv-SE"/>
        </w:rPr>
        <w:instrText xml:space="preserve"> REF _Ref167350058 \r \h </w:instrText>
      </w:r>
      <w:r>
        <w:rPr>
          <w:lang w:val="sv-SE"/>
        </w:rPr>
      </w:r>
      <w:r>
        <w:rPr>
          <w:lang w:val="sv-SE"/>
        </w:rPr>
        <w:fldChar w:fldCharType="separate"/>
      </w:r>
      <w:r>
        <w:rPr>
          <w:lang w:val="sv-SE"/>
        </w:rPr>
        <w:t>4</w:t>
      </w:r>
      <w:r>
        <w:rPr>
          <w:lang w:val="sv-SE"/>
        </w:rPr>
        <w:fldChar w:fldCharType="end"/>
      </w:r>
      <w:r w:rsidRPr="00A50800">
        <w:rPr>
          <w:lang w:val="sv-SE"/>
        </w:rPr>
        <w:t xml:space="preserve"> ovan sägs om tidigaste tidpunkt för anmälan om Teckning – äga rätt att påkalla Teckning från den dag då meddelandet lämnats om fusions- eller delningsavsikten, förutsatt att Teckning kan verkställas senast på tionde kalenderdagen före den bolagsstämma vid vilken fusionsplanen eller delningsplanen </w:t>
      </w:r>
      <w:r>
        <w:rPr>
          <w:lang w:val="sv-SE"/>
        </w:rPr>
        <w:t>ska</w:t>
      </w:r>
      <w:r w:rsidRPr="00A50800">
        <w:rPr>
          <w:lang w:val="sv-SE"/>
        </w:rPr>
        <w:t xml:space="preserve"> godkännas.</w:t>
      </w:r>
      <w:r w:rsidRPr="00A50800">
        <w:rPr>
          <w:lang w:val="sv-SE"/>
        </w:rPr>
        <w:br/>
      </w:r>
      <w:r w:rsidRPr="00437F01">
        <w:rPr>
          <w:i/>
        </w:rPr>
        <w:t xml:space="preserve">In the event the Company gives notice regarding a intended merger or demerger in accordance with the above, each </w:t>
      </w:r>
      <w:r>
        <w:rPr>
          <w:i/>
        </w:rPr>
        <w:t>Warrant Holder</w:t>
      </w:r>
      <w:r w:rsidRPr="00437F01">
        <w:rPr>
          <w:i/>
        </w:rPr>
        <w:t xml:space="preserve"> – irrespective of what is set forth in section </w:t>
      </w:r>
      <w:r>
        <w:rPr>
          <w:i/>
        </w:rPr>
        <w:fldChar w:fldCharType="begin"/>
      </w:r>
      <w:r>
        <w:rPr>
          <w:i/>
        </w:rPr>
        <w:instrText xml:space="preserve"> REF _Ref167350058 \r \h </w:instrText>
      </w:r>
      <w:r>
        <w:rPr>
          <w:i/>
        </w:rPr>
      </w:r>
      <w:r>
        <w:rPr>
          <w:i/>
        </w:rPr>
        <w:fldChar w:fldCharType="separate"/>
      </w:r>
      <w:r>
        <w:rPr>
          <w:i/>
        </w:rPr>
        <w:t>4</w:t>
      </w:r>
      <w:r>
        <w:rPr>
          <w:i/>
        </w:rPr>
        <w:fldChar w:fldCharType="end"/>
      </w:r>
      <w:r w:rsidRPr="00437F01">
        <w:rPr>
          <w:i/>
        </w:rPr>
        <w:t xml:space="preserve"> above regarding the earliest time at which notice for Subscription may be made – shall be entitled to make a notice for Subscription from the date on which notice is given, </w:t>
      </w:r>
      <w:r w:rsidRPr="00437F01">
        <w:rPr>
          <w:i/>
        </w:rPr>
        <w:lastRenderedPageBreak/>
        <w:t>provided it is possible to effect Subscription not later than the tenth calendar day prior to the shareholders' meeting at which the merger plan or demerger plan is to be approved.</w:t>
      </w:r>
    </w:p>
    <w:p w14:paraId="323D128B" w14:textId="77777777" w:rsidR="00F3012E" w:rsidRPr="006B6AC0" w:rsidRDefault="00F3012E" w:rsidP="00F3012E">
      <w:pPr>
        <w:pStyle w:val="BodyText"/>
        <w:ind w:left="720"/>
        <w:rPr>
          <w:i/>
        </w:rPr>
      </w:pPr>
      <w:bookmarkStart w:id="56" w:name="_Hlk146185694"/>
      <w:r w:rsidRPr="006B6AC0">
        <w:rPr>
          <w:lang w:val="sv-SE"/>
        </w:rPr>
        <w:t>Genomför</w:t>
      </w:r>
      <w:r w:rsidRPr="006B6AC0">
        <w:rPr>
          <w:szCs w:val="22"/>
          <w:lang w:val="sv-SE"/>
        </w:rPr>
        <w:t xml:space="preserve"> Bolaget en gränsöverskridande fusion enligt 23 kap. 36 § Aktiebolagslagen eller en gränsöverskridande delning enligt 24 kap. 30 § samma lag, gäller bestämmelserna i denna punkt i tillämpliga delar.</w:t>
      </w:r>
      <w:r w:rsidRPr="006B6AC0">
        <w:rPr>
          <w:szCs w:val="22"/>
          <w:lang w:val="sv-SE"/>
        </w:rPr>
        <w:br/>
      </w:r>
      <w:r>
        <w:rPr>
          <w:bCs/>
          <w:i/>
          <w:iCs/>
          <w:szCs w:val="22"/>
          <w:lang w:val="en-US"/>
        </w:rPr>
        <w:t xml:space="preserve">In the event the Company carries out a </w:t>
      </w:r>
      <w:r w:rsidRPr="00066F2D">
        <w:rPr>
          <w:bCs/>
          <w:i/>
          <w:iCs/>
          <w:szCs w:val="22"/>
          <w:lang w:val="en-US"/>
        </w:rPr>
        <w:t xml:space="preserve">cross-border merger </w:t>
      </w:r>
      <w:r>
        <w:rPr>
          <w:bCs/>
          <w:i/>
          <w:iCs/>
          <w:szCs w:val="22"/>
          <w:lang w:val="en-US"/>
        </w:rPr>
        <w:t>in accordance with Ch. 23 § 36 of the Companies Act or a cross-border demerger in accordance with Ch. 24 § 30 of the Swedish Companies Act, the provisions of this section shall apply in a corresponding manner.</w:t>
      </w:r>
      <w:bookmarkEnd w:id="56"/>
    </w:p>
    <w:p w14:paraId="6BFD1FFB" w14:textId="77777777" w:rsidR="00F3012E" w:rsidRPr="00A50800" w:rsidRDefault="00F3012E" w:rsidP="006350FE">
      <w:pPr>
        <w:pStyle w:val="BodyText"/>
        <w:numPr>
          <w:ilvl w:val="2"/>
          <w:numId w:val="56"/>
        </w:numPr>
        <w:spacing w:after="0"/>
        <w:rPr>
          <w:b/>
          <w:lang w:val="sv-SE"/>
        </w:rPr>
      </w:pPr>
      <w:bookmarkStart w:id="57" w:name="_Ref445999098"/>
      <w:r w:rsidRPr="00A50800">
        <w:rPr>
          <w:b/>
          <w:lang w:val="sv-SE"/>
        </w:rPr>
        <w:t>Förenklad fusion och tvångsinlösen/</w:t>
      </w:r>
      <w:proofErr w:type="spellStart"/>
      <w:r w:rsidRPr="00A50800">
        <w:rPr>
          <w:b/>
          <w:i/>
          <w:lang w:val="sv-SE"/>
        </w:rPr>
        <w:t>Simplified</w:t>
      </w:r>
      <w:proofErr w:type="spellEnd"/>
      <w:r w:rsidRPr="00A50800">
        <w:rPr>
          <w:b/>
          <w:i/>
          <w:lang w:val="sv-SE"/>
        </w:rPr>
        <w:t xml:space="preserve"> </w:t>
      </w:r>
      <w:proofErr w:type="spellStart"/>
      <w:r w:rsidRPr="00A50800">
        <w:rPr>
          <w:b/>
          <w:i/>
          <w:lang w:val="sv-SE"/>
        </w:rPr>
        <w:t>merger</w:t>
      </w:r>
      <w:proofErr w:type="spellEnd"/>
      <w:r w:rsidRPr="00A50800">
        <w:rPr>
          <w:b/>
          <w:i/>
          <w:lang w:val="sv-SE"/>
        </w:rPr>
        <w:t xml:space="preserve"> and </w:t>
      </w:r>
      <w:proofErr w:type="spellStart"/>
      <w:r w:rsidRPr="00A50800">
        <w:rPr>
          <w:b/>
          <w:i/>
          <w:lang w:val="sv-SE"/>
        </w:rPr>
        <w:t>buy</w:t>
      </w:r>
      <w:proofErr w:type="spellEnd"/>
      <w:r w:rsidRPr="00A50800">
        <w:rPr>
          <w:b/>
          <w:i/>
          <w:lang w:val="sv-SE"/>
        </w:rPr>
        <w:t xml:space="preserve"> out </w:t>
      </w:r>
      <w:proofErr w:type="spellStart"/>
      <w:r w:rsidRPr="00A50800">
        <w:rPr>
          <w:b/>
          <w:i/>
          <w:lang w:val="sv-SE"/>
        </w:rPr>
        <w:t>procedure</w:t>
      </w:r>
      <w:bookmarkEnd w:id="57"/>
      <w:proofErr w:type="spellEnd"/>
    </w:p>
    <w:p w14:paraId="68C0D6F1" w14:textId="77777777" w:rsidR="00F3012E" w:rsidRPr="00437F01" w:rsidRDefault="00F3012E" w:rsidP="00F3012E">
      <w:pPr>
        <w:pStyle w:val="BodyText"/>
        <w:ind w:left="720"/>
      </w:pPr>
      <w:r w:rsidRPr="00A50800">
        <w:rPr>
          <w:lang w:val="sv-SE"/>
        </w:rPr>
        <w:t xml:space="preserve">Upprättar Bolagets styrelse en </w:t>
      </w:r>
      <w:r w:rsidRPr="00A50800">
        <w:rPr>
          <w:u w:val="single"/>
          <w:lang w:val="sv-SE"/>
        </w:rPr>
        <w:t xml:space="preserve">fusionsplan enligt 23 kap. 28 § </w:t>
      </w:r>
      <w:r>
        <w:rPr>
          <w:u w:val="single"/>
          <w:lang w:val="sv-SE"/>
        </w:rPr>
        <w:t>Ak</w:t>
      </w:r>
      <w:r w:rsidRPr="00A50800">
        <w:rPr>
          <w:u w:val="single"/>
          <w:lang w:val="sv-SE"/>
        </w:rPr>
        <w:t>tiebolagslagen</w:t>
      </w:r>
      <w:r w:rsidRPr="00A50800">
        <w:rPr>
          <w:lang w:val="sv-SE"/>
        </w:rPr>
        <w:t xml:space="preserve"> varigenom Bolaget </w:t>
      </w:r>
      <w:r>
        <w:rPr>
          <w:lang w:val="sv-SE"/>
        </w:rPr>
        <w:t>ska</w:t>
      </w:r>
      <w:r w:rsidRPr="00A50800">
        <w:rPr>
          <w:lang w:val="sv-SE"/>
        </w:rPr>
        <w:t xml:space="preserve"> uppgå i ett annat bolag eller blir Bolagets Aktier föremål för </w:t>
      </w:r>
      <w:proofErr w:type="spellStart"/>
      <w:r w:rsidRPr="00A50800">
        <w:rPr>
          <w:u w:val="single"/>
          <w:lang w:val="sv-SE"/>
        </w:rPr>
        <w:t>tvångsinlösenförfarande</w:t>
      </w:r>
      <w:proofErr w:type="spellEnd"/>
      <w:r w:rsidRPr="00A50800">
        <w:rPr>
          <w:lang w:val="sv-SE"/>
        </w:rPr>
        <w:t xml:space="preserve"> enligt 22 kap. </w:t>
      </w:r>
      <w:proofErr w:type="spellStart"/>
      <w:r w:rsidRPr="00D74CDD">
        <w:rPr>
          <w:lang w:val="en-US"/>
        </w:rPr>
        <w:t>Aktiebolagslag</w:t>
      </w:r>
      <w:r>
        <w:rPr>
          <w:lang w:val="en-US"/>
        </w:rPr>
        <w:t>en</w:t>
      </w:r>
      <w:proofErr w:type="spellEnd"/>
      <w:r>
        <w:rPr>
          <w:lang w:val="en-US"/>
        </w:rPr>
        <w:t xml:space="preserve"> </w:t>
      </w:r>
      <w:r w:rsidRPr="006B6AC0">
        <w:rPr>
          <w:lang w:val="en-US"/>
        </w:rPr>
        <w:t xml:space="preserve">ska </w:t>
      </w:r>
      <w:proofErr w:type="spellStart"/>
      <w:r w:rsidRPr="006B6AC0">
        <w:rPr>
          <w:lang w:val="en-US"/>
        </w:rPr>
        <w:t>följande</w:t>
      </w:r>
      <w:proofErr w:type="spellEnd"/>
      <w:r w:rsidRPr="006B6AC0">
        <w:rPr>
          <w:lang w:val="en-US"/>
        </w:rPr>
        <w:t xml:space="preserve"> </w:t>
      </w:r>
      <w:proofErr w:type="spellStart"/>
      <w:r w:rsidRPr="006B6AC0">
        <w:rPr>
          <w:lang w:val="en-US"/>
        </w:rPr>
        <w:t>gälla</w:t>
      </w:r>
      <w:proofErr w:type="spellEnd"/>
      <w:r w:rsidRPr="006B6AC0">
        <w:rPr>
          <w:lang w:val="en-US"/>
        </w:rPr>
        <w:t>.</w:t>
      </w:r>
      <w:r w:rsidRPr="006B6AC0">
        <w:rPr>
          <w:lang w:val="en-US"/>
        </w:rPr>
        <w:br/>
      </w:r>
      <w:r w:rsidRPr="00437F01">
        <w:rPr>
          <w:i/>
        </w:rPr>
        <w:t xml:space="preserve">In the event the Company's board of directors prepares a </w:t>
      </w:r>
      <w:r w:rsidRPr="00437F01">
        <w:rPr>
          <w:i/>
          <w:u w:val="single"/>
        </w:rPr>
        <w:t>merger plan in accordance with Ch.</w:t>
      </w:r>
      <w:r>
        <w:rPr>
          <w:i/>
          <w:u w:val="single"/>
        </w:rPr>
        <w:t> </w:t>
      </w:r>
      <w:r w:rsidRPr="00437F01">
        <w:rPr>
          <w:i/>
          <w:u w:val="single"/>
        </w:rPr>
        <w:t xml:space="preserve">23 </w:t>
      </w:r>
      <w:r>
        <w:rPr>
          <w:i/>
          <w:u w:val="single"/>
        </w:rPr>
        <w:t xml:space="preserve">§ </w:t>
      </w:r>
      <w:r w:rsidRPr="00437F01">
        <w:rPr>
          <w:i/>
          <w:u w:val="single"/>
        </w:rPr>
        <w:t xml:space="preserve">28 of the </w:t>
      </w:r>
      <w:r>
        <w:rPr>
          <w:i/>
          <w:u w:val="single"/>
        </w:rPr>
        <w:t xml:space="preserve">Swedish </w:t>
      </w:r>
      <w:r w:rsidRPr="00437F01">
        <w:rPr>
          <w:i/>
          <w:u w:val="single"/>
        </w:rPr>
        <w:t>Companies Act</w:t>
      </w:r>
      <w:r w:rsidRPr="00437F01">
        <w:rPr>
          <w:i/>
        </w:rPr>
        <w:t xml:space="preserve">, pursuant to which the Company is to be merged into another company or if the Company's Shares will be subject to a </w:t>
      </w:r>
      <w:proofErr w:type="spellStart"/>
      <w:r w:rsidRPr="00437F01">
        <w:rPr>
          <w:i/>
          <w:u w:val="single"/>
        </w:rPr>
        <w:t>buy out</w:t>
      </w:r>
      <w:proofErr w:type="spellEnd"/>
      <w:r w:rsidRPr="00437F01">
        <w:rPr>
          <w:i/>
          <w:u w:val="single"/>
        </w:rPr>
        <w:t xml:space="preserve"> procedure</w:t>
      </w:r>
      <w:r w:rsidRPr="00437F01">
        <w:rPr>
          <w:i/>
        </w:rPr>
        <w:t xml:space="preserve"> in accordance with Ch. 22 </w:t>
      </w:r>
      <w:r>
        <w:rPr>
          <w:i/>
        </w:rPr>
        <w:t>of the Swedish Companies Act</w:t>
      </w:r>
      <w:r w:rsidRPr="00437F01">
        <w:rPr>
          <w:i/>
        </w:rPr>
        <w:t>, the following shall apply.</w:t>
      </w:r>
    </w:p>
    <w:p w14:paraId="4902D802" w14:textId="77777777" w:rsidR="00F3012E" w:rsidRPr="00437F01" w:rsidRDefault="00F3012E" w:rsidP="00F3012E">
      <w:pPr>
        <w:pStyle w:val="BodyText"/>
        <w:ind w:left="720"/>
      </w:pPr>
      <w:r w:rsidRPr="00A50800">
        <w:rPr>
          <w:lang w:val="sv-SE"/>
        </w:rPr>
        <w:t xml:space="preserve">Äger ett svenskt aktiebolag samtliga Aktier i Bolaget, och offentliggör Bolagets styrelse sin avsikt att upprätta en fusionsplan enligt i föregående stycke angivet lagrum, </w:t>
      </w:r>
      <w:r>
        <w:rPr>
          <w:lang w:val="sv-SE"/>
        </w:rPr>
        <w:t>ska</w:t>
      </w:r>
      <w:r w:rsidRPr="00A50800">
        <w:rPr>
          <w:lang w:val="sv-SE"/>
        </w:rPr>
        <w:t xml:space="preserve"> Bolaget, för det fall att sista dag för Teckning enligt punkt </w:t>
      </w:r>
      <w:r>
        <w:rPr>
          <w:lang w:val="sv-SE"/>
        </w:rPr>
        <w:fldChar w:fldCharType="begin"/>
      </w:r>
      <w:r>
        <w:rPr>
          <w:lang w:val="sv-SE"/>
        </w:rPr>
        <w:instrText xml:space="preserve"> REF _Ref167350058 \r \h </w:instrText>
      </w:r>
      <w:r>
        <w:rPr>
          <w:lang w:val="sv-SE"/>
        </w:rPr>
      </w:r>
      <w:r>
        <w:rPr>
          <w:lang w:val="sv-SE"/>
        </w:rPr>
        <w:fldChar w:fldCharType="separate"/>
      </w:r>
      <w:r>
        <w:rPr>
          <w:lang w:val="sv-SE"/>
        </w:rPr>
        <w:t>4</w:t>
      </w:r>
      <w:r>
        <w:rPr>
          <w:lang w:val="sv-SE"/>
        </w:rPr>
        <w:fldChar w:fldCharType="end"/>
      </w:r>
      <w:r>
        <w:rPr>
          <w:lang w:val="sv-SE"/>
        </w:rPr>
        <w:t xml:space="preserve"> </w:t>
      </w:r>
      <w:r w:rsidRPr="00A50800">
        <w:rPr>
          <w:lang w:val="sv-SE"/>
        </w:rPr>
        <w:t xml:space="preserve">ovan infaller efter sådant offentliggörande, fastställa en ny sista dag för Teckning (slutdagen). </w:t>
      </w:r>
      <w:proofErr w:type="spellStart"/>
      <w:r w:rsidRPr="00437F01">
        <w:t>Slutdagen</w:t>
      </w:r>
      <w:proofErr w:type="spellEnd"/>
      <w:r w:rsidRPr="00437F01">
        <w:t xml:space="preserve"> </w:t>
      </w:r>
      <w:r>
        <w:t>ska</w:t>
      </w:r>
      <w:r w:rsidRPr="00437F01">
        <w:t xml:space="preserve"> </w:t>
      </w:r>
      <w:proofErr w:type="spellStart"/>
      <w:r w:rsidRPr="00437F01">
        <w:t>infalla</w:t>
      </w:r>
      <w:proofErr w:type="spellEnd"/>
      <w:r w:rsidRPr="00437F01">
        <w:t xml:space="preserve"> </w:t>
      </w:r>
      <w:proofErr w:type="spellStart"/>
      <w:r w:rsidRPr="00437F01">
        <w:t>inom</w:t>
      </w:r>
      <w:proofErr w:type="spellEnd"/>
      <w:r w:rsidRPr="00437F01">
        <w:t xml:space="preserve"> 60 </w:t>
      </w:r>
      <w:proofErr w:type="spellStart"/>
      <w:r w:rsidRPr="00437F01">
        <w:t>dagar</w:t>
      </w:r>
      <w:proofErr w:type="spellEnd"/>
      <w:r w:rsidRPr="00437F01">
        <w:t xml:space="preserve"> </w:t>
      </w:r>
      <w:proofErr w:type="spellStart"/>
      <w:r w:rsidRPr="00437F01">
        <w:t>från</w:t>
      </w:r>
      <w:proofErr w:type="spellEnd"/>
      <w:r w:rsidRPr="00437F01">
        <w:t xml:space="preserve"> </w:t>
      </w:r>
      <w:proofErr w:type="spellStart"/>
      <w:r w:rsidRPr="00437F01">
        <w:t>offentliggörandet</w:t>
      </w:r>
      <w:proofErr w:type="spellEnd"/>
      <w:r w:rsidRPr="00437F01">
        <w:t>.</w:t>
      </w:r>
      <w:r w:rsidRPr="00437F01">
        <w:br/>
      </w:r>
      <w:r w:rsidRPr="00437F01">
        <w:rPr>
          <w:i/>
        </w:rPr>
        <w:t xml:space="preserve">In the event a Swedish limited liability company owns all the shares of the Company and the Company's board of directors publishes its intention to prepare a merger plan in accordance with the legislation referred to in the preceding paragraph, the Company shall </w:t>
      </w:r>
      <w:proofErr w:type="spellStart"/>
      <w:r w:rsidRPr="00437F01">
        <w:rPr>
          <w:i/>
        </w:rPr>
        <w:t>provided</w:t>
      </w:r>
      <w:proofErr w:type="spellEnd"/>
      <w:r w:rsidRPr="00437F01">
        <w:rPr>
          <w:i/>
        </w:rPr>
        <w:t xml:space="preserve"> that the final day for notice for Subscription pursuant to section </w:t>
      </w:r>
      <w:r>
        <w:rPr>
          <w:i/>
        </w:rPr>
        <w:fldChar w:fldCharType="begin"/>
      </w:r>
      <w:r>
        <w:rPr>
          <w:i/>
        </w:rPr>
        <w:instrText xml:space="preserve"> REF _Ref167350058 \r \h </w:instrText>
      </w:r>
      <w:r>
        <w:rPr>
          <w:i/>
        </w:rPr>
      </w:r>
      <w:r>
        <w:rPr>
          <w:i/>
        </w:rPr>
        <w:fldChar w:fldCharType="separate"/>
      </w:r>
      <w:r>
        <w:rPr>
          <w:i/>
        </w:rPr>
        <w:t>4</w:t>
      </w:r>
      <w:r>
        <w:rPr>
          <w:i/>
        </w:rPr>
        <w:fldChar w:fldCharType="end"/>
      </w:r>
      <w:r w:rsidRPr="00437F01">
        <w:rPr>
          <w:i/>
        </w:rPr>
        <w:t xml:space="preserve"> above occurs after such publication, determine a new final date for notice for Subscription (expiration date). The expiration date shall occur within 60 days of the publication.</w:t>
      </w:r>
    </w:p>
    <w:p w14:paraId="0D259341" w14:textId="77777777" w:rsidR="00F3012E" w:rsidRPr="00437F01" w:rsidRDefault="00F3012E" w:rsidP="00F3012E">
      <w:pPr>
        <w:pStyle w:val="BodyText"/>
        <w:ind w:left="720"/>
      </w:pPr>
      <w:r w:rsidRPr="00A50800">
        <w:rPr>
          <w:lang w:val="sv-SE"/>
        </w:rPr>
        <w:t>Om offentliggörandet skett i enlighet med vad som anges ovan i de</w:t>
      </w:r>
      <w:r>
        <w:rPr>
          <w:lang w:val="sv-SE"/>
        </w:rPr>
        <w:t>nn</w:t>
      </w:r>
      <w:r w:rsidRPr="00A50800">
        <w:rPr>
          <w:lang w:val="sv-SE"/>
        </w:rPr>
        <w:t xml:space="preserve">a </w:t>
      </w:r>
      <w:r>
        <w:rPr>
          <w:lang w:val="sv-SE"/>
        </w:rPr>
        <w:t>punkt</w:t>
      </w:r>
      <w:r w:rsidRPr="00A50800">
        <w:rPr>
          <w:lang w:val="sv-SE"/>
        </w:rPr>
        <w:t xml:space="preserve"> </w:t>
      </w:r>
      <w:r>
        <w:rPr>
          <w:szCs w:val="22"/>
        </w:rPr>
        <w:fldChar w:fldCharType="begin"/>
      </w:r>
      <w:r>
        <w:rPr>
          <w:lang w:val="sv-SE"/>
        </w:rPr>
        <w:instrText xml:space="preserve"> REF _Ref445999098 \r \h </w:instrText>
      </w:r>
      <w:r>
        <w:rPr>
          <w:szCs w:val="22"/>
        </w:rPr>
      </w:r>
      <w:r>
        <w:rPr>
          <w:szCs w:val="22"/>
        </w:rPr>
        <w:fldChar w:fldCharType="separate"/>
      </w:r>
      <w:r>
        <w:rPr>
          <w:lang w:val="sv-SE"/>
        </w:rPr>
        <w:t>8.2.16</w:t>
      </w:r>
      <w:r>
        <w:rPr>
          <w:szCs w:val="22"/>
        </w:rPr>
        <w:fldChar w:fldCharType="end"/>
      </w:r>
      <w:r w:rsidRPr="00A50800">
        <w:rPr>
          <w:lang w:val="sv-SE"/>
        </w:rPr>
        <w:t xml:space="preserve">, </w:t>
      </w:r>
      <w:r>
        <w:rPr>
          <w:lang w:val="sv-SE"/>
        </w:rPr>
        <w:t>ska</w:t>
      </w:r>
      <w:r w:rsidRPr="00A50800">
        <w:rPr>
          <w:lang w:val="sv-SE"/>
        </w:rPr>
        <w:t xml:space="preserve"> – oavsett vad som i punkt </w:t>
      </w:r>
      <w:r>
        <w:rPr>
          <w:lang w:val="sv-SE"/>
        </w:rPr>
        <w:fldChar w:fldCharType="begin"/>
      </w:r>
      <w:r>
        <w:rPr>
          <w:lang w:val="sv-SE"/>
        </w:rPr>
        <w:instrText xml:space="preserve"> REF _Ref167350058 \r \h </w:instrText>
      </w:r>
      <w:r>
        <w:rPr>
          <w:lang w:val="sv-SE"/>
        </w:rPr>
      </w:r>
      <w:r>
        <w:rPr>
          <w:lang w:val="sv-SE"/>
        </w:rPr>
        <w:fldChar w:fldCharType="separate"/>
      </w:r>
      <w:r>
        <w:rPr>
          <w:lang w:val="sv-SE"/>
        </w:rPr>
        <w:t>4</w:t>
      </w:r>
      <w:r>
        <w:rPr>
          <w:lang w:val="sv-SE"/>
        </w:rPr>
        <w:fldChar w:fldCharType="end"/>
      </w:r>
      <w:r w:rsidRPr="00A50800">
        <w:rPr>
          <w:lang w:val="sv-SE"/>
        </w:rPr>
        <w:t xml:space="preserve"> ovan sägs om tidigaste tidpunkt för anmälan om Teckning – </w:t>
      </w:r>
      <w:r>
        <w:rPr>
          <w:lang w:val="sv-SE"/>
        </w:rPr>
        <w:t>Optionsinnehavare</w:t>
      </w:r>
      <w:r w:rsidRPr="00A50800">
        <w:rPr>
          <w:lang w:val="sv-SE"/>
        </w:rPr>
        <w:t xml:space="preserve"> äga rätt att göra sådan anmälan om Teckning fram till slutdagen. Bolaget </w:t>
      </w:r>
      <w:r>
        <w:rPr>
          <w:lang w:val="sv-SE"/>
        </w:rPr>
        <w:t>ska</w:t>
      </w:r>
      <w:r w:rsidRPr="00A50800">
        <w:rPr>
          <w:lang w:val="sv-SE"/>
        </w:rPr>
        <w:t xml:space="preserve"> senast tre veckor före slutdagen genom meddelande enligt punkt </w:t>
      </w:r>
      <w:r>
        <w:rPr>
          <w:lang w:val="sv-SE"/>
        </w:rPr>
        <w:fldChar w:fldCharType="begin"/>
      </w:r>
      <w:r>
        <w:rPr>
          <w:lang w:val="sv-SE"/>
        </w:rPr>
        <w:instrText xml:space="preserve"> REF _Ref145593081 \r \h </w:instrText>
      </w:r>
      <w:r>
        <w:rPr>
          <w:lang w:val="sv-SE"/>
        </w:rPr>
      </w:r>
      <w:r>
        <w:rPr>
          <w:lang w:val="sv-SE"/>
        </w:rPr>
        <w:fldChar w:fldCharType="separate"/>
      </w:r>
      <w:r>
        <w:rPr>
          <w:lang w:val="sv-SE"/>
        </w:rPr>
        <w:t>11</w:t>
      </w:r>
      <w:r>
        <w:rPr>
          <w:lang w:val="sv-SE"/>
        </w:rPr>
        <w:fldChar w:fldCharType="end"/>
      </w:r>
      <w:r w:rsidRPr="00A50800">
        <w:rPr>
          <w:lang w:val="sv-SE"/>
        </w:rPr>
        <w:t xml:space="preserve"> nedan erinra </w:t>
      </w:r>
      <w:r>
        <w:rPr>
          <w:lang w:val="sv-SE"/>
        </w:rPr>
        <w:t>Optionsinnehavarna</w:t>
      </w:r>
      <w:r w:rsidRPr="00A50800">
        <w:rPr>
          <w:lang w:val="sv-SE"/>
        </w:rPr>
        <w:t xml:space="preserve"> om denna rätt samt att Teckning ej får ske efter slutdagen.</w:t>
      </w:r>
      <w:r w:rsidRPr="00A50800">
        <w:rPr>
          <w:lang w:val="sv-SE"/>
        </w:rPr>
        <w:br/>
      </w:r>
      <w:r w:rsidRPr="00437F01">
        <w:rPr>
          <w:i/>
        </w:rPr>
        <w:t xml:space="preserve">If publication has been made in accordance with the above set forth in this section </w:t>
      </w:r>
      <w:r>
        <w:rPr>
          <w:i/>
          <w:szCs w:val="22"/>
        </w:rPr>
        <w:fldChar w:fldCharType="begin"/>
      </w:r>
      <w:r>
        <w:rPr>
          <w:i/>
        </w:rPr>
        <w:instrText xml:space="preserve"> REF _Ref445999098 \r \h </w:instrText>
      </w:r>
      <w:r>
        <w:rPr>
          <w:i/>
          <w:szCs w:val="22"/>
        </w:rPr>
      </w:r>
      <w:r>
        <w:rPr>
          <w:i/>
          <w:szCs w:val="22"/>
        </w:rPr>
        <w:fldChar w:fldCharType="separate"/>
      </w:r>
      <w:r>
        <w:rPr>
          <w:i/>
        </w:rPr>
        <w:t>8.2.16</w:t>
      </w:r>
      <w:r>
        <w:rPr>
          <w:i/>
          <w:szCs w:val="22"/>
        </w:rPr>
        <w:fldChar w:fldCharType="end"/>
      </w:r>
      <w:r w:rsidRPr="00437F01">
        <w:rPr>
          <w:i/>
        </w:rPr>
        <w:t xml:space="preserve">, each </w:t>
      </w:r>
      <w:r>
        <w:rPr>
          <w:i/>
        </w:rPr>
        <w:t>Warrant Holder</w:t>
      </w:r>
      <w:r w:rsidRPr="00437F01">
        <w:rPr>
          <w:i/>
        </w:rPr>
        <w:t xml:space="preserve"> – irrespective of what is set forth in section </w:t>
      </w:r>
      <w:r>
        <w:rPr>
          <w:i/>
        </w:rPr>
        <w:fldChar w:fldCharType="begin"/>
      </w:r>
      <w:r>
        <w:rPr>
          <w:i/>
        </w:rPr>
        <w:instrText xml:space="preserve"> REF _Ref167350058 \r \h </w:instrText>
      </w:r>
      <w:r>
        <w:rPr>
          <w:i/>
        </w:rPr>
      </w:r>
      <w:r>
        <w:rPr>
          <w:i/>
        </w:rPr>
        <w:fldChar w:fldCharType="separate"/>
      </w:r>
      <w:r>
        <w:rPr>
          <w:i/>
        </w:rPr>
        <w:t>4</w:t>
      </w:r>
      <w:r>
        <w:rPr>
          <w:i/>
        </w:rPr>
        <w:fldChar w:fldCharType="end"/>
      </w:r>
      <w:r w:rsidRPr="00437F01">
        <w:rPr>
          <w:i/>
        </w:rPr>
        <w:t xml:space="preserve"> above regarding the earliest time at which notice for Subscription may be made – shall be entitled to such notification to and including the expiration date. Not later than three weeks prior to the expiration date, the Company shall notify the </w:t>
      </w:r>
      <w:r>
        <w:rPr>
          <w:i/>
        </w:rPr>
        <w:t>Warrant Holder</w:t>
      </w:r>
      <w:r w:rsidRPr="00437F01">
        <w:rPr>
          <w:i/>
        </w:rPr>
        <w:t xml:space="preserve">s, pursuant to section </w:t>
      </w:r>
      <w:r>
        <w:rPr>
          <w:i/>
        </w:rPr>
        <w:fldChar w:fldCharType="begin"/>
      </w:r>
      <w:r>
        <w:rPr>
          <w:i/>
        </w:rPr>
        <w:instrText xml:space="preserve"> REF _Ref145593081 \r \h </w:instrText>
      </w:r>
      <w:r>
        <w:rPr>
          <w:i/>
        </w:rPr>
      </w:r>
      <w:r>
        <w:rPr>
          <w:i/>
        </w:rPr>
        <w:fldChar w:fldCharType="separate"/>
      </w:r>
      <w:r>
        <w:rPr>
          <w:i/>
        </w:rPr>
        <w:t>11</w:t>
      </w:r>
      <w:r>
        <w:rPr>
          <w:i/>
        </w:rPr>
        <w:fldChar w:fldCharType="end"/>
      </w:r>
      <w:r w:rsidRPr="00437F01">
        <w:rPr>
          <w:i/>
        </w:rPr>
        <w:t xml:space="preserve"> below, of such right and that notice for Subscription may not be made after the expiration date.</w:t>
      </w:r>
    </w:p>
    <w:p w14:paraId="758EE5DF" w14:textId="77777777" w:rsidR="00F3012E" w:rsidRPr="006B6AC0" w:rsidRDefault="00F3012E" w:rsidP="006350FE">
      <w:pPr>
        <w:pStyle w:val="BodyText"/>
        <w:numPr>
          <w:ilvl w:val="2"/>
          <w:numId w:val="56"/>
        </w:numPr>
        <w:spacing w:after="0"/>
        <w:rPr>
          <w:b/>
          <w:lang w:val="sv-SE"/>
        </w:rPr>
      </w:pPr>
      <w:bookmarkStart w:id="58" w:name="_Ref168476295"/>
      <w:bookmarkStart w:id="59" w:name="_Ref445999109"/>
      <w:proofErr w:type="spellStart"/>
      <w:r>
        <w:rPr>
          <w:b/>
          <w:szCs w:val="22"/>
        </w:rPr>
        <w:t>Gränsöverskridande</w:t>
      </w:r>
      <w:proofErr w:type="spellEnd"/>
      <w:r>
        <w:rPr>
          <w:b/>
          <w:szCs w:val="22"/>
        </w:rPr>
        <w:t xml:space="preserve"> </w:t>
      </w:r>
      <w:proofErr w:type="spellStart"/>
      <w:r>
        <w:rPr>
          <w:b/>
          <w:szCs w:val="22"/>
        </w:rPr>
        <w:t>ombildning</w:t>
      </w:r>
      <w:proofErr w:type="spellEnd"/>
      <w:r>
        <w:rPr>
          <w:b/>
          <w:szCs w:val="22"/>
        </w:rPr>
        <w:t>/</w:t>
      </w:r>
      <w:r>
        <w:rPr>
          <w:b/>
          <w:i/>
          <w:iCs/>
          <w:szCs w:val="22"/>
        </w:rPr>
        <w:t>Cross-border conversion</w:t>
      </w:r>
      <w:bookmarkEnd w:id="58"/>
    </w:p>
    <w:p w14:paraId="0615A43C" w14:textId="77777777" w:rsidR="00F3012E" w:rsidRDefault="00F3012E" w:rsidP="00F3012E">
      <w:pPr>
        <w:pStyle w:val="BodyText"/>
        <w:ind w:left="720"/>
        <w:rPr>
          <w:i/>
          <w:iCs/>
          <w:lang w:val="en-US"/>
        </w:rPr>
      </w:pPr>
      <w:r w:rsidRPr="006B6AC0">
        <w:rPr>
          <w:bCs/>
          <w:szCs w:val="22"/>
          <w:lang w:val="sv-SE"/>
        </w:rPr>
        <w:t xml:space="preserve">Skulle bolagsstämman, enligt </w:t>
      </w:r>
      <w:r w:rsidRPr="006B6AC0">
        <w:rPr>
          <w:bCs/>
          <w:szCs w:val="22"/>
          <w:u w:val="single"/>
          <w:lang w:val="sv-SE"/>
        </w:rPr>
        <w:t>24 a kap. 17 § aktiebolagslagen, godkänna ombildningsplan</w:t>
      </w:r>
      <w:r w:rsidRPr="006B6AC0">
        <w:rPr>
          <w:bCs/>
          <w:szCs w:val="22"/>
          <w:lang w:val="sv-SE"/>
        </w:rPr>
        <w:t xml:space="preserve"> </w:t>
      </w:r>
      <w:r w:rsidRPr="006B6AC0">
        <w:rPr>
          <w:lang w:val="sv-SE"/>
        </w:rPr>
        <w:t>varigenom</w:t>
      </w:r>
      <w:r w:rsidRPr="006B6AC0">
        <w:rPr>
          <w:bCs/>
          <w:szCs w:val="22"/>
          <w:lang w:val="sv-SE"/>
        </w:rPr>
        <w:t xml:space="preserve"> Bolaget ombildas till en motsvarande juridisk person som omfattas av lagstiftningen i en annan stat inom </w:t>
      </w:r>
      <w:proofErr w:type="gramStart"/>
      <w:r w:rsidRPr="006B6AC0">
        <w:rPr>
          <w:bCs/>
          <w:szCs w:val="22"/>
          <w:lang w:val="sv-SE"/>
        </w:rPr>
        <w:t>Europeiska</w:t>
      </w:r>
      <w:proofErr w:type="gramEnd"/>
      <w:r w:rsidRPr="006B6AC0">
        <w:rPr>
          <w:bCs/>
          <w:szCs w:val="22"/>
          <w:lang w:val="sv-SE"/>
        </w:rPr>
        <w:t xml:space="preserve"> ekonomiska samarbetsområdet än Sverige (gränsöverskridande ombildning), får anmälan om Teckning inte ske.</w:t>
      </w:r>
      <w:r>
        <w:rPr>
          <w:bCs/>
          <w:szCs w:val="22"/>
          <w:lang w:val="sv-SE"/>
        </w:rPr>
        <w:br/>
      </w:r>
      <w:r w:rsidRPr="006B6AC0">
        <w:rPr>
          <w:i/>
          <w:iCs/>
          <w:lang w:val="en-US"/>
        </w:rPr>
        <w:t xml:space="preserve">In the event the shareholders' meeting </w:t>
      </w:r>
      <w:r w:rsidRPr="006B6AC0">
        <w:rPr>
          <w:i/>
          <w:iCs/>
          <w:u w:val="single"/>
          <w:lang w:val="en-US"/>
        </w:rPr>
        <w:t>approves a conversion plan, in accordance with Ch. 24 a § 17 of the Companies Act</w:t>
      </w:r>
      <w:r w:rsidRPr="006B6AC0">
        <w:rPr>
          <w:i/>
          <w:iCs/>
          <w:lang w:val="en-US"/>
        </w:rPr>
        <w:t>, pursuant to which the Company is converted to a corresponding legal entity subject to the legislation of a state within the European Economic Area other than Sweden (cross-border conversion), notice for Subscription may not thereafter be made.</w:t>
      </w:r>
    </w:p>
    <w:p w14:paraId="074A4DF8" w14:textId="77777777" w:rsidR="00F3012E" w:rsidRDefault="00F3012E" w:rsidP="00F3012E">
      <w:pPr>
        <w:pStyle w:val="BodyText"/>
        <w:ind w:left="720"/>
        <w:rPr>
          <w:i/>
          <w:szCs w:val="22"/>
          <w:lang w:val="en-US"/>
        </w:rPr>
      </w:pPr>
      <w:r w:rsidRPr="006B6AC0">
        <w:rPr>
          <w:lang w:val="sv-SE"/>
        </w:rPr>
        <w:lastRenderedPageBreak/>
        <w:t>Senast</w:t>
      </w:r>
      <w:r w:rsidRPr="006B6AC0">
        <w:rPr>
          <w:szCs w:val="22"/>
          <w:lang w:val="sv-SE"/>
        </w:rPr>
        <w:t xml:space="preserve"> två månader innan Bolaget tar slutlig ställning till frågan om gränsöverskridande ombildning enligt ovan, ska Teckningsoptionshavarna genom meddelande enligt punkt </w:t>
      </w:r>
      <w:r>
        <w:rPr>
          <w:szCs w:val="22"/>
          <w:lang w:val="sv-SE"/>
        </w:rPr>
        <w:fldChar w:fldCharType="begin"/>
      </w:r>
      <w:r>
        <w:rPr>
          <w:szCs w:val="22"/>
          <w:lang w:val="sv-SE"/>
        </w:rPr>
        <w:instrText xml:space="preserve"> REF _Ref439064597 \r \h </w:instrText>
      </w:r>
      <w:r>
        <w:rPr>
          <w:szCs w:val="22"/>
          <w:lang w:val="sv-SE"/>
        </w:rPr>
      </w:r>
      <w:r>
        <w:rPr>
          <w:szCs w:val="22"/>
          <w:lang w:val="sv-SE"/>
        </w:rPr>
        <w:fldChar w:fldCharType="separate"/>
      </w:r>
      <w:r>
        <w:rPr>
          <w:szCs w:val="22"/>
          <w:lang w:val="sv-SE"/>
        </w:rPr>
        <w:t>12</w:t>
      </w:r>
      <w:r>
        <w:rPr>
          <w:szCs w:val="22"/>
          <w:lang w:val="sv-SE"/>
        </w:rPr>
        <w:fldChar w:fldCharType="end"/>
      </w:r>
      <w:r w:rsidRPr="006B6AC0">
        <w:rPr>
          <w:szCs w:val="22"/>
          <w:lang w:val="sv-SE"/>
        </w:rPr>
        <w:t xml:space="preserve"> nedan underrättas om ombildningsavsikten. I meddelandet ska en redogörelse lämnas för det huvudsakliga innehållet i den avsedda ombildningsplanen samt ska Teckningsoptionshavarna erinras om att anmälan om Teckning ej får ske, sedan slutligt beslut fattats om ombildning.</w:t>
      </w:r>
      <w:r>
        <w:rPr>
          <w:szCs w:val="22"/>
          <w:lang w:val="sv-SE"/>
        </w:rPr>
        <w:br/>
      </w:r>
      <w:r w:rsidRPr="002D0367">
        <w:rPr>
          <w:i/>
          <w:szCs w:val="22"/>
          <w:lang w:val="en-US"/>
        </w:rPr>
        <w:t xml:space="preserve">No later than two months prior to final determination by the Company in respect of a </w:t>
      </w:r>
      <w:r>
        <w:rPr>
          <w:i/>
          <w:szCs w:val="22"/>
          <w:lang w:val="en-US"/>
        </w:rPr>
        <w:t>cross-border conversion</w:t>
      </w:r>
      <w:r w:rsidRPr="002D0367">
        <w:rPr>
          <w:i/>
          <w:szCs w:val="22"/>
          <w:lang w:val="en-US"/>
        </w:rPr>
        <w:t xml:space="preserve"> </w:t>
      </w:r>
      <w:proofErr w:type="gramStart"/>
      <w:r w:rsidRPr="002D0367">
        <w:rPr>
          <w:i/>
          <w:szCs w:val="22"/>
          <w:lang w:val="en-US"/>
        </w:rPr>
        <w:t>as set</w:t>
      </w:r>
      <w:proofErr w:type="gramEnd"/>
      <w:r w:rsidRPr="002D0367">
        <w:rPr>
          <w:i/>
          <w:szCs w:val="22"/>
          <w:lang w:val="en-US"/>
        </w:rPr>
        <w:t xml:space="preserve"> forth above, notice shall be given to Warrant </w:t>
      </w:r>
      <w:r>
        <w:rPr>
          <w:i/>
          <w:szCs w:val="22"/>
          <w:lang w:val="en-US"/>
        </w:rPr>
        <w:t>H</w:t>
      </w:r>
      <w:r w:rsidRPr="002D0367">
        <w:rPr>
          <w:i/>
          <w:szCs w:val="22"/>
          <w:lang w:val="en-US"/>
        </w:rPr>
        <w:t xml:space="preserve">olders in accordance with </w:t>
      </w:r>
      <w:r>
        <w:rPr>
          <w:i/>
          <w:szCs w:val="22"/>
          <w:lang w:val="en-US"/>
        </w:rPr>
        <w:t>s</w:t>
      </w:r>
      <w:r w:rsidRPr="002D0367">
        <w:rPr>
          <w:i/>
          <w:szCs w:val="22"/>
          <w:lang w:val="en-US"/>
        </w:rPr>
        <w:t xml:space="preserve">ection </w:t>
      </w:r>
      <w:r>
        <w:rPr>
          <w:i/>
          <w:szCs w:val="22"/>
          <w:lang w:val="en-US"/>
        </w:rPr>
        <w:fldChar w:fldCharType="begin"/>
      </w:r>
      <w:r>
        <w:rPr>
          <w:i/>
          <w:szCs w:val="22"/>
          <w:lang w:val="en-US"/>
        </w:rPr>
        <w:instrText xml:space="preserve"> REF _Ref439064597 \r \h </w:instrText>
      </w:r>
      <w:r>
        <w:rPr>
          <w:i/>
          <w:szCs w:val="22"/>
          <w:lang w:val="en-US"/>
        </w:rPr>
      </w:r>
      <w:r>
        <w:rPr>
          <w:i/>
          <w:szCs w:val="22"/>
          <w:lang w:val="en-US"/>
        </w:rPr>
        <w:fldChar w:fldCharType="separate"/>
      </w:r>
      <w:r>
        <w:rPr>
          <w:i/>
          <w:szCs w:val="22"/>
          <w:lang w:val="en-US"/>
        </w:rPr>
        <w:t>12</w:t>
      </w:r>
      <w:r>
        <w:rPr>
          <w:i/>
          <w:szCs w:val="22"/>
          <w:lang w:val="en-US"/>
        </w:rPr>
        <w:fldChar w:fldCharType="end"/>
      </w:r>
      <w:r w:rsidRPr="002D0367">
        <w:rPr>
          <w:i/>
          <w:szCs w:val="22"/>
          <w:lang w:val="en-US"/>
        </w:rPr>
        <w:t xml:space="preserve"> below of the intended </w:t>
      </w:r>
      <w:r>
        <w:rPr>
          <w:i/>
          <w:szCs w:val="22"/>
          <w:lang w:val="en-US"/>
        </w:rPr>
        <w:t>conversion</w:t>
      </w:r>
      <w:r w:rsidRPr="002D0367">
        <w:rPr>
          <w:i/>
          <w:szCs w:val="22"/>
          <w:lang w:val="en-US"/>
        </w:rPr>
        <w:t xml:space="preserve">. The notice shall set forth the principal contents of the intended </w:t>
      </w:r>
      <w:r>
        <w:rPr>
          <w:i/>
          <w:szCs w:val="22"/>
          <w:lang w:val="en-US"/>
        </w:rPr>
        <w:t>conversion</w:t>
      </w:r>
      <w:r w:rsidRPr="002D0367">
        <w:rPr>
          <w:i/>
          <w:szCs w:val="22"/>
          <w:lang w:val="en-US"/>
        </w:rPr>
        <w:t xml:space="preserve"> plan and each Warrant </w:t>
      </w:r>
      <w:r>
        <w:rPr>
          <w:i/>
          <w:szCs w:val="22"/>
          <w:lang w:val="en-US"/>
        </w:rPr>
        <w:t>H</w:t>
      </w:r>
      <w:r w:rsidRPr="002D0367">
        <w:rPr>
          <w:i/>
          <w:szCs w:val="22"/>
          <w:lang w:val="en-US"/>
        </w:rPr>
        <w:t xml:space="preserve">older shall be notified that Subscription may not be made following a final decision regarding the </w:t>
      </w:r>
      <w:r>
        <w:rPr>
          <w:i/>
          <w:szCs w:val="22"/>
          <w:lang w:val="en-US"/>
        </w:rPr>
        <w:t>conversion</w:t>
      </w:r>
      <w:r w:rsidRPr="002D0367">
        <w:rPr>
          <w:i/>
          <w:szCs w:val="22"/>
          <w:lang w:val="en-US"/>
        </w:rPr>
        <w:t>.</w:t>
      </w:r>
    </w:p>
    <w:p w14:paraId="489DD119" w14:textId="77777777" w:rsidR="00F3012E" w:rsidRDefault="00F3012E" w:rsidP="00F3012E">
      <w:pPr>
        <w:pStyle w:val="BodyText"/>
        <w:ind w:left="720"/>
        <w:rPr>
          <w:i/>
          <w:szCs w:val="22"/>
          <w:lang w:val="en-US"/>
        </w:rPr>
      </w:pPr>
      <w:r w:rsidRPr="006B6AC0">
        <w:rPr>
          <w:lang w:val="sv-SE"/>
        </w:rPr>
        <w:t>Om</w:t>
      </w:r>
      <w:r w:rsidRPr="006B6AC0">
        <w:rPr>
          <w:szCs w:val="22"/>
          <w:lang w:val="sv-SE"/>
        </w:rPr>
        <w:t xml:space="preserve"> Bolaget lämnar meddelande om planerad gränsöverskridande ombildning enligt ovan, ska </w:t>
      </w:r>
      <w:r w:rsidRPr="00D00630">
        <w:rPr>
          <w:szCs w:val="22"/>
          <w:lang w:val="sv-SE"/>
        </w:rPr>
        <w:t>Optionsinnehavare</w:t>
      </w:r>
      <w:r w:rsidRPr="006B6AC0">
        <w:rPr>
          <w:szCs w:val="22"/>
          <w:lang w:val="sv-SE"/>
        </w:rPr>
        <w:t xml:space="preserve"> – oavsett vad som i punkt </w:t>
      </w:r>
      <w:r>
        <w:rPr>
          <w:szCs w:val="22"/>
        </w:rPr>
        <w:fldChar w:fldCharType="begin"/>
      </w:r>
      <w:r w:rsidRPr="006B6AC0">
        <w:rPr>
          <w:szCs w:val="22"/>
          <w:lang w:val="sv-SE"/>
        </w:rPr>
        <w:instrText xml:space="preserve"> REF _Ref167350058 \r \h </w:instrText>
      </w:r>
      <w:r>
        <w:rPr>
          <w:szCs w:val="22"/>
        </w:rPr>
      </w:r>
      <w:r>
        <w:rPr>
          <w:szCs w:val="22"/>
        </w:rPr>
        <w:fldChar w:fldCharType="separate"/>
      </w:r>
      <w:r w:rsidRPr="006B6AC0">
        <w:rPr>
          <w:szCs w:val="22"/>
          <w:lang w:val="sv-SE"/>
        </w:rPr>
        <w:t>4</w:t>
      </w:r>
      <w:r>
        <w:rPr>
          <w:szCs w:val="22"/>
        </w:rPr>
        <w:fldChar w:fldCharType="end"/>
      </w:r>
      <w:r w:rsidRPr="006B6AC0">
        <w:rPr>
          <w:szCs w:val="22"/>
          <w:lang w:val="sv-SE"/>
        </w:rPr>
        <w:t xml:space="preserve"> ovan sägs om tidigaste tidpunkt för anmälan om Teckning – äga rätt att påkalla Teckning från den dag då meddelandet lämnats om ombildningsavsikten, förutsatt att Teckning kan verkställas senast på tionde kalenderdagen före den bolagsstämma vid vilken ombildningsplanen ska godkännas.</w:t>
      </w:r>
      <w:r w:rsidRPr="006B6AC0">
        <w:rPr>
          <w:szCs w:val="22"/>
          <w:lang w:val="sv-SE"/>
        </w:rPr>
        <w:br/>
      </w:r>
      <w:r w:rsidRPr="002D0367">
        <w:rPr>
          <w:i/>
          <w:szCs w:val="22"/>
          <w:lang w:val="en-US"/>
        </w:rPr>
        <w:t xml:space="preserve">In the event the Company gives notice regarding a intended </w:t>
      </w:r>
      <w:r>
        <w:rPr>
          <w:i/>
          <w:szCs w:val="22"/>
          <w:lang w:val="en-US"/>
        </w:rPr>
        <w:t>cross-border conversion</w:t>
      </w:r>
      <w:r w:rsidRPr="002D0367">
        <w:rPr>
          <w:i/>
          <w:szCs w:val="22"/>
          <w:lang w:val="en-US"/>
        </w:rPr>
        <w:t xml:space="preserve"> in accordance with the above, each Warrant </w:t>
      </w:r>
      <w:r>
        <w:rPr>
          <w:i/>
          <w:szCs w:val="22"/>
          <w:lang w:val="en-US"/>
        </w:rPr>
        <w:t>H</w:t>
      </w:r>
      <w:r w:rsidRPr="002D0367">
        <w:rPr>
          <w:i/>
          <w:szCs w:val="22"/>
          <w:lang w:val="en-US"/>
        </w:rPr>
        <w:t xml:space="preserve">older – irrespective of what is set forth in </w:t>
      </w:r>
      <w:r>
        <w:rPr>
          <w:i/>
          <w:szCs w:val="22"/>
          <w:lang w:val="en-US"/>
        </w:rPr>
        <w:t>s</w:t>
      </w:r>
      <w:r w:rsidRPr="002D0367">
        <w:rPr>
          <w:i/>
          <w:szCs w:val="22"/>
          <w:lang w:val="en-US"/>
        </w:rPr>
        <w:t>ection</w:t>
      </w:r>
      <w:r>
        <w:rPr>
          <w:i/>
          <w:szCs w:val="22"/>
          <w:lang w:val="en-US"/>
        </w:rPr>
        <w:t> </w:t>
      </w:r>
      <w:r>
        <w:rPr>
          <w:i/>
          <w:szCs w:val="22"/>
          <w:lang w:val="en-US"/>
        </w:rPr>
        <w:fldChar w:fldCharType="begin"/>
      </w:r>
      <w:r>
        <w:rPr>
          <w:i/>
          <w:szCs w:val="22"/>
          <w:lang w:val="en-US"/>
        </w:rPr>
        <w:instrText xml:space="preserve"> REF _Ref167350058 \r \h </w:instrText>
      </w:r>
      <w:r>
        <w:rPr>
          <w:i/>
          <w:szCs w:val="22"/>
          <w:lang w:val="en-US"/>
        </w:rPr>
      </w:r>
      <w:r>
        <w:rPr>
          <w:i/>
          <w:szCs w:val="22"/>
          <w:lang w:val="en-US"/>
        </w:rPr>
        <w:fldChar w:fldCharType="separate"/>
      </w:r>
      <w:r>
        <w:rPr>
          <w:i/>
          <w:szCs w:val="22"/>
          <w:lang w:val="en-US"/>
        </w:rPr>
        <w:t>4</w:t>
      </w:r>
      <w:r>
        <w:rPr>
          <w:i/>
          <w:szCs w:val="22"/>
          <w:lang w:val="en-US"/>
        </w:rPr>
        <w:fldChar w:fldCharType="end"/>
      </w:r>
      <w:r w:rsidRPr="002D0367">
        <w:rPr>
          <w:i/>
          <w:szCs w:val="22"/>
          <w:lang w:val="en-US"/>
        </w:rPr>
        <w:t xml:space="preserve"> above regarding the earliest time at which notice for Subscription may be made – shall be entitled to make a notice for Subscription from the date on which notice is given, provided it is possible to effect Subscription not later than the tenth calendar day prior to the shareholders' meeting at which the </w:t>
      </w:r>
      <w:r>
        <w:rPr>
          <w:i/>
          <w:szCs w:val="22"/>
          <w:lang w:val="en-US"/>
        </w:rPr>
        <w:t>conversion</w:t>
      </w:r>
      <w:r w:rsidRPr="002D0367">
        <w:rPr>
          <w:i/>
          <w:szCs w:val="22"/>
          <w:lang w:val="en-US"/>
        </w:rPr>
        <w:t xml:space="preserve"> plan is to be approved.</w:t>
      </w:r>
    </w:p>
    <w:p w14:paraId="696B9A26" w14:textId="77777777" w:rsidR="00F3012E" w:rsidRPr="00A50800" w:rsidRDefault="00F3012E" w:rsidP="006350FE">
      <w:pPr>
        <w:pStyle w:val="BodyText"/>
        <w:numPr>
          <w:ilvl w:val="2"/>
          <w:numId w:val="56"/>
        </w:numPr>
        <w:spacing w:after="0"/>
        <w:rPr>
          <w:b/>
          <w:lang w:val="sv-SE"/>
        </w:rPr>
      </w:pPr>
      <w:r w:rsidRPr="00A50800">
        <w:rPr>
          <w:b/>
          <w:lang w:val="sv-SE"/>
        </w:rPr>
        <w:t xml:space="preserve">Återställande av rätt att teckna </w:t>
      </w:r>
      <w:r>
        <w:rPr>
          <w:b/>
          <w:lang w:val="sv-SE"/>
        </w:rPr>
        <w:t>Aktie</w:t>
      </w:r>
      <w:r w:rsidRPr="00A50800">
        <w:rPr>
          <w:b/>
          <w:lang w:val="sv-SE"/>
        </w:rPr>
        <w:t>r/</w:t>
      </w:r>
      <w:r w:rsidRPr="00A50800">
        <w:rPr>
          <w:b/>
          <w:i/>
          <w:lang w:val="sv-SE"/>
        </w:rPr>
        <w:t xml:space="preserve">Restoration of </w:t>
      </w:r>
      <w:proofErr w:type="spellStart"/>
      <w:r w:rsidRPr="00A50800">
        <w:rPr>
          <w:b/>
          <w:i/>
          <w:lang w:val="sv-SE"/>
        </w:rPr>
        <w:t>rights</w:t>
      </w:r>
      <w:bookmarkEnd w:id="59"/>
      <w:proofErr w:type="spellEnd"/>
    </w:p>
    <w:p w14:paraId="60059D7D" w14:textId="77777777" w:rsidR="00F3012E" w:rsidRPr="00437F01" w:rsidRDefault="00F3012E" w:rsidP="00F3012E">
      <w:pPr>
        <w:pStyle w:val="BodyText"/>
        <w:ind w:left="720"/>
      </w:pPr>
      <w:r w:rsidRPr="00A50800">
        <w:rPr>
          <w:lang w:val="sv-SE"/>
        </w:rPr>
        <w:t xml:space="preserve">Oavsett vad under punkterna </w:t>
      </w:r>
      <w:r>
        <w:rPr>
          <w:szCs w:val="22"/>
        </w:rPr>
        <w:fldChar w:fldCharType="begin"/>
      </w:r>
      <w:r>
        <w:rPr>
          <w:lang w:val="sv-SE"/>
        </w:rPr>
        <w:instrText xml:space="preserve"> REF _Ref445999119 \r \h </w:instrText>
      </w:r>
      <w:r>
        <w:rPr>
          <w:szCs w:val="22"/>
        </w:rPr>
      </w:r>
      <w:r>
        <w:rPr>
          <w:szCs w:val="22"/>
        </w:rPr>
        <w:fldChar w:fldCharType="separate"/>
      </w:r>
      <w:r>
        <w:rPr>
          <w:lang w:val="sv-SE"/>
        </w:rPr>
        <w:t>8.2.14</w:t>
      </w:r>
      <w:r>
        <w:rPr>
          <w:szCs w:val="22"/>
        </w:rPr>
        <w:fldChar w:fldCharType="end"/>
      </w:r>
      <w:r w:rsidRPr="00A50800">
        <w:rPr>
          <w:szCs w:val="22"/>
          <w:lang w:val="sv-SE"/>
        </w:rPr>
        <w:t xml:space="preserve">, </w:t>
      </w:r>
      <w:r>
        <w:rPr>
          <w:szCs w:val="22"/>
        </w:rPr>
        <w:fldChar w:fldCharType="begin"/>
      </w:r>
      <w:r>
        <w:rPr>
          <w:szCs w:val="22"/>
          <w:lang w:val="sv-SE"/>
        </w:rPr>
        <w:instrText xml:space="preserve"> REF _Ref445999126 \r \h </w:instrText>
      </w:r>
      <w:r>
        <w:rPr>
          <w:szCs w:val="22"/>
        </w:rPr>
      </w:r>
      <w:r>
        <w:rPr>
          <w:szCs w:val="22"/>
        </w:rPr>
        <w:fldChar w:fldCharType="separate"/>
      </w:r>
      <w:r>
        <w:rPr>
          <w:szCs w:val="22"/>
          <w:lang w:val="sv-SE"/>
        </w:rPr>
        <w:t>8.2.15</w:t>
      </w:r>
      <w:r>
        <w:rPr>
          <w:szCs w:val="22"/>
        </w:rPr>
        <w:fldChar w:fldCharType="end"/>
      </w:r>
      <w:r>
        <w:rPr>
          <w:lang w:val="sv-SE"/>
        </w:rPr>
        <w:t xml:space="preserve">, </w:t>
      </w:r>
      <w:r>
        <w:rPr>
          <w:szCs w:val="22"/>
        </w:rPr>
        <w:fldChar w:fldCharType="begin"/>
      </w:r>
      <w:r>
        <w:rPr>
          <w:lang w:val="sv-SE"/>
        </w:rPr>
        <w:instrText xml:space="preserve"> REF _Ref445999098 \r \h </w:instrText>
      </w:r>
      <w:r>
        <w:rPr>
          <w:szCs w:val="22"/>
        </w:rPr>
      </w:r>
      <w:r>
        <w:rPr>
          <w:szCs w:val="22"/>
        </w:rPr>
        <w:fldChar w:fldCharType="separate"/>
      </w:r>
      <w:r>
        <w:rPr>
          <w:lang w:val="sv-SE"/>
        </w:rPr>
        <w:t>8.2.16</w:t>
      </w:r>
      <w:r>
        <w:rPr>
          <w:szCs w:val="22"/>
        </w:rPr>
        <w:fldChar w:fldCharType="end"/>
      </w:r>
      <w:r w:rsidRPr="00A50800">
        <w:rPr>
          <w:lang w:val="sv-SE"/>
        </w:rPr>
        <w:t xml:space="preserve"> </w:t>
      </w:r>
      <w:r>
        <w:rPr>
          <w:lang w:val="sv-SE"/>
        </w:rPr>
        <w:t xml:space="preserve">och </w:t>
      </w:r>
      <w:r>
        <w:rPr>
          <w:lang w:val="sv-SE"/>
        </w:rPr>
        <w:fldChar w:fldCharType="begin"/>
      </w:r>
      <w:r>
        <w:rPr>
          <w:lang w:val="sv-SE"/>
        </w:rPr>
        <w:instrText xml:space="preserve"> REF _Ref168476295 \r \h </w:instrText>
      </w:r>
      <w:r>
        <w:rPr>
          <w:lang w:val="sv-SE"/>
        </w:rPr>
      </w:r>
      <w:r>
        <w:rPr>
          <w:lang w:val="sv-SE"/>
        </w:rPr>
        <w:fldChar w:fldCharType="separate"/>
      </w:r>
      <w:r>
        <w:rPr>
          <w:lang w:val="sv-SE"/>
        </w:rPr>
        <w:t>8.2.17</w:t>
      </w:r>
      <w:r>
        <w:rPr>
          <w:lang w:val="sv-SE"/>
        </w:rPr>
        <w:fldChar w:fldCharType="end"/>
      </w:r>
      <w:r>
        <w:rPr>
          <w:lang w:val="sv-SE"/>
        </w:rPr>
        <w:t xml:space="preserve"> </w:t>
      </w:r>
      <w:r w:rsidRPr="00A50800">
        <w:rPr>
          <w:lang w:val="sv-SE"/>
        </w:rPr>
        <w:t>ovan sagts om att anmälan om Teckning ej får ske efter beslut om likvidation, godkännande av fusionsplan/delningsplan</w:t>
      </w:r>
      <w:r>
        <w:rPr>
          <w:lang w:val="sv-SE"/>
        </w:rPr>
        <w:t>/ombildningsplan</w:t>
      </w:r>
      <w:r w:rsidRPr="00A50800">
        <w:rPr>
          <w:lang w:val="sv-SE"/>
        </w:rPr>
        <w:t xml:space="preserve"> eller efter utgången av ny slutdag vid fusion</w:t>
      </w:r>
      <w:r>
        <w:rPr>
          <w:lang w:val="sv-SE"/>
        </w:rPr>
        <w:t xml:space="preserve">, </w:t>
      </w:r>
      <w:r w:rsidRPr="00A50800">
        <w:rPr>
          <w:lang w:val="sv-SE"/>
        </w:rPr>
        <w:t xml:space="preserve">delning </w:t>
      </w:r>
      <w:r>
        <w:rPr>
          <w:lang w:val="sv-SE"/>
        </w:rPr>
        <w:t>eller ombildning ska</w:t>
      </w:r>
      <w:r w:rsidRPr="00A50800">
        <w:rPr>
          <w:lang w:val="sv-SE"/>
        </w:rPr>
        <w:t xml:space="preserve"> rätten att göra anmälan om Teckning åter inträda för det fall att likvidationen upphör respektive fusionen</w:t>
      </w:r>
      <w:r>
        <w:rPr>
          <w:lang w:val="sv-SE"/>
        </w:rPr>
        <w:t xml:space="preserve">, </w:t>
      </w:r>
      <w:r w:rsidRPr="00A50800">
        <w:rPr>
          <w:lang w:val="sv-SE"/>
        </w:rPr>
        <w:t xml:space="preserve">delningen </w:t>
      </w:r>
      <w:r>
        <w:rPr>
          <w:lang w:val="sv-SE"/>
        </w:rPr>
        <w:t xml:space="preserve">eller ombildningen </w:t>
      </w:r>
      <w:r w:rsidRPr="00A50800">
        <w:rPr>
          <w:lang w:val="sv-SE"/>
        </w:rPr>
        <w:t>ej genomförs.</w:t>
      </w:r>
      <w:r w:rsidRPr="00A50800">
        <w:rPr>
          <w:lang w:val="sv-SE"/>
        </w:rPr>
        <w:br/>
      </w:r>
      <w:r w:rsidRPr="00437F01">
        <w:rPr>
          <w:i/>
        </w:rPr>
        <w:t xml:space="preserve">Notwithstanding the provisions set forth in sections </w:t>
      </w:r>
      <w:r>
        <w:rPr>
          <w:i/>
          <w:szCs w:val="22"/>
        </w:rPr>
        <w:fldChar w:fldCharType="begin"/>
      </w:r>
      <w:r>
        <w:rPr>
          <w:i/>
        </w:rPr>
        <w:instrText xml:space="preserve"> REF _Ref445999119 \r \h </w:instrText>
      </w:r>
      <w:r>
        <w:rPr>
          <w:i/>
          <w:szCs w:val="22"/>
        </w:rPr>
      </w:r>
      <w:r>
        <w:rPr>
          <w:i/>
          <w:szCs w:val="22"/>
        </w:rPr>
        <w:fldChar w:fldCharType="separate"/>
      </w:r>
      <w:r>
        <w:rPr>
          <w:i/>
        </w:rPr>
        <w:t>8.2.14</w:t>
      </w:r>
      <w:r>
        <w:rPr>
          <w:i/>
          <w:szCs w:val="22"/>
        </w:rPr>
        <w:fldChar w:fldCharType="end"/>
      </w:r>
      <w:r w:rsidRPr="00437F01">
        <w:rPr>
          <w:i/>
          <w:szCs w:val="22"/>
        </w:rPr>
        <w:t xml:space="preserve">, </w:t>
      </w:r>
      <w:r>
        <w:rPr>
          <w:i/>
          <w:szCs w:val="22"/>
        </w:rPr>
        <w:fldChar w:fldCharType="begin"/>
      </w:r>
      <w:r>
        <w:rPr>
          <w:i/>
          <w:szCs w:val="22"/>
        </w:rPr>
        <w:instrText xml:space="preserve"> REF _Ref445999126 \r \h </w:instrText>
      </w:r>
      <w:r>
        <w:rPr>
          <w:i/>
          <w:szCs w:val="22"/>
        </w:rPr>
      </w:r>
      <w:r>
        <w:rPr>
          <w:i/>
          <w:szCs w:val="22"/>
        </w:rPr>
        <w:fldChar w:fldCharType="separate"/>
      </w:r>
      <w:r>
        <w:rPr>
          <w:i/>
          <w:szCs w:val="22"/>
        </w:rPr>
        <w:t>8.2.15</w:t>
      </w:r>
      <w:r>
        <w:rPr>
          <w:i/>
          <w:szCs w:val="22"/>
        </w:rPr>
        <w:fldChar w:fldCharType="end"/>
      </w:r>
      <w:r>
        <w:rPr>
          <w:i/>
        </w:rPr>
        <w:t xml:space="preserve">, </w:t>
      </w:r>
      <w:r>
        <w:rPr>
          <w:i/>
          <w:szCs w:val="22"/>
        </w:rPr>
        <w:fldChar w:fldCharType="begin"/>
      </w:r>
      <w:r>
        <w:rPr>
          <w:i/>
        </w:rPr>
        <w:instrText xml:space="preserve"> REF _Ref445999098 \r \h </w:instrText>
      </w:r>
      <w:r>
        <w:rPr>
          <w:i/>
          <w:szCs w:val="22"/>
        </w:rPr>
      </w:r>
      <w:r>
        <w:rPr>
          <w:i/>
          <w:szCs w:val="22"/>
        </w:rPr>
        <w:fldChar w:fldCharType="separate"/>
      </w:r>
      <w:r>
        <w:rPr>
          <w:i/>
        </w:rPr>
        <w:t>8.2.16</w:t>
      </w:r>
      <w:r>
        <w:rPr>
          <w:i/>
          <w:szCs w:val="22"/>
        </w:rPr>
        <w:fldChar w:fldCharType="end"/>
      </w:r>
      <w:r w:rsidRPr="00437F01">
        <w:rPr>
          <w:i/>
        </w:rPr>
        <w:t xml:space="preserve"> </w:t>
      </w:r>
      <w:r>
        <w:rPr>
          <w:i/>
        </w:rPr>
        <w:t xml:space="preserve">and </w:t>
      </w:r>
      <w:r>
        <w:rPr>
          <w:i/>
        </w:rPr>
        <w:fldChar w:fldCharType="begin"/>
      </w:r>
      <w:r>
        <w:rPr>
          <w:i/>
        </w:rPr>
        <w:instrText xml:space="preserve"> REF _Ref168476295 \r \h </w:instrText>
      </w:r>
      <w:r>
        <w:rPr>
          <w:i/>
        </w:rPr>
      </w:r>
      <w:r>
        <w:rPr>
          <w:i/>
        </w:rPr>
        <w:fldChar w:fldCharType="separate"/>
      </w:r>
      <w:r>
        <w:rPr>
          <w:i/>
        </w:rPr>
        <w:t>8.2.17</w:t>
      </w:r>
      <w:r>
        <w:rPr>
          <w:i/>
        </w:rPr>
        <w:fldChar w:fldCharType="end"/>
      </w:r>
      <w:r>
        <w:rPr>
          <w:i/>
        </w:rPr>
        <w:t xml:space="preserve"> </w:t>
      </w:r>
      <w:r w:rsidRPr="00437F01">
        <w:rPr>
          <w:i/>
        </w:rPr>
        <w:t xml:space="preserve">above stating that notice for Subscriptions may not be made following the </w:t>
      </w:r>
      <w:r>
        <w:rPr>
          <w:i/>
        </w:rPr>
        <w:t>resolution</w:t>
      </w:r>
      <w:r w:rsidRPr="00437F01">
        <w:rPr>
          <w:i/>
        </w:rPr>
        <w:t xml:space="preserve"> o</w:t>
      </w:r>
      <w:r>
        <w:rPr>
          <w:i/>
        </w:rPr>
        <w:t>n</w:t>
      </w:r>
      <w:r w:rsidRPr="00437F01">
        <w:rPr>
          <w:i/>
        </w:rPr>
        <w:t xml:space="preserve"> liquidation, approval of a merger plan/demerger plan</w:t>
      </w:r>
      <w:r>
        <w:rPr>
          <w:i/>
        </w:rPr>
        <w:t>/conversion plan</w:t>
      </w:r>
      <w:r w:rsidRPr="00437F01">
        <w:rPr>
          <w:i/>
        </w:rPr>
        <w:t xml:space="preserve"> or the end of a new expiration date at a merger</w:t>
      </w:r>
      <w:r>
        <w:rPr>
          <w:i/>
        </w:rPr>
        <w:t xml:space="preserve">, </w:t>
      </w:r>
      <w:r w:rsidRPr="00437F01">
        <w:rPr>
          <w:i/>
        </w:rPr>
        <w:t>demerger</w:t>
      </w:r>
      <w:r>
        <w:rPr>
          <w:i/>
        </w:rPr>
        <w:t xml:space="preserve"> or conversion</w:t>
      </w:r>
      <w:r w:rsidRPr="00437F01">
        <w:rPr>
          <w:i/>
        </w:rPr>
        <w:t>, the right to make a notice for Subscription shall be reinstated in the event the liquidation is terminated or where the merger</w:t>
      </w:r>
      <w:r>
        <w:rPr>
          <w:i/>
        </w:rPr>
        <w:t xml:space="preserve">, </w:t>
      </w:r>
      <w:r w:rsidRPr="00437F01">
        <w:rPr>
          <w:i/>
        </w:rPr>
        <w:t xml:space="preserve">demerger </w:t>
      </w:r>
      <w:r>
        <w:rPr>
          <w:i/>
        </w:rPr>
        <w:t xml:space="preserve">or conversion </w:t>
      </w:r>
      <w:r w:rsidRPr="00437F01">
        <w:rPr>
          <w:i/>
        </w:rPr>
        <w:t>is not executed.</w:t>
      </w:r>
    </w:p>
    <w:p w14:paraId="52779DA6" w14:textId="77777777" w:rsidR="00F3012E" w:rsidRPr="00A50800" w:rsidRDefault="00F3012E" w:rsidP="006350FE">
      <w:pPr>
        <w:pStyle w:val="BodyText"/>
        <w:numPr>
          <w:ilvl w:val="2"/>
          <w:numId w:val="56"/>
        </w:numPr>
        <w:spacing w:after="0"/>
        <w:rPr>
          <w:b/>
          <w:lang w:val="sv-SE"/>
        </w:rPr>
      </w:pPr>
      <w:r w:rsidRPr="00A50800">
        <w:rPr>
          <w:b/>
          <w:lang w:val="sv-SE"/>
        </w:rPr>
        <w:t>Konkurs/</w:t>
      </w:r>
      <w:proofErr w:type="spellStart"/>
      <w:r w:rsidRPr="00A50800">
        <w:rPr>
          <w:b/>
          <w:i/>
          <w:lang w:val="sv-SE"/>
        </w:rPr>
        <w:t>Bankruptcy</w:t>
      </w:r>
      <w:proofErr w:type="spellEnd"/>
    </w:p>
    <w:p w14:paraId="51E7CFF5" w14:textId="77777777" w:rsidR="00F3012E" w:rsidRPr="00437F01" w:rsidRDefault="00F3012E" w:rsidP="00F3012E">
      <w:pPr>
        <w:pStyle w:val="BodyText"/>
        <w:ind w:left="720"/>
      </w:pPr>
      <w:r w:rsidRPr="00A50800">
        <w:rPr>
          <w:lang w:val="sv-SE"/>
        </w:rPr>
        <w:t xml:space="preserve">För den händelse Bolaget skulle </w:t>
      </w:r>
      <w:r w:rsidRPr="00A50800">
        <w:rPr>
          <w:u w:val="single"/>
          <w:lang w:val="sv-SE"/>
        </w:rPr>
        <w:t>försättas i konkurs</w:t>
      </w:r>
      <w:r w:rsidRPr="00A50800">
        <w:rPr>
          <w:lang w:val="sv-SE"/>
        </w:rPr>
        <w:t>, får anmälan om Teckning ej därefter ske. Om emellertid konkursbeslutet häves av högre rätt får anmälan om Teckning återigen ske.</w:t>
      </w:r>
      <w:r w:rsidRPr="00A50800">
        <w:rPr>
          <w:lang w:val="sv-SE"/>
        </w:rPr>
        <w:br/>
      </w:r>
      <w:r w:rsidRPr="00437F01">
        <w:rPr>
          <w:i/>
        </w:rPr>
        <w:t xml:space="preserve">In the event the Company is </w:t>
      </w:r>
      <w:r w:rsidRPr="00437F01">
        <w:rPr>
          <w:i/>
          <w:u w:val="single"/>
        </w:rPr>
        <w:t>declared bankrupt</w:t>
      </w:r>
      <w:r w:rsidRPr="00437F01">
        <w:rPr>
          <w:i/>
        </w:rPr>
        <w:t>, notice for Subscription may not thereafter be made. Where, however, the bankruptcy decision is reversed by a court of higher instance, notice for Subscription may again be made.</w:t>
      </w:r>
    </w:p>
    <w:p w14:paraId="4521BE00" w14:textId="77777777" w:rsidR="00F3012E" w:rsidRPr="00A50800" w:rsidRDefault="00F3012E" w:rsidP="006350FE">
      <w:pPr>
        <w:pStyle w:val="BodyText"/>
        <w:numPr>
          <w:ilvl w:val="2"/>
          <w:numId w:val="56"/>
        </w:numPr>
        <w:spacing w:after="0"/>
        <w:rPr>
          <w:b/>
          <w:lang w:val="sv-SE"/>
        </w:rPr>
      </w:pPr>
      <w:r w:rsidRPr="00A50800">
        <w:rPr>
          <w:b/>
          <w:lang w:val="sv-SE"/>
        </w:rPr>
        <w:t>Notering/</w:t>
      </w:r>
      <w:proofErr w:type="spellStart"/>
      <w:r w:rsidRPr="00A50800">
        <w:rPr>
          <w:b/>
          <w:i/>
          <w:lang w:val="sv-SE"/>
        </w:rPr>
        <w:t>Listing</w:t>
      </w:r>
      <w:proofErr w:type="spellEnd"/>
    </w:p>
    <w:p w14:paraId="3A82D13B" w14:textId="77777777" w:rsidR="00F3012E" w:rsidRPr="00437F01" w:rsidRDefault="00F3012E" w:rsidP="00F3012E">
      <w:pPr>
        <w:pStyle w:val="BodyText"/>
        <w:ind w:left="720"/>
      </w:pPr>
      <w:r w:rsidRPr="00A50800">
        <w:rPr>
          <w:lang w:val="sv-SE"/>
        </w:rPr>
        <w:t xml:space="preserve">Vad som ovan angivits rörande notering på handelsplats </w:t>
      </w:r>
      <w:r>
        <w:rPr>
          <w:lang w:val="sv-SE"/>
        </w:rPr>
        <w:t>ska</w:t>
      </w:r>
      <w:r w:rsidRPr="00A50800">
        <w:rPr>
          <w:lang w:val="sv-SE"/>
        </w:rPr>
        <w:t xml:space="preserve"> gälla för det fall Bolagets Aktier är föremål för offentlig och organiserad handel på reglerad marknad eller annan organiserad multilateral handelsplattform. Hänvisning till handelsplats </w:t>
      </w:r>
      <w:r>
        <w:rPr>
          <w:lang w:val="sv-SE"/>
        </w:rPr>
        <w:t>ska</w:t>
      </w:r>
      <w:r w:rsidRPr="00A50800">
        <w:rPr>
          <w:lang w:val="sv-SE"/>
        </w:rPr>
        <w:t xml:space="preserve"> då avse sådan reglerad marknad eller annan multilateral handelsplattform.</w:t>
      </w:r>
      <w:r w:rsidRPr="00A50800">
        <w:rPr>
          <w:szCs w:val="22"/>
          <w:lang w:val="sv-SE"/>
        </w:rPr>
        <w:t xml:space="preserve"> Vid utgivandet av Teckningsoptionerna är Aktier</w:t>
      </w:r>
      <w:r w:rsidRPr="008570D1">
        <w:rPr>
          <w:szCs w:val="22"/>
          <w:lang w:val="sv-SE"/>
        </w:rPr>
        <w:t xml:space="preserve">na noterade på Nasdaq </w:t>
      </w:r>
      <w:proofErr w:type="spellStart"/>
      <w:r w:rsidRPr="008570D1">
        <w:rPr>
          <w:szCs w:val="22"/>
          <w:lang w:val="sv-SE"/>
        </w:rPr>
        <w:t>First</w:t>
      </w:r>
      <w:proofErr w:type="spellEnd"/>
      <w:r w:rsidRPr="008570D1">
        <w:rPr>
          <w:szCs w:val="22"/>
          <w:lang w:val="sv-SE"/>
        </w:rPr>
        <w:t xml:space="preserve"> North Premier </w:t>
      </w:r>
      <w:proofErr w:type="spellStart"/>
      <w:r w:rsidRPr="008570D1">
        <w:rPr>
          <w:szCs w:val="22"/>
          <w:lang w:val="sv-SE"/>
        </w:rPr>
        <w:t>Growth</w:t>
      </w:r>
      <w:proofErr w:type="spellEnd"/>
      <w:r w:rsidRPr="008570D1">
        <w:rPr>
          <w:szCs w:val="22"/>
          <w:lang w:val="sv-SE"/>
        </w:rPr>
        <w:t xml:space="preserve"> Market som vid tillfället är en multilateral handelsplattform.</w:t>
      </w:r>
      <w:r w:rsidRPr="008570D1">
        <w:rPr>
          <w:lang w:val="sv-SE"/>
        </w:rPr>
        <w:br/>
      </w:r>
      <w:r w:rsidRPr="008570D1">
        <w:rPr>
          <w:i/>
        </w:rPr>
        <w:t>What is stated above concerning quoting on a market will apply if the Company's Shares are subject to public and organized trading on a regulated market or other organized multilateral trading facility. Reference to trading then shall apply to such a regulated market or other multilateral trading facility</w:t>
      </w:r>
      <w:r w:rsidRPr="008570D1">
        <w:t>.</w:t>
      </w:r>
      <w:r w:rsidRPr="008570D1">
        <w:rPr>
          <w:i/>
          <w:szCs w:val="22"/>
        </w:rPr>
        <w:t xml:space="preserve"> At the date of the issuance of the Warrants the Shares are listed </w:t>
      </w:r>
      <w:r w:rsidRPr="008570D1">
        <w:rPr>
          <w:i/>
          <w:szCs w:val="22"/>
        </w:rPr>
        <w:lastRenderedPageBreak/>
        <w:t xml:space="preserve">at </w:t>
      </w:r>
      <w:r w:rsidRPr="008570D1">
        <w:rPr>
          <w:i/>
          <w:iCs/>
          <w:szCs w:val="22"/>
        </w:rPr>
        <w:t>Nasdaq First North Premier Growth Market</w:t>
      </w:r>
      <w:r w:rsidRPr="008570D1">
        <w:rPr>
          <w:szCs w:val="22"/>
        </w:rPr>
        <w:t xml:space="preserve"> </w:t>
      </w:r>
      <w:r w:rsidRPr="008570D1">
        <w:rPr>
          <w:i/>
          <w:szCs w:val="22"/>
        </w:rPr>
        <w:t>which at that time is a multilateral trading facility.</w:t>
      </w:r>
    </w:p>
    <w:p w14:paraId="47A185FF" w14:textId="77777777" w:rsidR="00F3012E" w:rsidRPr="00A50800" w:rsidRDefault="00F3012E" w:rsidP="006350FE">
      <w:pPr>
        <w:pStyle w:val="BodyText"/>
        <w:numPr>
          <w:ilvl w:val="2"/>
          <w:numId w:val="56"/>
        </w:numPr>
        <w:spacing w:after="0"/>
        <w:rPr>
          <w:b/>
          <w:lang w:val="sv-SE"/>
        </w:rPr>
      </w:pPr>
      <w:bookmarkStart w:id="60" w:name="_Ref439067192"/>
      <w:r w:rsidRPr="00A50800">
        <w:rPr>
          <w:b/>
          <w:lang w:val="sv-SE"/>
        </w:rPr>
        <w:t>Kvotvärde/</w:t>
      </w:r>
      <w:proofErr w:type="spellStart"/>
      <w:r w:rsidRPr="00A50800">
        <w:rPr>
          <w:b/>
          <w:i/>
          <w:lang w:val="sv-SE"/>
        </w:rPr>
        <w:t>Quota</w:t>
      </w:r>
      <w:proofErr w:type="spellEnd"/>
      <w:r w:rsidRPr="00A50800">
        <w:rPr>
          <w:b/>
          <w:i/>
          <w:lang w:val="sv-SE"/>
        </w:rPr>
        <w:t xml:space="preserve"> </w:t>
      </w:r>
      <w:proofErr w:type="spellStart"/>
      <w:r w:rsidRPr="00A50800">
        <w:rPr>
          <w:b/>
          <w:i/>
          <w:lang w:val="sv-SE"/>
        </w:rPr>
        <w:t>value</w:t>
      </w:r>
      <w:bookmarkEnd w:id="60"/>
      <w:proofErr w:type="spellEnd"/>
    </w:p>
    <w:p w14:paraId="1A9E5F01" w14:textId="77777777" w:rsidR="00F3012E" w:rsidRPr="00437F01" w:rsidRDefault="00F3012E" w:rsidP="00F3012E">
      <w:pPr>
        <w:pStyle w:val="BodyText"/>
        <w:ind w:left="720"/>
      </w:pPr>
      <w:r w:rsidRPr="00A50800">
        <w:rPr>
          <w:lang w:val="sv-SE"/>
        </w:rPr>
        <w:t xml:space="preserve">Om angiven åtgärd och omräkning enligt något av punkterna </w:t>
      </w:r>
      <w:r>
        <w:rPr>
          <w:szCs w:val="22"/>
        </w:rPr>
        <w:fldChar w:fldCharType="begin"/>
      </w:r>
      <w:r>
        <w:rPr>
          <w:lang w:val="sv-SE"/>
        </w:rPr>
        <w:instrText xml:space="preserve"> REF _Ref419826047 \r \h </w:instrText>
      </w:r>
      <w:r>
        <w:rPr>
          <w:szCs w:val="22"/>
        </w:rPr>
      </w:r>
      <w:r>
        <w:rPr>
          <w:szCs w:val="22"/>
        </w:rPr>
        <w:fldChar w:fldCharType="separate"/>
      </w:r>
      <w:r>
        <w:rPr>
          <w:lang w:val="sv-SE"/>
        </w:rPr>
        <w:t>8.2.2</w:t>
      </w:r>
      <w:r>
        <w:rPr>
          <w:szCs w:val="22"/>
        </w:rPr>
        <w:fldChar w:fldCharType="end"/>
      </w:r>
      <w:r w:rsidRPr="00A50800">
        <w:rPr>
          <w:lang w:val="sv-SE"/>
        </w:rPr>
        <w:t>–</w:t>
      </w:r>
      <w:r>
        <w:rPr>
          <w:szCs w:val="22"/>
        </w:rPr>
        <w:fldChar w:fldCharType="begin"/>
      </w:r>
      <w:r>
        <w:rPr>
          <w:szCs w:val="22"/>
          <w:lang w:val="sv-SE"/>
        </w:rPr>
        <w:instrText xml:space="preserve"> REF _Ref445999198 \r \h </w:instrText>
      </w:r>
      <w:r>
        <w:rPr>
          <w:szCs w:val="22"/>
        </w:rPr>
      </w:r>
      <w:r>
        <w:rPr>
          <w:szCs w:val="22"/>
        </w:rPr>
        <w:fldChar w:fldCharType="separate"/>
      </w:r>
      <w:r>
        <w:rPr>
          <w:szCs w:val="22"/>
          <w:lang w:val="sv-SE"/>
        </w:rPr>
        <w:t>8.2.12</w:t>
      </w:r>
      <w:r>
        <w:rPr>
          <w:szCs w:val="22"/>
        </w:rPr>
        <w:fldChar w:fldCharType="end"/>
      </w:r>
      <w:r w:rsidRPr="001B669B">
        <w:rPr>
          <w:szCs w:val="22"/>
          <w:lang w:val="sv-SE"/>
        </w:rPr>
        <w:t xml:space="preserve"> </w:t>
      </w:r>
      <w:r w:rsidRPr="00A50800">
        <w:rPr>
          <w:lang w:val="sv-SE"/>
        </w:rPr>
        <w:t xml:space="preserve">ovan skulle medföra en omräkning av Teckningskursen till ett belopp understigande </w:t>
      </w:r>
      <w:r>
        <w:rPr>
          <w:lang w:val="sv-SE"/>
        </w:rPr>
        <w:t>Aktie</w:t>
      </w:r>
      <w:r w:rsidRPr="00A50800">
        <w:rPr>
          <w:lang w:val="sv-SE"/>
        </w:rPr>
        <w:t xml:space="preserve">ns kvotvärde, </w:t>
      </w:r>
      <w:r>
        <w:rPr>
          <w:lang w:val="sv-SE"/>
        </w:rPr>
        <w:t>ska</w:t>
      </w:r>
      <w:r w:rsidRPr="00A50800">
        <w:rPr>
          <w:lang w:val="sv-SE"/>
        </w:rPr>
        <w:t xml:space="preserve"> ändå </w:t>
      </w:r>
      <w:r>
        <w:rPr>
          <w:lang w:val="sv-SE"/>
        </w:rPr>
        <w:t>Aktie</w:t>
      </w:r>
      <w:r w:rsidRPr="00A50800">
        <w:rPr>
          <w:lang w:val="sv-SE"/>
        </w:rPr>
        <w:t>ns kvotvärde erläggas för Aktie.</w:t>
      </w:r>
      <w:r w:rsidRPr="00A50800">
        <w:rPr>
          <w:lang w:val="sv-SE"/>
        </w:rPr>
        <w:br/>
      </w:r>
      <w:r w:rsidRPr="00437F01">
        <w:rPr>
          <w:i/>
        </w:rPr>
        <w:t xml:space="preserve">If the measures and recalculations stated in any of the sections </w:t>
      </w:r>
      <w:r>
        <w:rPr>
          <w:i/>
          <w:szCs w:val="22"/>
        </w:rPr>
        <w:fldChar w:fldCharType="begin"/>
      </w:r>
      <w:r>
        <w:rPr>
          <w:i/>
        </w:rPr>
        <w:instrText xml:space="preserve"> REF _Ref419826047 \r \h </w:instrText>
      </w:r>
      <w:r>
        <w:rPr>
          <w:i/>
          <w:szCs w:val="22"/>
        </w:rPr>
      </w:r>
      <w:r>
        <w:rPr>
          <w:i/>
          <w:szCs w:val="22"/>
        </w:rPr>
        <w:fldChar w:fldCharType="separate"/>
      </w:r>
      <w:r>
        <w:rPr>
          <w:i/>
        </w:rPr>
        <w:t>8.2.2</w:t>
      </w:r>
      <w:r>
        <w:rPr>
          <w:i/>
          <w:szCs w:val="22"/>
        </w:rPr>
        <w:fldChar w:fldCharType="end"/>
      </w:r>
      <w:r w:rsidRPr="00437F01">
        <w:rPr>
          <w:i/>
        </w:rPr>
        <w:t>–</w:t>
      </w:r>
      <w:r>
        <w:rPr>
          <w:i/>
          <w:szCs w:val="22"/>
        </w:rPr>
        <w:fldChar w:fldCharType="begin"/>
      </w:r>
      <w:r>
        <w:rPr>
          <w:i/>
          <w:szCs w:val="22"/>
        </w:rPr>
        <w:instrText xml:space="preserve"> REF _Ref445999198 \r \h </w:instrText>
      </w:r>
      <w:r>
        <w:rPr>
          <w:i/>
          <w:szCs w:val="22"/>
        </w:rPr>
      </w:r>
      <w:r>
        <w:rPr>
          <w:i/>
          <w:szCs w:val="22"/>
        </w:rPr>
        <w:fldChar w:fldCharType="separate"/>
      </w:r>
      <w:r>
        <w:rPr>
          <w:i/>
          <w:szCs w:val="22"/>
        </w:rPr>
        <w:t>8.2.12</w:t>
      </w:r>
      <w:r>
        <w:rPr>
          <w:i/>
          <w:szCs w:val="22"/>
        </w:rPr>
        <w:fldChar w:fldCharType="end"/>
      </w:r>
      <w:r>
        <w:rPr>
          <w:i/>
          <w:szCs w:val="22"/>
        </w:rPr>
        <w:t xml:space="preserve"> </w:t>
      </w:r>
      <w:r w:rsidRPr="00437F01">
        <w:rPr>
          <w:i/>
        </w:rPr>
        <w:t>above would result in a recalculation of the Subscription Price that would amount to a number less than the Share's quota value, the quota value shall nevertheless be paid for the Share.</w:t>
      </w:r>
    </w:p>
    <w:p w14:paraId="48AF7B42" w14:textId="77777777" w:rsidR="00F3012E" w:rsidRPr="00D04C29" w:rsidRDefault="00F3012E" w:rsidP="006350FE">
      <w:pPr>
        <w:pStyle w:val="BodyText"/>
        <w:numPr>
          <w:ilvl w:val="0"/>
          <w:numId w:val="56"/>
        </w:numPr>
        <w:spacing w:after="0"/>
        <w:rPr>
          <w:b/>
          <w:lang w:val="sv-SE"/>
        </w:rPr>
      </w:pPr>
      <w:r w:rsidRPr="00D04C29">
        <w:rPr>
          <w:b/>
          <w:lang w:val="sv-SE"/>
        </w:rPr>
        <w:t>Ersättning/</w:t>
      </w:r>
      <w:proofErr w:type="spellStart"/>
      <w:r w:rsidRPr="00D04C29">
        <w:rPr>
          <w:b/>
          <w:i/>
          <w:lang w:val="sv-SE"/>
        </w:rPr>
        <w:t>Compensation</w:t>
      </w:r>
      <w:proofErr w:type="spellEnd"/>
    </w:p>
    <w:p w14:paraId="0F188146" w14:textId="77777777" w:rsidR="00F3012E" w:rsidRDefault="00F3012E" w:rsidP="00F3012E">
      <w:pPr>
        <w:pStyle w:val="BodyText"/>
        <w:ind w:left="720"/>
        <w:rPr>
          <w:i/>
        </w:rPr>
      </w:pPr>
      <w:r w:rsidRPr="00A50800">
        <w:rPr>
          <w:lang w:val="sv-SE"/>
        </w:rPr>
        <w:t xml:space="preserve">Om det vid tillämpningen av ändringarna i punkt </w:t>
      </w:r>
      <w:r>
        <w:rPr>
          <w:rFonts w:cstheme="minorHAnsi"/>
        </w:rPr>
        <w:fldChar w:fldCharType="begin"/>
      </w:r>
      <w:r>
        <w:rPr>
          <w:lang w:val="sv-SE"/>
        </w:rPr>
        <w:instrText xml:space="preserve"> REF _Ref419825929 \r \h </w:instrText>
      </w:r>
      <w:r>
        <w:rPr>
          <w:rFonts w:cstheme="minorHAnsi"/>
        </w:rPr>
      </w:r>
      <w:r>
        <w:rPr>
          <w:rFonts w:cstheme="minorHAnsi"/>
        </w:rPr>
        <w:fldChar w:fldCharType="separate"/>
      </w:r>
      <w:r>
        <w:rPr>
          <w:lang w:val="sv-SE"/>
        </w:rPr>
        <w:t>8.2</w:t>
      </w:r>
      <w:r>
        <w:rPr>
          <w:rFonts w:cstheme="minorHAnsi"/>
        </w:rPr>
        <w:fldChar w:fldCharType="end"/>
      </w:r>
      <w:r w:rsidRPr="00A50800">
        <w:rPr>
          <w:lang w:val="sv-SE"/>
        </w:rPr>
        <w:t xml:space="preserve">, inte är praktiskt eller juridiskt möjligt att tillämpa en reducerad Teckningskurs </w:t>
      </w:r>
      <w:r>
        <w:rPr>
          <w:lang w:val="sv-SE"/>
        </w:rPr>
        <w:t>ska</w:t>
      </w:r>
      <w:r w:rsidRPr="00A50800">
        <w:rPr>
          <w:lang w:val="sv-SE"/>
        </w:rPr>
        <w:t xml:space="preserve"> antalet Aktier som varje Teckningsoption berättigar Optionsinnehavaren att teckna, i ett andra steg, omräknas (dvs ökas) för att ersätta Optionsinnehavaren för den uteblivna reduceringen av Teckningskursen, dvs ökat krona för krona.</w:t>
      </w:r>
      <w:r w:rsidRPr="00A50800">
        <w:rPr>
          <w:lang w:val="sv-SE"/>
        </w:rPr>
        <w:br/>
      </w:r>
      <w:r w:rsidRPr="00437F01">
        <w:rPr>
          <w:i/>
        </w:rPr>
        <w:t xml:space="preserve">If, in the application of the adjustments in this section </w:t>
      </w:r>
      <w:r>
        <w:rPr>
          <w:i/>
        </w:rPr>
        <w:fldChar w:fldCharType="begin"/>
      </w:r>
      <w:r>
        <w:rPr>
          <w:i/>
        </w:rPr>
        <w:instrText xml:space="preserve"> REF _Ref419825929 \r \h </w:instrText>
      </w:r>
      <w:r>
        <w:rPr>
          <w:i/>
        </w:rPr>
      </w:r>
      <w:r>
        <w:rPr>
          <w:i/>
        </w:rPr>
        <w:fldChar w:fldCharType="separate"/>
      </w:r>
      <w:r>
        <w:rPr>
          <w:i/>
        </w:rPr>
        <w:t>8.2</w:t>
      </w:r>
      <w:r>
        <w:rPr>
          <w:i/>
        </w:rPr>
        <w:fldChar w:fldCharType="end"/>
      </w:r>
      <w:r w:rsidRPr="00437F01">
        <w:rPr>
          <w:i/>
        </w:rPr>
        <w:t xml:space="preserve">, it is not practicable or legally possible to apply a reduced Subscription Price, the number of Shares which each Warrant entitles the </w:t>
      </w:r>
      <w:r>
        <w:rPr>
          <w:i/>
        </w:rPr>
        <w:t>Warrant Holder</w:t>
      </w:r>
      <w:r w:rsidRPr="00437F01">
        <w:rPr>
          <w:i/>
        </w:rPr>
        <w:t xml:space="preserve"> to purchase shall, in a secondary step, be recalculated (i.e. increased) in order to compensate the </w:t>
      </w:r>
      <w:r>
        <w:rPr>
          <w:i/>
        </w:rPr>
        <w:t>Warrant Holder</w:t>
      </w:r>
      <w:r w:rsidRPr="00437F01">
        <w:rPr>
          <w:i/>
        </w:rPr>
        <w:t xml:space="preserve"> for the </w:t>
      </w:r>
      <w:proofErr w:type="spellStart"/>
      <w:r w:rsidRPr="00437F01">
        <w:rPr>
          <w:i/>
        </w:rPr>
        <w:t>non reduction</w:t>
      </w:r>
      <w:proofErr w:type="spellEnd"/>
      <w:r w:rsidRPr="00437F01">
        <w:rPr>
          <w:i/>
        </w:rPr>
        <w:t xml:space="preserve"> in the Subscription Price, i.e. increased krona per krona.</w:t>
      </w:r>
    </w:p>
    <w:p w14:paraId="3A241C4B" w14:textId="77777777" w:rsidR="00F3012E" w:rsidRPr="00D04C29" w:rsidRDefault="00F3012E" w:rsidP="006350FE">
      <w:pPr>
        <w:pStyle w:val="BodyText"/>
        <w:numPr>
          <w:ilvl w:val="0"/>
          <w:numId w:val="56"/>
        </w:numPr>
        <w:spacing w:after="0"/>
        <w:rPr>
          <w:b/>
          <w:bCs/>
          <w:lang w:val="sv-SE"/>
        </w:rPr>
      </w:pPr>
      <w:r w:rsidRPr="00D04C29">
        <w:rPr>
          <w:b/>
          <w:bCs/>
          <w:lang w:val="sv-SE"/>
        </w:rPr>
        <w:t>Förvaltare/</w:t>
      </w:r>
      <w:proofErr w:type="spellStart"/>
      <w:r w:rsidRPr="00D04C29">
        <w:rPr>
          <w:b/>
          <w:bCs/>
          <w:i/>
          <w:lang w:val="sv-SE"/>
        </w:rPr>
        <w:t>Nominee</w:t>
      </w:r>
      <w:proofErr w:type="spellEnd"/>
    </w:p>
    <w:p w14:paraId="165E3620" w14:textId="77777777" w:rsidR="00F3012E" w:rsidRPr="00437F01" w:rsidRDefault="00F3012E" w:rsidP="00F3012E">
      <w:pPr>
        <w:pStyle w:val="BodyText"/>
        <w:ind w:left="720"/>
      </w:pPr>
      <w:r w:rsidRPr="00A50800">
        <w:rPr>
          <w:lang w:val="sv-SE"/>
        </w:rPr>
        <w:t xml:space="preserve">För Teckningsoption som är förvaltarregistrerad enligt lag om värdepapperscentraler och kontoföring av finansiella instrument </w:t>
      </w:r>
      <w:r>
        <w:rPr>
          <w:lang w:val="sv-SE"/>
        </w:rPr>
        <w:t>ska</w:t>
      </w:r>
      <w:r w:rsidRPr="00A50800">
        <w:rPr>
          <w:lang w:val="sv-SE"/>
        </w:rPr>
        <w:t xml:space="preserve"> vid tillämpningen av dessa villkor förvaltaren betraktas som </w:t>
      </w:r>
      <w:r>
        <w:rPr>
          <w:lang w:val="sv-SE"/>
        </w:rPr>
        <w:t>Optionsinnehavare</w:t>
      </w:r>
      <w:r w:rsidRPr="00A50800">
        <w:rPr>
          <w:lang w:val="sv-SE"/>
        </w:rPr>
        <w:t>.</w:t>
      </w:r>
      <w:r w:rsidRPr="00A50800">
        <w:rPr>
          <w:lang w:val="sv-SE"/>
        </w:rPr>
        <w:br/>
      </w:r>
      <w:r w:rsidRPr="00437F01">
        <w:rPr>
          <w:i/>
        </w:rPr>
        <w:t xml:space="preserve">If a Warrant is registered with a nominee pursuant to the Central Securities Depositories and Swedish Financial Instruments Accounts Act, such nominee shall be regarded as the </w:t>
      </w:r>
      <w:r>
        <w:rPr>
          <w:i/>
        </w:rPr>
        <w:t>Warrant Holder</w:t>
      </w:r>
      <w:r w:rsidRPr="00437F01">
        <w:rPr>
          <w:i/>
        </w:rPr>
        <w:t xml:space="preserve"> where these terms</w:t>
      </w:r>
      <w:r>
        <w:rPr>
          <w:i/>
        </w:rPr>
        <w:t xml:space="preserve"> and conditions</w:t>
      </w:r>
      <w:r w:rsidRPr="00437F01">
        <w:rPr>
          <w:i/>
        </w:rPr>
        <w:t xml:space="preserve"> are applied.</w:t>
      </w:r>
    </w:p>
    <w:p w14:paraId="374F2B0A" w14:textId="77777777" w:rsidR="00F3012E" w:rsidRPr="00D04C29" w:rsidRDefault="00F3012E" w:rsidP="006350FE">
      <w:pPr>
        <w:pStyle w:val="BodyText"/>
        <w:numPr>
          <w:ilvl w:val="0"/>
          <w:numId w:val="56"/>
        </w:numPr>
        <w:spacing w:after="0"/>
        <w:rPr>
          <w:b/>
          <w:bCs/>
          <w:lang w:val="sv-SE"/>
        </w:rPr>
      </w:pPr>
      <w:bookmarkStart w:id="61" w:name="_Ref145593081"/>
      <w:r w:rsidRPr="00D04C29">
        <w:rPr>
          <w:b/>
          <w:bCs/>
          <w:lang w:val="sv-SE"/>
        </w:rPr>
        <w:t>Meddelanden/</w:t>
      </w:r>
      <w:proofErr w:type="spellStart"/>
      <w:r w:rsidRPr="00D04C29">
        <w:rPr>
          <w:b/>
          <w:bCs/>
          <w:i/>
          <w:lang w:val="sv-SE"/>
        </w:rPr>
        <w:t>Notices</w:t>
      </w:r>
      <w:bookmarkEnd w:id="61"/>
      <w:proofErr w:type="spellEnd"/>
    </w:p>
    <w:p w14:paraId="7332E80F" w14:textId="77777777" w:rsidR="00F3012E" w:rsidRPr="00437F01" w:rsidRDefault="00F3012E" w:rsidP="006350FE">
      <w:pPr>
        <w:pStyle w:val="BodyText"/>
        <w:numPr>
          <w:ilvl w:val="1"/>
          <w:numId w:val="56"/>
        </w:numPr>
      </w:pPr>
      <w:bookmarkStart w:id="62" w:name="_Ref445999251"/>
      <w:bookmarkStart w:id="63" w:name="_Ref167349964"/>
      <w:r w:rsidRPr="00A50800">
        <w:rPr>
          <w:lang w:val="sv-SE"/>
        </w:rPr>
        <w:t xml:space="preserve">Meddelanden rörande Teckningsoptionerna </w:t>
      </w:r>
      <w:r>
        <w:rPr>
          <w:lang w:val="sv-SE"/>
        </w:rPr>
        <w:t>ska</w:t>
      </w:r>
      <w:r w:rsidRPr="00A50800">
        <w:rPr>
          <w:lang w:val="sv-SE"/>
        </w:rPr>
        <w:t xml:space="preserve"> tillställas varje </w:t>
      </w:r>
      <w:r>
        <w:rPr>
          <w:lang w:val="sv-SE"/>
        </w:rPr>
        <w:t>Optionsinnehavare</w:t>
      </w:r>
      <w:r w:rsidRPr="00A50800">
        <w:rPr>
          <w:lang w:val="sv-SE"/>
        </w:rPr>
        <w:t xml:space="preserve"> som skriftligen meddelat sin postadress till Bolaget.</w:t>
      </w:r>
      <w:bookmarkEnd w:id="62"/>
      <w:r w:rsidRPr="00A50800">
        <w:rPr>
          <w:lang w:val="sv-SE"/>
        </w:rPr>
        <w:br/>
      </w:r>
      <w:r w:rsidRPr="00437F01">
        <w:rPr>
          <w:i/>
        </w:rPr>
        <w:t xml:space="preserve">Notices concerning the Warrants shall be sent to each </w:t>
      </w:r>
      <w:r>
        <w:rPr>
          <w:i/>
        </w:rPr>
        <w:t>Warrant Holder</w:t>
      </w:r>
      <w:r w:rsidRPr="00437F01">
        <w:rPr>
          <w:i/>
        </w:rPr>
        <w:t xml:space="preserve"> who has informed the Company of his/her/its </w:t>
      </w:r>
      <w:proofErr w:type="gramStart"/>
      <w:r w:rsidRPr="00437F01">
        <w:rPr>
          <w:i/>
        </w:rPr>
        <w:t>mail</w:t>
      </w:r>
      <w:proofErr w:type="gramEnd"/>
      <w:r w:rsidRPr="00437F01">
        <w:rPr>
          <w:i/>
        </w:rPr>
        <w:t xml:space="preserve"> address.</w:t>
      </w:r>
      <w:bookmarkEnd w:id="63"/>
    </w:p>
    <w:p w14:paraId="02FD87F5" w14:textId="77777777" w:rsidR="00F3012E" w:rsidRPr="00437F01" w:rsidRDefault="00F3012E" w:rsidP="006350FE">
      <w:pPr>
        <w:pStyle w:val="BodyText"/>
        <w:numPr>
          <w:ilvl w:val="1"/>
          <w:numId w:val="56"/>
        </w:numPr>
      </w:pPr>
      <w:r w:rsidRPr="00A50800">
        <w:rPr>
          <w:lang w:val="sv-SE"/>
        </w:rPr>
        <w:t xml:space="preserve">För det fall Teckningsoptionerna är registrerade av Euroclear i ett avstämningsregister </w:t>
      </w:r>
      <w:r>
        <w:rPr>
          <w:lang w:val="sv-SE"/>
        </w:rPr>
        <w:t>ska</w:t>
      </w:r>
      <w:r w:rsidRPr="00A50800">
        <w:rPr>
          <w:lang w:val="sv-SE"/>
        </w:rPr>
        <w:t xml:space="preserve"> meddelande rörande Teckningsoptionerna, istället för vad som stadgas i punkt </w:t>
      </w:r>
      <w:r>
        <w:fldChar w:fldCharType="begin"/>
      </w:r>
      <w:r>
        <w:rPr>
          <w:lang w:val="sv-SE"/>
        </w:rPr>
        <w:instrText xml:space="preserve"> REF _Ref167349964 \r \h </w:instrText>
      </w:r>
      <w:r>
        <w:fldChar w:fldCharType="separate"/>
      </w:r>
      <w:r>
        <w:rPr>
          <w:lang w:val="sv-SE"/>
        </w:rPr>
        <w:t>11.1</w:t>
      </w:r>
      <w:r>
        <w:fldChar w:fldCharType="end"/>
      </w:r>
      <w:r w:rsidRPr="00A50800">
        <w:rPr>
          <w:lang w:val="sv-SE"/>
        </w:rPr>
        <w:t xml:space="preserve"> ovan tillställas varje registrerad Optionsinnehavare och annan rättighetshavare som är antecknad på konto i Bolagets avstämningsregister.</w:t>
      </w:r>
      <w:r w:rsidRPr="00A50800">
        <w:rPr>
          <w:lang w:val="sv-SE"/>
        </w:rPr>
        <w:br/>
      </w:r>
      <w:r w:rsidRPr="00437F01">
        <w:rPr>
          <w:i/>
        </w:rPr>
        <w:t xml:space="preserve">In the event that the Warrants are registered with Euroclear in a, notices concerning the Warrants shall, instead of what is stated in section </w:t>
      </w:r>
      <w:r>
        <w:rPr>
          <w:b/>
          <w:i/>
        </w:rPr>
        <w:fldChar w:fldCharType="begin"/>
      </w:r>
      <w:r>
        <w:rPr>
          <w:i/>
        </w:rPr>
        <w:instrText xml:space="preserve"> REF _Ref167349964 \r \h </w:instrText>
      </w:r>
      <w:r>
        <w:rPr>
          <w:b/>
          <w:i/>
        </w:rPr>
      </w:r>
      <w:r>
        <w:rPr>
          <w:b/>
          <w:i/>
        </w:rPr>
        <w:fldChar w:fldCharType="separate"/>
      </w:r>
      <w:r>
        <w:rPr>
          <w:i/>
        </w:rPr>
        <w:t>11.1</w:t>
      </w:r>
      <w:r>
        <w:rPr>
          <w:b/>
          <w:i/>
        </w:rPr>
        <w:fldChar w:fldCharType="end"/>
      </w:r>
      <w:r w:rsidRPr="00437F01">
        <w:rPr>
          <w:i/>
        </w:rPr>
        <w:t xml:space="preserve"> above, be sent to each registered </w:t>
      </w:r>
      <w:r>
        <w:rPr>
          <w:i/>
        </w:rPr>
        <w:t>Warrant Holder</w:t>
      </w:r>
      <w:r w:rsidRPr="00437F01">
        <w:rPr>
          <w:i/>
        </w:rPr>
        <w:t xml:space="preserve"> or other right holder who is registered in an account the Company's securities register.</w:t>
      </w:r>
    </w:p>
    <w:p w14:paraId="535562E6" w14:textId="77777777" w:rsidR="00F3012E" w:rsidRPr="00437F01" w:rsidRDefault="00F3012E" w:rsidP="006350FE">
      <w:pPr>
        <w:pStyle w:val="BodyText"/>
        <w:numPr>
          <w:ilvl w:val="1"/>
          <w:numId w:val="56"/>
        </w:numPr>
      </w:pPr>
      <w:r w:rsidRPr="00A50800">
        <w:rPr>
          <w:lang w:val="sv-SE"/>
        </w:rPr>
        <w:t xml:space="preserve">Meddelanden </w:t>
      </w:r>
      <w:r>
        <w:rPr>
          <w:lang w:val="sv-SE"/>
        </w:rPr>
        <w:t>ska</w:t>
      </w:r>
      <w:r w:rsidRPr="00A50800">
        <w:rPr>
          <w:lang w:val="sv-SE"/>
        </w:rPr>
        <w:t>, i förekommande fall, även lämnas till marknadsplatsen och offentliggöras enligt marknadsplatsens regler.</w:t>
      </w:r>
      <w:r w:rsidRPr="00A50800">
        <w:rPr>
          <w:lang w:val="sv-SE"/>
        </w:rPr>
        <w:br/>
      </w:r>
      <w:r w:rsidRPr="00437F01">
        <w:rPr>
          <w:i/>
        </w:rPr>
        <w:t>Notices shall, if applicable, also be given to the market place and be made public in accordance with the rules applicable to such market place.</w:t>
      </w:r>
    </w:p>
    <w:p w14:paraId="0DBFE16F" w14:textId="77777777" w:rsidR="00F3012E" w:rsidRPr="00D04C29" w:rsidRDefault="00F3012E" w:rsidP="006350FE">
      <w:pPr>
        <w:pStyle w:val="BodyText"/>
        <w:numPr>
          <w:ilvl w:val="0"/>
          <w:numId w:val="56"/>
        </w:numPr>
        <w:spacing w:after="0"/>
        <w:rPr>
          <w:b/>
          <w:bCs/>
        </w:rPr>
      </w:pPr>
      <w:bookmarkStart w:id="64" w:name="_Ref439064597"/>
      <w:proofErr w:type="spellStart"/>
      <w:r w:rsidRPr="00D04C29">
        <w:rPr>
          <w:b/>
          <w:bCs/>
        </w:rPr>
        <w:t>Ändring</w:t>
      </w:r>
      <w:proofErr w:type="spellEnd"/>
      <w:r w:rsidRPr="00D04C29">
        <w:rPr>
          <w:b/>
          <w:bCs/>
        </w:rPr>
        <w:t xml:space="preserve"> </w:t>
      </w:r>
      <w:proofErr w:type="spellStart"/>
      <w:r w:rsidRPr="00D04C29">
        <w:rPr>
          <w:b/>
          <w:bCs/>
        </w:rPr>
        <w:t>av</w:t>
      </w:r>
      <w:proofErr w:type="spellEnd"/>
      <w:r w:rsidRPr="00D04C29">
        <w:rPr>
          <w:b/>
          <w:bCs/>
        </w:rPr>
        <w:t xml:space="preserve"> </w:t>
      </w:r>
      <w:proofErr w:type="spellStart"/>
      <w:r w:rsidRPr="00D04C29">
        <w:rPr>
          <w:b/>
          <w:bCs/>
        </w:rPr>
        <w:t>villkoren</w:t>
      </w:r>
      <w:proofErr w:type="spellEnd"/>
      <w:r w:rsidRPr="00D04C29">
        <w:rPr>
          <w:b/>
          <w:bCs/>
        </w:rPr>
        <w:t>/</w:t>
      </w:r>
      <w:r w:rsidRPr="00D04C29">
        <w:rPr>
          <w:b/>
          <w:bCs/>
          <w:i/>
        </w:rPr>
        <w:t>Amendments of the terms and conditions</w:t>
      </w:r>
      <w:bookmarkEnd w:id="64"/>
    </w:p>
    <w:p w14:paraId="15381B92" w14:textId="77777777" w:rsidR="00F3012E" w:rsidRDefault="00F3012E" w:rsidP="00F3012E">
      <w:pPr>
        <w:pStyle w:val="BodyText"/>
        <w:ind w:left="720"/>
        <w:rPr>
          <w:i/>
        </w:rPr>
      </w:pPr>
      <w:r w:rsidRPr="00A50800">
        <w:rPr>
          <w:lang w:val="sv-SE"/>
        </w:rPr>
        <w:t>Bolaget äger rätt att besluta om ändring av dessa villkor i den mån lagstiftning, domstolsavgörande eller myndighetsbeslut så kräver eller om det i övrigt – enligt Bolagets bedömning – av praktiska skäl är ändamålsenligt eller nödvändigt och Options</w:t>
      </w:r>
      <w:r>
        <w:rPr>
          <w:lang w:val="sv-SE"/>
        </w:rPr>
        <w:t>inne</w:t>
      </w:r>
      <w:r w:rsidRPr="00A50800">
        <w:rPr>
          <w:lang w:val="sv-SE"/>
        </w:rPr>
        <w:t xml:space="preserve">havarnas </w:t>
      </w:r>
      <w:r w:rsidRPr="00A50800">
        <w:rPr>
          <w:lang w:val="sv-SE"/>
        </w:rPr>
        <w:lastRenderedPageBreak/>
        <w:t>rättigheter inte i något väsentligt avseende försämras.</w:t>
      </w:r>
      <w:r w:rsidRPr="00A50800">
        <w:rPr>
          <w:lang w:val="sv-SE"/>
        </w:rPr>
        <w:br/>
      </w:r>
      <w:r w:rsidRPr="00437F01">
        <w:rPr>
          <w:i/>
        </w:rPr>
        <w:t>The Company is entitled to amend these terms</w:t>
      </w:r>
      <w:r>
        <w:rPr>
          <w:i/>
        </w:rPr>
        <w:t xml:space="preserve"> and conditions</w:t>
      </w:r>
      <w:r w:rsidRPr="00437F01">
        <w:rPr>
          <w:i/>
        </w:rPr>
        <w:t xml:space="preserve"> to the extent it is required by legislation, court decisions or decisions of authorities, or if there under other circumstances – according to the Company's opinion – are practical reasons that are appropriate or necessary and the </w:t>
      </w:r>
      <w:r>
        <w:rPr>
          <w:i/>
        </w:rPr>
        <w:t>Warrant Holder</w:t>
      </w:r>
      <w:r w:rsidRPr="00437F01">
        <w:rPr>
          <w:i/>
        </w:rPr>
        <w:t>s' rights are not materially impaired.</w:t>
      </w:r>
    </w:p>
    <w:p w14:paraId="24866504" w14:textId="77777777" w:rsidR="00F3012E" w:rsidRPr="00D04C29" w:rsidRDefault="00F3012E" w:rsidP="006350FE">
      <w:pPr>
        <w:pStyle w:val="BodyText"/>
        <w:numPr>
          <w:ilvl w:val="0"/>
          <w:numId w:val="56"/>
        </w:numPr>
        <w:spacing w:after="0"/>
        <w:rPr>
          <w:b/>
          <w:bCs/>
          <w:lang w:val="sv-SE"/>
        </w:rPr>
      </w:pPr>
      <w:r w:rsidRPr="00D04C29">
        <w:rPr>
          <w:b/>
          <w:bCs/>
          <w:lang w:val="sv-SE"/>
        </w:rPr>
        <w:t>Sekretess/</w:t>
      </w:r>
      <w:proofErr w:type="spellStart"/>
      <w:r w:rsidRPr="00D04C29">
        <w:rPr>
          <w:b/>
          <w:bCs/>
          <w:i/>
          <w:lang w:val="sv-SE"/>
        </w:rPr>
        <w:t>Confidentiality</w:t>
      </w:r>
      <w:proofErr w:type="spellEnd"/>
    </w:p>
    <w:p w14:paraId="52DE0E0A" w14:textId="77777777" w:rsidR="00F3012E" w:rsidRPr="00437F01" w:rsidRDefault="00F3012E" w:rsidP="00F3012E">
      <w:pPr>
        <w:pStyle w:val="BodyText"/>
        <w:ind w:left="720"/>
      </w:pPr>
      <w:r w:rsidRPr="00A50800">
        <w:rPr>
          <w:lang w:val="sv-SE"/>
        </w:rPr>
        <w:t xml:space="preserve">Bolaget, Banken eller Euroclear får ej obehörigen till tredje man lämna ut uppgift om Optionsinnehavare. Bolaget äger rätt att få ut följande uppgifter från Euroclear om </w:t>
      </w:r>
      <w:r>
        <w:rPr>
          <w:lang w:val="sv-SE"/>
        </w:rPr>
        <w:t>Optionsinnehavare</w:t>
      </w:r>
      <w:r w:rsidRPr="00A50800">
        <w:rPr>
          <w:lang w:val="sv-SE"/>
        </w:rPr>
        <w:t xml:space="preserve">s konto i Bolagets avstämningsregister: (i) </w:t>
      </w:r>
      <w:r w:rsidRPr="00D00630">
        <w:rPr>
          <w:lang w:val="sv-SE"/>
        </w:rPr>
        <w:t>Optionsinnehavare</w:t>
      </w:r>
      <w:r w:rsidRPr="00A50800">
        <w:rPr>
          <w:lang w:val="sv-SE"/>
        </w:rPr>
        <w:t>s namn, personnummer eller annat identifikationsnummer samt postadress och (ii) antal Teckningsoptioner.</w:t>
      </w:r>
      <w:r w:rsidRPr="00A50800">
        <w:rPr>
          <w:lang w:val="sv-SE"/>
        </w:rPr>
        <w:br/>
      </w:r>
      <w:r w:rsidRPr="00437F01">
        <w:rPr>
          <w:i/>
        </w:rPr>
        <w:t xml:space="preserve">The Company, the Bank or Euroclear may not without necessary authorization disclose information regarding the </w:t>
      </w:r>
      <w:r>
        <w:rPr>
          <w:i/>
        </w:rPr>
        <w:t>Warrant Holder</w:t>
      </w:r>
      <w:r w:rsidRPr="00437F01">
        <w:rPr>
          <w:i/>
        </w:rPr>
        <w:t xml:space="preserve">s to third parties. The Company shall be entitled to the following information from Euroclear about the </w:t>
      </w:r>
      <w:r>
        <w:rPr>
          <w:i/>
        </w:rPr>
        <w:t>Warrant Holder</w:t>
      </w:r>
      <w:r w:rsidRPr="00437F01">
        <w:rPr>
          <w:i/>
        </w:rPr>
        <w:t>'s account in the share register of the Company: (</w:t>
      </w:r>
      <w:proofErr w:type="spellStart"/>
      <w:r w:rsidRPr="00437F01">
        <w:rPr>
          <w:i/>
        </w:rPr>
        <w:t>i</w:t>
      </w:r>
      <w:proofErr w:type="spellEnd"/>
      <w:r w:rsidRPr="00437F01">
        <w:rPr>
          <w:i/>
        </w:rPr>
        <w:t xml:space="preserve">) the </w:t>
      </w:r>
      <w:r>
        <w:rPr>
          <w:i/>
        </w:rPr>
        <w:t>Warrant Holder</w:t>
      </w:r>
      <w:r w:rsidRPr="00437F01">
        <w:rPr>
          <w:i/>
        </w:rPr>
        <w:t>'s name, personal identity number or other identity number and address and (ii) the number of Warrants.</w:t>
      </w:r>
    </w:p>
    <w:p w14:paraId="2BCD6954" w14:textId="77777777" w:rsidR="00F3012E" w:rsidRPr="00D04C29" w:rsidRDefault="00F3012E" w:rsidP="006350FE">
      <w:pPr>
        <w:pStyle w:val="BodyText"/>
        <w:numPr>
          <w:ilvl w:val="0"/>
          <w:numId w:val="56"/>
        </w:numPr>
        <w:spacing w:after="0"/>
        <w:rPr>
          <w:b/>
          <w:bCs/>
        </w:rPr>
      </w:pPr>
      <w:proofErr w:type="spellStart"/>
      <w:r w:rsidRPr="00D04C29">
        <w:rPr>
          <w:b/>
          <w:bCs/>
        </w:rPr>
        <w:t>Begränsning</w:t>
      </w:r>
      <w:proofErr w:type="spellEnd"/>
      <w:r w:rsidRPr="00D04C29">
        <w:rPr>
          <w:b/>
          <w:bCs/>
        </w:rPr>
        <w:t xml:space="preserve"> </w:t>
      </w:r>
      <w:proofErr w:type="spellStart"/>
      <w:r w:rsidRPr="00D04C29">
        <w:rPr>
          <w:b/>
          <w:bCs/>
        </w:rPr>
        <w:t>av</w:t>
      </w:r>
      <w:proofErr w:type="spellEnd"/>
      <w:r w:rsidRPr="00D04C29">
        <w:rPr>
          <w:b/>
          <w:bCs/>
        </w:rPr>
        <w:t xml:space="preserve"> </w:t>
      </w:r>
      <w:proofErr w:type="spellStart"/>
      <w:r w:rsidRPr="00D04C29">
        <w:rPr>
          <w:b/>
          <w:bCs/>
        </w:rPr>
        <w:t>Bolagets</w:t>
      </w:r>
      <w:proofErr w:type="spellEnd"/>
      <w:r w:rsidRPr="00D04C29">
        <w:rPr>
          <w:b/>
          <w:bCs/>
        </w:rPr>
        <w:t xml:space="preserve">, </w:t>
      </w:r>
      <w:proofErr w:type="spellStart"/>
      <w:r w:rsidRPr="00D04C29">
        <w:rPr>
          <w:b/>
          <w:bCs/>
        </w:rPr>
        <w:t>Bankens</w:t>
      </w:r>
      <w:proofErr w:type="spellEnd"/>
      <w:r w:rsidRPr="00D04C29">
        <w:rPr>
          <w:b/>
          <w:bCs/>
        </w:rPr>
        <w:t xml:space="preserve"> </w:t>
      </w:r>
      <w:proofErr w:type="spellStart"/>
      <w:r w:rsidRPr="00D04C29">
        <w:rPr>
          <w:b/>
          <w:bCs/>
        </w:rPr>
        <w:t>och</w:t>
      </w:r>
      <w:proofErr w:type="spellEnd"/>
      <w:r w:rsidRPr="00D04C29">
        <w:rPr>
          <w:b/>
          <w:bCs/>
        </w:rPr>
        <w:t xml:space="preserve"> </w:t>
      </w:r>
      <w:proofErr w:type="spellStart"/>
      <w:r w:rsidRPr="00D04C29">
        <w:rPr>
          <w:b/>
          <w:bCs/>
        </w:rPr>
        <w:t>Euroclears</w:t>
      </w:r>
      <w:proofErr w:type="spellEnd"/>
      <w:r w:rsidRPr="00D04C29">
        <w:rPr>
          <w:b/>
          <w:bCs/>
        </w:rPr>
        <w:t xml:space="preserve"> </w:t>
      </w:r>
      <w:proofErr w:type="spellStart"/>
      <w:r w:rsidRPr="00D04C29">
        <w:rPr>
          <w:b/>
          <w:bCs/>
        </w:rPr>
        <w:t>ansvar</w:t>
      </w:r>
      <w:proofErr w:type="spellEnd"/>
      <w:r w:rsidRPr="00D04C29">
        <w:rPr>
          <w:b/>
          <w:bCs/>
        </w:rPr>
        <w:t>/</w:t>
      </w:r>
      <w:r w:rsidRPr="00D04C29">
        <w:rPr>
          <w:b/>
          <w:bCs/>
          <w:i/>
        </w:rPr>
        <w:t xml:space="preserve">Limitation of the Company's, the Bank's and the </w:t>
      </w:r>
      <w:r>
        <w:rPr>
          <w:b/>
          <w:bCs/>
          <w:i/>
        </w:rPr>
        <w:t>Euroclear</w:t>
      </w:r>
      <w:r w:rsidRPr="00D04C29">
        <w:rPr>
          <w:b/>
          <w:bCs/>
          <w:i/>
        </w:rPr>
        <w:t>'</w:t>
      </w:r>
      <w:r>
        <w:rPr>
          <w:b/>
          <w:bCs/>
          <w:i/>
        </w:rPr>
        <w:t xml:space="preserve">s </w:t>
      </w:r>
      <w:r w:rsidRPr="00D04C29">
        <w:rPr>
          <w:b/>
          <w:bCs/>
          <w:i/>
        </w:rPr>
        <w:t>liability</w:t>
      </w:r>
    </w:p>
    <w:p w14:paraId="024E913D" w14:textId="77777777" w:rsidR="00F3012E" w:rsidRPr="00437F01" w:rsidRDefault="00F3012E" w:rsidP="006350FE">
      <w:pPr>
        <w:pStyle w:val="BodyText"/>
        <w:numPr>
          <w:ilvl w:val="1"/>
          <w:numId w:val="56"/>
        </w:numPr>
      </w:pPr>
      <w:r w:rsidRPr="00A50800">
        <w:rPr>
          <w:lang w:val="sv-SE"/>
        </w:rPr>
        <w:t xml:space="preserve">I fråga om de på Bolaget, Banken och Euroclear ankommande åtgärderna gäller – beträffande Euroclear med betraktande av bestämmelserna i lagen om värdepapperscentraler och kontoföring av finansiella instrument – att ansvarighet inte kan göras gällande för skada som beror på svenskt eller utländskt lagbud, svensk eller utländsk </w:t>
      </w:r>
      <w:proofErr w:type="gramStart"/>
      <w:r w:rsidRPr="00A50800">
        <w:rPr>
          <w:lang w:val="sv-SE"/>
        </w:rPr>
        <w:t>myndighets åtgärd</w:t>
      </w:r>
      <w:proofErr w:type="gramEnd"/>
      <w:r w:rsidRPr="00A50800">
        <w:rPr>
          <w:lang w:val="sv-SE"/>
        </w:rPr>
        <w:t>, krigshändelse, strejk, blockad, bojkott, lockout eller annan liknande omständighet. Förbehållet i fråga om strejk, blockad, bojkott och lockout gäller även om Bolaget, Banken eller Euroclear själv vidtar eller är föremål för sådan konfliktåtgärd.</w:t>
      </w:r>
      <w:r w:rsidRPr="00A50800">
        <w:rPr>
          <w:lang w:val="sv-SE"/>
        </w:rPr>
        <w:br/>
      </w:r>
      <w:r w:rsidRPr="00437F01">
        <w:rPr>
          <w:i/>
        </w:rPr>
        <w:t>With respect to the actions incumbent on the Company, the Bank or Euroclear, none of the Company, the Bank or Euroclear – in the case of Euroclear, subject to the provisions of the Central Securities Depositories and Swedish Financial Instruments Accounts Act – shall be held liable for damage arising as a result of Swedish or foreign legislation, any action of a Swedish or foreign authority, acts of war, strikes, blockades, boycotts, lockouts, or similar circumstances. The exemption in respect of strikes, blockades, boycotts and lockouts applies also in cases where the Company, the Bank or Euroclear itself takes or is the subject of such measure or conflict.</w:t>
      </w:r>
    </w:p>
    <w:p w14:paraId="1B267CD9" w14:textId="77777777" w:rsidR="00F3012E" w:rsidRPr="00437F01" w:rsidRDefault="00F3012E" w:rsidP="006350FE">
      <w:pPr>
        <w:pStyle w:val="BodyText"/>
        <w:numPr>
          <w:ilvl w:val="1"/>
          <w:numId w:val="56"/>
        </w:numPr>
      </w:pPr>
      <w:r w:rsidRPr="00A50800">
        <w:rPr>
          <w:lang w:val="sv-SE"/>
        </w:rPr>
        <w:t xml:space="preserve">Bolaget, Banken eller Euroclear är inte heller skyldig att i andra fall ersätta skada som uppkommer om Bolaget, Banken eller Euroclear varit normalt aktsam. Bolaget, Banken och Euroclear är i intet fall ansvarig för indirekt skada. Härvid uppmärksammas </w:t>
      </w:r>
      <w:r>
        <w:rPr>
          <w:lang w:val="sv-SE"/>
        </w:rPr>
        <w:t>Optionsinnehavare</w:t>
      </w:r>
      <w:r w:rsidRPr="00A50800">
        <w:rPr>
          <w:lang w:val="sv-SE"/>
        </w:rPr>
        <w:t xml:space="preserve"> på att denne ansvarar för att handlingar som Bolaget tillställts är riktiga och behörigen undertecknade samt att Bolaget underrättas om ändringar som sker beträffande lämnade uppgifter.</w:t>
      </w:r>
      <w:r w:rsidRPr="00A50800">
        <w:rPr>
          <w:lang w:val="sv-SE"/>
        </w:rPr>
        <w:br/>
      </w:r>
      <w:r w:rsidRPr="00437F01">
        <w:rPr>
          <w:i/>
        </w:rPr>
        <w:t xml:space="preserve">Furthermore neither shall the Company, the Bank nor Euroclear shall be liable for damage arising in other cases if the Company, the Bank or Euroclear, as appropriate, has exercised normal caution. In addition, under no circumstances shall the Company, the Bank or Euroclear be held liable for any indirect damage. A </w:t>
      </w:r>
      <w:r>
        <w:rPr>
          <w:i/>
        </w:rPr>
        <w:t>Warrant Holder</w:t>
      </w:r>
      <w:r w:rsidRPr="00437F01">
        <w:rPr>
          <w:i/>
        </w:rPr>
        <w:t xml:space="preserve"> is hereby made aware that he/she/it is responsible for that the documents sent to the Company are correct and have been duly signed and that the Company is informed of changes that are made </w:t>
      </w:r>
      <w:proofErr w:type="gramStart"/>
      <w:r w:rsidRPr="00437F01">
        <w:rPr>
          <w:i/>
        </w:rPr>
        <w:t>with regard to</w:t>
      </w:r>
      <w:proofErr w:type="gramEnd"/>
      <w:r w:rsidRPr="00437F01">
        <w:rPr>
          <w:i/>
        </w:rPr>
        <w:t xml:space="preserve"> information provided.</w:t>
      </w:r>
    </w:p>
    <w:p w14:paraId="2E904057" w14:textId="77777777" w:rsidR="00F3012E" w:rsidRPr="00437F01" w:rsidRDefault="00F3012E" w:rsidP="006350FE">
      <w:pPr>
        <w:pStyle w:val="BodyText"/>
        <w:numPr>
          <w:ilvl w:val="1"/>
          <w:numId w:val="56"/>
        </w:numPr>
      </w:pPr>
      <w:r w:rsidRPr="00A50800">
        <w:rPr>
          <w:lang w:val="sv-SE"/>
        </w:rPr>
        <w:t xml:space="preserve">Föreligger hinder för Bolaget, Banken eller Euroclear att verkställa betalning eller vidta annan åtgärd på grund av omständighet som anges i första stycket, får åtgärden uppskjutas till dess hindret har upphört. Om Bolaget till följd av en sådan omständighet är förhindrat att verkställa eller ta emot betalning </w:t>
      </w:r>
      <w:r>
        <w:rPr>
          <w:lang w:val="sv-SE"/>
        </w:rPr>
        <w:t>ska</w:t>
      </w:r>
      <w:r w:rsidRPr="00A50800">
        <w:rPr>
          <w:lang w:val="sv-SE"/>
        </w:rPr>
        <w:t xml:space="preserve"> Bolaget respektive </w:t>
      </w:r>
      <w:r>
        <w:rPr>
          <w:lang w:val="sv-SE"/>
        </w:rPr>
        <w:t>Optionsinnehavare</w:t>
      </w:r>
      <w:r w:rsidRPr="00A50800">
        <w:rPr>
          <w:lang w:val="sv-SE"/>
        </w:rPr>
        <w:t xml:space="preserve">n inte vara skyldig </w:t>
      </w:r>
      <w:r w:rsidRPr="00A50800">
        <w:rPr>
          <w:lang w:val="sv-SE"/>
        </w:rPr>
        <w:lastRenderedPageBreak/>
        <w:t>att erlägga dröjsmålsränta.</w:t>
      </w:r>
      <w:r w:rsidRPr="00A50800">
        <w:rPr>
          <w:lang w:val="sv-SE"/>
        </w:rPr>
        <w:br/>
      </w:r>
      <w:r w:rsidRPr="00437F01">
        <w:rPr>
          <w:i/>
        </w:rPr>
        <w:t xml:space="preserve">If the Company, the Bank or Euroclear is prevented from making payment or taking any measure due to a circumstance referred to in the first paragraph, the taking of such measure may be postponed until such hinder no longer exists. If the Company </w:t>
      </w:r>
      <w:proofErr w:type="gramStart"/>
      <w:r w:rsidRPr="00437F01">
        <w:rPr>
          <w:i/>
        </w:rPr>
        <w:t>as a result of</w:t>
      </w:r>
      <w:proofErr w:type="gramEnd"/>
      <w:r w:rsidRPr="00437F01">
        <w:rPr>
          <w:i/>
        </w:rPr>
        <w:t xml:space="preserve"> such a circumstance is prevented from making or receiving a payment, the Company or the </w:t>
      </w:r>
      <w:r>
        <w:rPr>
          <w:i/>
        </w:rPr>
        <w:t>Warrant Holder</w:t>
      </w:r>
      <w:r w:rsidRPr="00437F01">
        <w:rPr>
          <w:i/>
        </w:rPr>
        <w:t xml:space="preserve"> shall not be required to pay interest.</w:t>
      </w:r>
    </w:p>
    <w:p w14:paraId="6F011A3A" w14:textId="77777777" w:rsidR="00F3012E" w:rsidRPr="00D04C29" w:rsidRDefault="00F3012E" w:rsidP="006350FE">
      <w:pPr>
        <w:pStyle w:val="BodyText"/>
        <w:numPr>
          <w:ilvl w:val="0"/>
          <w:numId w:val="56"/>
        </w:numPr>
        <w:spacing w:after="0"/>
        <w:rPr>
          <w:b/>
          <w:bCs/>
          <w:lang w:val="sv-SE"/>
        </w:rPr>
      </w:pPr>
      <w:r w:rsidRPr="00D04C29">
        <w:rPr>
          <w:b/>
          <w:bCs/>
          <w:lang w:val="sv-SE"/>
        </w:rPr>
        <w:t>Tillämplig lag och forum/</w:t>
      </w:r>
      <w:proofErr w:type="spellStart"/>
      <w:r w:rsidRPr="00D04C29">
        <w:rPr>
          <w:b/>
          <w:bCs/>
          <w:i/>
          <w:lang w:val="sv-SE"/>
        </w:rPr>
        <w:t>Applicable</w:t>
      </w:r>
      <w:proofErr w:type="spellEnd"/>
      <w:r w:rsidRPr="00D04C29">
        <w:rPr>
          <w:b/>
          <w:bCs/>
          <w:i/>
          <w:lang w:val="sv-SE"/>
        </w:rPr>
        <w:t xml:space="preserve"> </w:t>
      </w:r>
      <w:proofErr w:type="spellStart"/>
      <w:r w:rsidRPr="00D04C29">
        <w:rPr>
          <w:b/>
          <w:bCs/>
          <w:i/>
          <w:lang w:val="sv-SE"/>
        </w:rPr>
        <w:t>law</w:t>
      </w:r>
      <w:proofErr w:type="spellEnd"/>
      <w:r w:rsidRPr="00D04C29">
        <w:rPr>
          <w:b/>
          <w:bCs/>
          <w:i/>
          <w:lang w:val="sv-SE"/>
        </w:rPr>
        <w:t xml:space="preserve"> and </w:t>
      </w:r>
      <w:proofErr w:type="spellStart"/>
      <w:r w:rsidRPr="00D04C29">
        <w:rPr>
          <w:b/>
          <w:bCs/>
          <w:i/>
          <w:lang w:val="sv-SE"/>
        </w:rPr>
        <w:t>dispute</w:t>
      </w:r>
      <w:proofErr w:type="spellEnd"/>
      <w:r w:rsidRPr="00D04C29">
        <w:rPr>
          <w:b/>
          <w:bCs/>
          <w:i/>
          <w:lang w:val="sv-SE"/>
        </w:rPr>
        <w:t xml:space="preserve"> resolution</w:t>
      </w:r>
    </w:p>
    <w:p w14:paraId="18580DFF" w14:textId="77777777" w:rsidR="00F3012E" w:rsidRPr="006B6AC0" w:rsidRDefault="00F3012E" w:rsidP="006350FE">
      <w:pPr>
        <w:pStyle w:val="BodyText"/>
        <w:numPr>
          <w:ilvl w:val="1"/>
          <w:numId w:val="56"/>
        </w:numPr>
        <w:rPr>
          <w:lang w:val="en-US"/>
        </w:rPr>
      </w:pPr>
      <w:r w:rsidRPr="00A50800">
        <w:rPr>
          <w:lang w:val="sv-SE"/>
        </w:rPr>
        <w:t xml:space="preserve">Dessa villkor och alla rättsliga frågor med anknytning till Teckningsoptionerna </w:t>
      </w:r>
      <w:r>
        <w:rPr>
          <w:lang w:val="sv-SE"/>
        </w:rPr>
        <w:t>ska</w:t>
      </w:r>
      <w:r w:rsidRPr="00A50800">
        <w:rPr>
          <w:lang w:val="sv-SE"/>
        </w:rPr>
        <w:t xml:space="preserve"> avgöras och tolkas enligt svensk rätt.</w:t>
      </w:r>
      <w:r w:rsidRPr="00A50800">
        <w:rPr>
          <w:lang w:val="sv-SE"/>
        </w:rPr>
        <w:br/>
      </w:r>
      <w:r w:rsidRPr="006B6AC0">
        <w:rPr>
          <w:i/>
          <w:lang w:val="en-US"/>
        </w:rPr>
        <w:t xml:space="preserve">These </w:t>
      </w:r>
      <w:r>
        <w:rPr>
          <w:i/>
          <w:lang w:val="en-US"/>
        </w:rPr>
        <w:t>terms and conditions</w:t>
      </w:r>
      <w:r w:rsidRPr="006B6AC0">
        <w:rPr>
          <w:i/>
          <w:lang w:val="en-US"/>
        </w:rPr>
        <w:t xml:space="preserve"> and relating legal matters with connection to the Warrants shall be governed and interpreted by Swedish law.</w:t>
      </w:r>
    </w:p>
    <w:p w14:paraId="051DAAE9" w14:textId="77777777" w:rsidR="00F3012E" w:rsidRPr="00437F01" w:rsidRDefault="00F3012E" w:rsidP="006350FE">
      <w:pPr>
        <w:pStyle w:val="BodyText"/>
        <w:numPr>
          <w:ilvl w:val="1"/>
          <w:numId w:val="56"/>
        </w:numPr>
      </w:pPr>
      <w:r w:rsidRPr="00A50800">
        <w:rPr>
          <w:lang w:val="sv-SE"/>
        </w:rPr>
        <w:t xml:space="preserve">Tvist i anledning av dessa villkor </w:t>
      </w:r>
      <w:r>
        <w:rPr>
          <w:lang w:val="sv-SE"/>
        </w:rPr>
        <w:t>ska</w:t>
      </w:r>
      <w:r w:rsidRPr="00A50800">
        <w:rPr>
          <w:lang w:val="sv-SE"/>
        </w:rPr>
        <w:t xml:space="preserve"> slutligt avgöras genom skiljedom </w:t>
      </w:r>
      <w:r w:rsidRPr="00A50800">
        <w:rPr>
          <w:szCs w:val="22"/>
          <w:lang w:val="sv-SE"/>
        </w:rPr>
        <w:t xml:space="preserve">administrerad vid SCC Skiljedomsinstitut. </w:t>
      </w:r>
      <w:r w:rsidRPr="00A50800">
        <w:rPr>
          <w:lang w:val="sv-SE"/>
        </w:rPr>
        <w:br/>
      </w:r>
      <w:r w:rsidRPr="00437F01">
        <w:rPr>
          <w:i/>
        </w:rPr>
        <w:t xml:space="preserve">Any dispute with respect to these </w:t>
      </w:r>
      <w:r>
        <w:rPr>
          <w:i/>
        </w:rPr>
        <w:t>terms</w:t>
      </w:r>
      <w:r w:rsidRPr="00437F01">
        <w:rPr>
          <w:i/>
        </w:rPr>
        <w:t xml:space="preserve"> </w:t>
      </w:r>
      <w:r>
        <w:rPr>
          <w:i/>
        </w:rPr>
        <w:t xml:space="preserve">and conditions </w:t>
      </w:r>
      <w:r w:rsidRPr="00437F01">
        <w:rPr>
          <w:i/>
        </w:rPr>
        <w:t xml:space="preserve">shall be decided through </w:t>
      </w:r>
      <w:r w:rsidRPr="00437F01">
        <w:rPr>
          <w:i/>
          <w:szCs w:val="22"/>
        </w:rPr>
        <w:t>arbitration according to the Arbitration Rules of the SCC Arbitration Institute.</w:t>
      </w:r>
    </w:p>
    <w:p w14:paraId="5E3253C1" w14:textId="77777777" w:rsidR="00F3012E" w:rsidRPr="00437F01" w:rsidRDefault="00F3012E" w:rsidP="006350FE">
      <w:pPr>
        <w:pStyle w:val="BodyText"/>
        <w:numPr>
          <w:ilvl w:val="1"/>
          <w:numId w:val="56"/>
        </w:numPr>
      </w:pPr>
      <w:r w:rsidRPr="00A50800">
        <w:rPr>
          <w:lang w:val="sv-SE"/>
        </w:rPr>
        <w:t xml:space="preserve">Skiljeförfarandet </w:t>
      </w:r>
      <w:r>
        <w:rPr>
          <w:lang w:val="sv-SE"/>
        </w:rPr>
        <w:t>ska</w:t>
      </w:r>
      <w:r w:rsidRPr="00A50800">
        <w:rPr>
          <w:lang w:val="sv-SE"/>
        </w:rPr>
        <w:t xml:space="preserve"> hållas i Stockholm. Det svenska språket </w:t>
      </w:r>
      <w:r>
        <w:rPr>
          <w:lang w:val="sv-SE"/>
        </w:rPr>
        <w:t>ska</w:t>
      </w:r>
      <w:r w:rsidRPr="00A50800">
        <w:rPr>
          <w:lang w:val="sv-SE"/>
        </w:rPr>
        <w:t xml:space="preserve"> användas i förfarandet.</w:t>
      </w:r>
      <w:r w:rsidRPr="00A50800">
        <w:rPr>
          <w:lang w:val="sv-SE"/>
        </w:rPr>
        <w:br/>
      </w:r>
      <w:r w:rsidRPr="00437F01">
        <w:rPr>
          <w:i/>
        </w:rPr>
        <w:t>The arbitration shall take place in Stockholm. The Swedish language shall be used during the proceedings.</w:t>
      </w:r>
    </w:p>
    <w:p w14:paraId="4BC40C46" w14:textId="77777777" w:rsidR="00F3012E" w:rsidRPr="00437F01" w:rsidRDefault="00F3012E" w:rsidP="006350FE">
      <w:pPr>
        <w:pStyle w:val="BodyText"/>
        <w:numPr>
          <w:ilvl w:val="1"/>
          <w:numId w:val="56"/>
        </w:numPr>
      </w:pPr>
      <w:r w:rsidRPr="00A50800">
        <w:rPr>
          <w:lang w:val="sv-SE"/>
        </w:rPr>
        <w:t xml:space="preserve">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Om Teckningsoptioner överlåts till en tredje person </w:t>
      </w:r>
      <w:r>
        <w:rPr>
          <w:lang w:val="sv-SE"/>
        </w:rPr>
        <w:t>ska</w:t>
      </w:r>
      <w:r w:rsidRPr="00A50800">
        <w:rPr>
          <w:lang w:val="sv-SE"/>
        </w:rPr>
        <w:t xml:space="preserve"> sådan tredje person automatiskt vara bunden av denna skiljeklausul.</w:t>
      </w:r>
      <w:r w:rsidRPr="00A50800">
        <w:rPr>
          <w:lang w:val="sv-SE"/>
        </w:rPr>
        <w:br/>
      </w:r>
      <w:r w:rsidRPr="00437F01">
        <w:rPr>
          <w:i/>
        </w:rPr>
        <w:t xml:space="preserve">Arbitration called for in accordance with this arbitration clause is subject to confidentiality. The confidentiality applies for all information which is obtained during the procedure as well as the decision or the arbitration decision which is communicated </w:t>
      </w:r>
      <w:proofErr w:type="gramStart"/>
      <w:r w:rsidRPr="00437F01">
        <w:rPr>
          <w:i/>
        </w:rPr>
        <w:t>as a result of</w:t>
      </w:r>
      <w:proofErr w:type="gramEnd"/>
      <w:r w:rsidRPr="00437F01">
        <w:rPr>
          <w:i/>
        </w:rPr>
        <w:t xml:space="preserve"> the procedure. Information covered by confidentiality may not in any form be forwarded to a third party. If the Warrants are transferred to a third party, such third party shall automatically be bound by this arbitration clause.</w:t>
      </w:r>
    </w:p>
    <w:p w14:paraId="3B17A841" w14:textId="77777777" w:rsidR="00F3012E" w:rsidRPr="00D04C29" w:rsidRDefault="00F3012E" w:rsidP="006350FE">
      <w:pPr>
        <w:pStyle w:val="BodyText"/>
        <w:numPr>
          <w:ilvl w:val="0"/>
          <w:numId w:val="56"/>
        </w:numPr>
        <w:spacing w:after="0"/>
        <w:rPr>
          <w:b/>
          <w:bCs/>
          <w:lang w:val="sv-SE"/>
        </w:rPr>
      </w:pPr>
      <w:r w:rsidRPr="00D04C29">
        <w:rPr>
          <w:b/>
          <w:bCs/>
          <w:lang w:val="sv-SE"/>
        </w:rPr>
        <w:t>Överlåtelse och äganderätt till Teckningsoptioner/</w:t>
      </w:r>
      <w:r w:rsidRPr="00D04C29">
        <w:rPr>
          <w:b/>
          <w:bCs/>
          <w:i/>
          <w:lang w:val="sv-SE"/>
        </w:rPr>
        <w:t xml:space="preserve">Transfer and </w:t>
      </w:r>
      <w:proofErr w:type="spellStart"/>
      <w:r>
        <w:rPr>
          <w:b/>
          <w:bCs/>
          <w:i/>
          <w:lang w:val="sv-SE"/>
        </w:rPr>
        <w:t>t</w:t>
      </w:r>
      <w:r w:rsidRPr="00D04C29">
        <w:rPr>
          <w:b/>
          <w:bCs/>
          <w:i/>
          <w:lang w:val="sv-SE"/>
        </w:rPr>
        <w:t>itle</w:t>
      </w:r>
      <w:proofErr w:type="spellEnd"/>
      <w:r w:rsidRPr="00D04C29">
        <w:rPr>
          <w:b/>
          <w:bCs/>
          <w:i/>
          <w:lang w:val="sv-SE"/>
        </w:rPr>
        <w:t xml:space="preserve"> to </w:t>
      </w:r>
      <w:proofErr w:type="spellStart"/>
      <w:r w:rsidRPr="00D04C29">
        <w:rPr>
          <w:b/>
          <w:bCs/>
          <w:i/>
          <w:lang w:val="sv-SE"/>
        </w:rPr>
        <w:t>Warrants</w:t>
      </w:r>
      <w:proofErr w:type="spellEnd"/>
    </w:p>
    <w:p w14:paraId="159EA2C1" w14:textId="77777777" w:rsidR="00F3012E" w:rsidRPr="00437F01" w:rsidRDefault="00F3012E" w:rsidP="00F3012E">
      <w:pPr>
        <w:pStyle w:val="BodyText"/>
        <w:ind w:left="720"/>
      </w:pPr>
      <w:r w:rsidRPr="00A50800">
        <w:rPr>
          <w:lang w:val="sv-SE"/>
        </w:rPr>
        <w:t xml:space="preserve">Överlåtelse av Teckningsoption kan ske genom </w:t>
      </w:r>
      <w:proofErr w:type="gramStart"/>
      <w:r w:rsidRPr="00A50800">
        <w:rPr>
          <w:lang w:val="sv-SE"/>
        </w:rPr>
        <w:t>ett sedvanlig överlåtelsehandling</w:t>
      </w:r>
      <w:proofErr w:type="gramEnd"/>
      <w:r w:rsidRPr="00A50800">
        <w:rPr>
          <w:lang w:val="sv-SE"/>
        </w:rPr>
        <w:t xml:space="preserve"> och, om avtal föreligger avseende innehav av Teckningsoption i Bolaget, i enlighet med bestämmelserna i sådant avtal.</w:t>
      </w:r>
      <w:r w:rsidRPr="00A50800">
        <w:rPr>
          <w:lang w:val="sv-SE"/>
        </w:rPr>
        <w:br/>
      </w:r>
      <w:r w:rsidRPr="00437F01">
        <w:rPr>
          <w:i/>
        </w:rPr>
        <w:t xml:space="preserve">A transfer of a Warrant may be effected by an instrument of transfer in any usual or </w:t>
      </w:r>
      <w:proofErr w:type="gramStart"/>
      <w:r w:rsidRPr="00437F01">
        <w:rPr>
          <w:i/>
        </w:rPr>
        <w:t>common form</w:t>
      </w:r>
      <w:proofErr w:type="gramEnd"/>
      <w:r w:rsidRPr="00437F01">
        <w:rPr>
          <w:i/>
        </w:rPr>
        <w:t xml:space="preserve">, subject to the terms of any </w:t>
      </w:r>
      <w:r>
        <w:rPr>
          <w:i/>
        </w:rPr>
        <w:t>Warrant Holder</w:t>
      </w:r>
      <w:r w:rsidRPr="00437F01">
        <w:rPr>
          <w:i/>
        </w:rPr>
        <w:t xml:space="preserve"> agreement regarding the holding of Warrants in the Company.</w:t>
      </w:r>
    </w:p>
    <w:p w14:paraId="48E16399" w14:textId="5C733747" w:rsidR="00F3012E" w:rsidRPr="003B12B8" w:rsidRDefault="00F3012E" w:rsidP="003B12B8">
      <w:pPr>
        <w:pStyle w:val="BodyText"/>
        <w:jc w:val="center"/>
      </w:pPr>
      <w:r w:rsidRPr="00437F01">
        <w:t>* * * * *</w:t>
      </w:r>
      <w:bookmarkEnd w:id="17"/>
    </w:p>
    <w:p w14:paraId="402AE2DE" w14:textId="4BC27865" w:rsidR="00C26F7D" w:rsidRDefault="00C26F7D" w:rsidP="00C26F7D">
      <w:pPr>
        <w:pStyle w:val="BodyText"/>
        <w:spacing w:after="0"/>
        <w:rPr>
          <w:szCs w:val="22"/>
          <w:lang w:val="sv-SE"/>
        </w:rPr>
      </w:pPr>
      <w:r>
        <w:rPr>
          <w:szCs w:val="22"/>
        </w:rPr>
        <w:br w:type="page"/>
      </w:r>
    </w:p>
    <w:p w14:paraId="2715659C" w14:textId="6DD5DA76" w:rsidR="00EA349E" w:rsidRPr="008E348A" w:rsidRDefault="00EA349E" w:rsidP="00EA349E">
      <w:pPr>
        <w:pStyle w:val="Heading1"/>
        <w:pBdr>
          <w:bottom w:val="single" w:sz="12" w:space="1" w:color="auto"/>
        </w:pBdr>
        <w:spacing w:line="240" w:lineRule="auto"/>
        <w:jc w:val="right"/>
        <w:rPr>
          <w:rFonts w:ascii="Times New Roman" w:hAnsi="Times New Roman"/>
          <w:szCs w:val="22"/>
          <w:lang w:val="sv-SE"/>
        </w:rPr>
      </w:pPr>
      <w:r w:rsidRPr="008E348A">
        <w:rPr>
          <w:rFonts w:ascii="Times New Roman" w:hAnsi="Times New Roman"/>
          <w:szCs w:val="22"/>
          <w:lang w:val="sv-SE"/>
        </w:rPr>
        <w:lastRenderedPageBreak/>
        <w:t xml:space="preserve">Bilaga </w:t>
      </w:r>
      <w:r w:rsidR="009C520A">
        <w:rPr>
          <w:rFonts w:ascii="Times New Roman" w:hAnsi="Times New Roman"/>
          <w:szCs w:val="22"/>
          <w:lang w:val="sv-SE"/>
        </w:rPr>
        <w:t>5</w:t>
      </w:r>
      <w:r w:rsidRPr="008E348A">
        <w:rPr>
          <w:rFonts w:ascii="Times New Roman" w:hAnsi="Times New Roman"/>
          <w:szCs w:val="22"/>
          <w:lang w:val="sv-SE"/>
        </w:rPr>
        <w:t>d/</w:t>
      </w:r>
      <w:proofErr w:type="spellStart"/>
      <w:r w:rsidRPr="008E348A">
        <w:rPr>
          <w:rFonts w:ascii="Times New Roman" w:hAnsi="Times New Roman"/>
          <w:i/>
          <w:szCs w:val="22"/>
          <w:lang w:val="sv-SE"/>
        </w:rPr>
        <w:t>Exhibit</w:t>
      </w:r>
      <w:proofErr w:type="spellEnd"/>
      <w:r w:rsidRPr="008E348A">
        <w:rPr>
          <w:rFonts w:ascii="Times New Roman" w:hAnsi="Times New Roman"/>
          <w:i/>
          <w:szCs w:val="22"/>
          <w:lang w:val="sv-SE"/>
        </w:rPr>
        <w:t xml:space="preserve"> </w:t>
      </w:r>
      <w:r w:rsidR="009C520A">
        <w:rPr>
          <w:rFonts w:ascii="Times New Roman" w:hAnsi="Times New Roman"/>
          <w:i/>
          <w:szCs w:val="22"/>
          <w:lang w:val="sv-SE"/>
        </w:rPr>
        <w:t>5</w:t>
      </w:r>
      <w:r w:rsidRPr="008E348A">
        <w:rPr>
          <w:rFonts w:ascii="Times New Roman" w:hAnsi="Times New Roman"/>
          <w:i/>
          <w:szCs w:val="22"/>
          <w:lang w:val="sv-SE"/>
        </w:rPr>
        <w:t>d</w:t>
      </w:r>
    </w:p>
    <w:p w14:paraId="7AE7C7D7" w14:textId="77777777" w:rsidR="00EA349E" w:rsidRPr="008E348A" w:rsidRDefault="00EA349E" w:rsidP="00EA349E">
      <w:pPr>
        <w:pStyle w:val="BodyText"/>
        <w:keepNext/>
        <w:pBdr>
          <w:bottom w:val="single" w:sz="12" w:space="1" w:color="auto"/>
        </w:pBdr>
        <w:spacing w:after="0"/>
        <w:rPr>
          <w:b/>
          <w:szCs w:val="22"/>
          <w:lang w:val="sv-SE"/>
        </w:rPr>
      </w:pPr>
      <w:bookmarkStart w:id="65" w:name="_Hlk206167826"/>
      <w:bookmarkStart w:id="66" w:name="_Hlk170325916"/>
      <w:r w:rsidRPr="008E348A">
        <w:rPr>
          <w:b/>
          <w:szCs w:val="22"/>
          <w:lang w:val="sv-SE"/>
        </w:rPr>
        <w:t xml:space="preserve">Beredning av incitamentsprogrammen </w:t>
      </w:r>
      <w:proofErr w:type="gramStart"/>
      <w:r w:rsidRPr="008E348A">
        <w:rPr>
          <w:b/>
          <w:szCs w:val="22"/>
          <w:lang w:val="sv-SE"/>
        </w:rPr>
        <w:t>m.m.</w:t>
      </w:r>
      <w:proofErr w:type="gramEnd"/>
      <w:r w:rsidRPr="008E348A">
        <w:rPr>
          <w:b/>
          <w:szCs w:val="22"/>
          <w:lang w:val="sv-SE"/>
        </w:rPr>
        <w:t xml:space="preserve"> (det noteras att detta </w:t>
      </w:r>
      <w:proofErr w:type="gramStart"/>
      <w:r w:rsidRPr="008E348A">
        <w:rPr>
          <w:b/>
          <w:szCs w:val="22"/>
          <w:lang w:val="sv-SE"/>
        </w:rPr>
        <w:t>är inte</w:t>
      </w:r>
      <w:proofErr w:type="gramEnd"/>
      <w:r w:rsidRPr="008E348A">
        <w:rPr>
          <w:b/>
          <w:szCs w:val="22"/>
          <w:lang w:val="sv-SE"/>
        </w:rPr>
        <w:t xml:space="preserve"> en beslutspunkt)</w:t>
      </w:r>
      <w:bookmarkEnd w:id="65"/>
    </w:p>
    <w:p w14:paraId="28EA8FD3" w14:textId="2005CCF3" w:rsidR="00EA349E" w:rsidRPr="008E348A" w:rsidRDefault="00EA349E" w:rsidP="00EA349E">
      <w:pPr>
        <w:pStyle w:val="BodyText"/>
        <w:keepNext/>
        <w:pBdr>
          <w:bottom w:val="single" w:sz="12" w:space="1" w:color="auto"/>
        </w:pBdr>
        <w:spacing w:after="0"/>
        <w:rPr>
          <w:i/>
          <w:szCs w:val="22"/>
        </w:rPr>
      </w:pPr>
      <w:bookmarkStart w:id="67" w:name="_Hlk206165033"/>
      <w:bookmarkStart w:id="68" w:name="_Hlk170326219"/>
      <w:r w:rsidRPr="008E348A">
        <w:rPr>
          <w:b/>
          <w:i/>
          <w:szCs w:val="22"/>
          <w:lang w:val="en-US"/>
        </w:rPr>
        <w:t>Preparation of incentive programs etc. (it is noted that this is not a</w:t>
      </w:r>
      <w:r w:rsidR="000403FD">
        <w:rPr>
          <w:b/>
          <w:i/>
          <w:szCs w:val="22"/>
          <w:lang w:val="en-US"/>
        </w:rPr>
        <w:t xml:space="preserve">n item </w:t>
      </w:r>
      <w:r w:rsidRPr="008E348A">
        <w:rPr>
          <w:b/>
          <w:i/>
          <w:szCs w:val="22"/>
          <w:lang w:val="en-US"/>
        </w:rPr>
        <w:t>for resolution)</w:t>
      </w:r>
      <w:bookmarkEnd w:id="67"/>
    </w:p>
    <w:p w14:paraId="499C49EC" w14:textId="77777777" w:rsidR="00EA349E" w:rsidRPr="008E348A" w:rsidRDefault="00EA349E" w:rsidP="00EA349E">
      <w:pPr>
        <w:pStyle w:val="BodyText"/>
        <w:spacing w:after="0"/>
        <w:rPr>
          <w:szCs w:val="22"/>
        </w:rPr>
      </w:pPr>
    </w:p>
    <w:p w14:paraId="0BCCCC63" w14:textId="0BFBD588" w:rsidR="00EA349E" w:rsidRPr="008E348A" w:rsidRDefault="00EA349E" w:rsidP="00EA349E">
      <w:pPr>
        <w:rPr>
          <w:szCs w:val="22"/>
        </w:rPr>
      </w:pPr>
      <w:bookmarkStart w:id="69" w:name="_Hlk206170561"/>
      <w:r w:rsidRPr="008E348A">
        <w:rPr>
          <w:szCs w:val="22"/>
        </w:rPr>
        <w:t xml:space="preserve">Förslag </w:t>
      </w:r>
      <w:r w:rsidR="00ED7A82">
        <w:rPr>
          <w:szCs w:val="22"/>
        </w:rPr>
        <w:t xml:space="preserve">avseende </w:t>
      </w:r>
      <w:r w:rsidR="000403FD">
        <w:rPr>
          <w:szCs w:val="22"/>
        </w:rPr>
        <w:t>Prestationsaktieprogram</w:t>
      </w:r>
      <w:r w:rsidRPr="008E348A">
        <w:rPr>
          <w:szCs w:val="22"/>
        </w:rPr>
        <w:t xml:space="preserve"> </w:t>
      </w:r>
      <w:r w:rsidR="009C520A">
        <w:rPr>
          <w:szCs w:val="22"/>
        </w:rPr>
        <w:t>2025/2028:</w:t>
      </w:r>
      <w:r w:rsidR="00ED7A82">
        <w:rPr>
          <w:szCs w:val="22"/>
        </w:rPr>
        <w:t xml:space="preserve">1, </w:t>
      </w:r>
      <w:r w:rsidR="000403FD">
        <w:rPr>
          <w:szCs w:val="22"/>
        </w:rPr>
        <w:t>Prestationsaktieprogram</w:t>
      </w:r>
      <w:r w:rsidRPr="008E348A">
        <w:rPr>
          <w:szCs w:val="22"/>
        </w:rPr>
        <w:t xml:space="preserve"> 202</w:t>
      </w:r>
      <w:r w:rsidR="000403FD">
        <w:rPr>
          <w:szCs w:val="22"/>
        </w:rPr>
        <w:t>5</w:t>
      </w:r>
      <w:r w:rsidRPr="008E348A">
        <w:rPr>
          <w:szCs w:val="22"/>
        </w:rPr>
        <w:t>/202</w:t>
      </w:r>
      <w:r w:rsidR="000403FD">
        <w:rPr>
          <w:szCs w:val="22"/>
        </w:rPr>
        <w:t>8</w:t>
      </w:r>
      <w:r w:rsidRPr="008E348A">
        <w:rPr>
          <w:szCs w:val="22"/>
        </w:rPr>
        <w:t>:2</w:t>
      </w:r>
      <w:r w:rsidR="000403FD">
        <w:rPr>
          <w:szCs w:val="22"/>
        </w:rPr>
        <w:t xml:space="preserve"> </w:t>
      </w:r>
      <w:r w:rsidR="00ED7A82">
        <w:rPr>
          <w:szCs w:val="22"/>
        </w:rPr>
        <w:t>och Prestationsaktieprogram</w:t>
      </w:r>
      <w:r w:rsidR="00ED7A82" w:rsidRPr="008E348A">
        <w:rPr>
          <w:szCs w:val="22"/>
        </w:rPr>
        <w:t xml:space="preserve"> 202</w:t>
      </w:r>
      <w:r w:rsidR="00ED7A82">
        <w:rPr>
          <w:szCs w:val="22"/>
        </w:rPr>
        <w:t>5</w:t>
      </w:r>
      <w:r w:rsidR="00ED7A82" w:rsidRPr="008E348A">
        <w:rPr>
          <w:szCs w:val="22"/>
        </w:rPr>
        <w:t>/202</w:t>
      </w:r>
      <w:r w:rsidR="00ED7A82">
        <w:rPr>
          <w:szCs w:val="22"/>
        </w:rPr>
        <w:t>8</w:t>
      </w:r>
      <w:r w:rsidR="00ED7A82" w:rsidRPr="008E348A">
        <w:rPr>
          <w:szCs w:val="22"/>
        </w:rPr>
        <w:t>:</w:t>
      </w:r>
      <w:r w:rsidR="00ED7A82">
        <w:rPr>
          <w:szCs w:val="22"/>
        </w:rPr>
        <w:t xml:space="preserve">3 </w:t>
      </w:r>
      <w:r w:rsidRPr="008E348A">
        <w:rPr>
          <w:szCs w:val="22"/>
        </w:rPr>
        <w:t xml:space="preserve">har beretts av externa rådgivare i samråd med ersättningsutskottet, styrelsen och </w:t>
      </w:r>
      <w:r w:rsidR="00121574" w:rsidRPr="00121574">
        <w:rPr>
          <w:szCs w:val="22"/>
        </w:rPr>
        <w:t>Mats Danielsson</w:t>
      </w:r>
      <w:r w:rsidRPr="008E348A">
        <w:rPr>
          <w:szCs w:val="22"/>
        </w:rPr>
        <w:t>.</w:t>
      </w:r>
    </w:p>
    <w:p w14:paraId="4AC9A9C9" w14:textId="010C7904" w:rsidR="00EA349E" w:rsidRPr="008E348A" w:rsidRDefault="00EA349E" w:rsidP="00EA349E">
      <w:pPr>
        <w:rPr>
          <w:i/>
          <w:szCs w:val="22"/>
          <w:lang w:val="en-US"/>
        </w:rPr>
      </w:pPr>
      <w:bookmarkStart w:id="70" w:name="_Hlk206165080"/>
      <w:bookmarkEnd w:id="69"/>
      <w:r w:rsidRPr="008E348A">
        <w:rPr>
          <w:i/>
          <w:szCs w:val="22"/>
          <w:lang w:val="en-US"/>
        </w:rPr>
        <w:t>Proposal</w:t>
      </w:r>
      <w:r w:rsidR="00ED7A82">
        <w:rPr>
          <w:i/>
          <w:szCs w:val="22"/>
          <w:lang w:val="en-US"/>
        </w:rPr>
        <w:t>s</w:t>
      </w:r>
      <w:r w:rsidRPr="008E348A">
        <w:rPr>
          <w:i/>
          <w:szCs w:val="22"/>
          <w:lang w:val="en-US"/>
        </w:rPr>
        <w:t xml:space="preserve"> </w:t>
      </w:r>
      <w:r w:rsidR="00ED7A82">
        <w:rPr>
          <w:i/>
          <w:szCs w:val="22"/>
          <w:lang w:val="en-US"/>
        </w:rPr>
        <w:t>regarding</w:t>
      </w:r>
      <w:r w:rsidRPr="008E348A">
        <w:rPr>
          <w:i/>
          <w:szCs w:val="22"/>
          <w:lang w:val="en-US"/>
        </w:rPr>
        <w:t xml:space="preserve"> </w:t>
      </w:r>
      <w:r w:rsidR="000403FD">
        <w:rPr>
          <w:i/>
          <w:szCs w:val="22"/>
          <w:lang w:val="en-US"/>
        </w:rPr>
        <w:t>Performance Share</w:t>
      </w:r>
      <w:r w:rsidRPr="008E348A">
        <w:rPr>
          <w:i/>
          <w:szCs w:val="22"/>
          <w:lang w:val="en-US"/>
        </w:rPr>
        <w:t xml:space="preserve"> Program </w:t>
      </w:r>
      <w:r w:rsidR="009C520A">
        <w:rPr>
          <w:i/>
          <w:szCs w:val="22"/>
          <w:lang w:val="en-US"/>
        </w:rPr>
        <w:t>2025/2028:</w:t>
      </w:r>
      <w:r w:rsidR="00ED7A82">
        <w:rPr>
          <w:i/>
          <w:szCs w:val="22"/>
          <w:lang w:val="en-US"/>
        </w:rPr>
        <w:t xml:space="preserve">1, </w:t>
      </w:r>
      <w:r w:rsidR="000403FD">
        <w:rPr>
          <w:i/>
          <w:szCs w:val="22"/>
          <w:lang w:val="en-US"/>
        </w:rPr>
        <w:t>Performance Share</w:t>
      </w:r>
      <w:r w:rsidRPr="008E348A">
        <w:rPr>
          <w:i/>
          <w:szCs w:val="22"/>
          <w:lang w:val="en-US"/>
        </w:rPr>
        <w:t xml:space="preserve"> Program 202</w:t>
      </w:r>
      <w:r w:rsidR="000403FD">
        <w:rPr>
          <w:i/>
          <w:szCs w:val="22"/>
          <w:lang w:val="en-US"/>
        </w:rPr>
        <w:t>5</w:t>
      </w:r>
      <w:r w:rsidRPr="008E348A">
        <w:rPr>
          <w:i/>
          <w:szCs w:val="22"/>
          <w:lang w:val="en-US"/>
        </w:rPr>
        <w:t>/202</w:t>
      </w:r>
      <w:r w:rsidR="000403FD">
        <w:rPr>
          <w:i/>
          <w:szCs w:val="22"/>
          <w:lang w:val="en-US"/>
        </w:rPr>
        <w:t>8</w:t>
      </w:r>
      <w:r w:rsidRPr="008E348A">
        <w:rPr>
          <w:i/>
          <w:szCs w:val="22"/>
          <w:lang w:val="en-US"/>
        </w:rPr>
        <w:t>:2</w:t>
      </w:r>
      <w:r w:rsidR="00ED7A82">
        <w:rPr>
          <w:i/>
          <w:szCs w:val="22"/>
          <w:lang w:val="en-US"/>
        </w:rPr>
        <w:t>, and Performance Share</w:t>
      </w:r>
      <w:r w:rsidR="00ED7A82" w:rsidRPr="008E348A">
        <w:rPr>
          <w:i/>
          <w:szCs w:val="22"/>
          <w:lang w:val="en-US"/>
        </w:rPr>
        <w:t xml:space="preserve"> Program </w:t>
      </w:r>
      <w:r w:rsidR="00ED7A82">
        <w:rPr>
          <w:i/>
          <w:szCs w:val="22"/>
          <w:lang w:val="en-US"/>
        </w:rPr>
        <w:t>2025/2028:3</w:t>
      </w:r>
      <w:r w:rsidR="000403FD">
        <w:rPr>
          <w:i/>
          <w:szCs w:val="22"/>
          <w:lang w:val="en-US"/>
        </w:rPr>
        <w:t xml:space="preserve"> have</w:t>
      </w:r>
      <w:r w:rsidRPr="008E348A">
        <w:rPr>
          <w:i/>
          <w:szCs w:val="22"/>
          <w:lang w:val="en-US"/>
        </w:rPr>
        <w:t xml:space="preserve"> been prepared by external advisors in consultation with the remuneration committee, the board of directors and </w:t>
      </w:r>
      <w:bookmarkStart w:id="71" w:name="_Hlk206584246"/>
      <w:r w:rsidR="00121574" w:rsidRPr="00121574">
        <w:rPr>
          <w:i/>
          <w:szCs w:val="22"/>
          <w:lang w:val="en-US"/>
        </w:rPr>
        <w:t>Mats Danielsson</w:t>
      </w:r>
      <w:bookmarkEnd w:id="71"/>
      <w:r w:rsidRPr="008E348A">
        <w:rPr>
          <w:i/>
          <w:szCs w:val="22"/>
          <w:lang w:val="en-US"/>
        </w:rPr>
        <w:t>.</w:t>
      </w:r>
      <w:bookmarkEnd w:id="70"/>
    </w:p>
    <w:p w14:paraId="35836A39" w14:textId="77777777" w:rsidR="00EA349E" w:rsidRPr="008E348A" w:rsidRDefault="00EA349E" w:rsidP="00EA349E">
      <w:pPr>
        <w:rPr>
          <w:i/>
          <w:szCs w:val="22"/>
          <w:lang w:val="en-US"/>
        </w:rPr>
      </w:pPr>
    </w:p>
    <w:p w14:paraId="0D8EDD42" w14:textId="77777777" w:rsidR="00EA349E" w:rsidRPr="008E348A" w:rsidRDefault="00EA349E" w:rsidP="00EA349E">
      <w:pPr>
        <w:rPr>
          <w:b/>
          <w:szCs w:val="22"/>
        </w:rPr>
      </w:pPr>
      <w:bookmarkStart w:id="72" w:name="_Hlk206170588"/>
      <w:r w:rsidRPr="008E348A">
        <w:rPr>
          <w:b/>
          <w:szCs w:val="22"/>
        </w:rPr>
        <w:t>Värdering och kostnader samt påverkan på nyckeltal</w:t>
      </w:r>
    </w:p>
    <w:p w14:paraId="4F95A25A" w14:textId="6AC930E5" w:rsidR="00EA349E" w:rsidRPr="003C343D" w:rsidRDefault="00EA349E" w:rsidP="00EA349E">
      <w:pPr>
        <w:rPr>
          <w:b/>
          <w:i/>
          <w:szCs w:val="22"/>
          <w:lang w:val="en-US"/>
        </w:rPr>
      </w:pPr>
      <w:r w:rsidRPr="008E348A">
        <w:rPr>
          <w:b/>
          <w:i/>
          <w:szCs w:val="22"/>
          <w:lang w:val="en-US"/>
        </w:rPr>
        <w:t xml:space="preserve">Valuation and </w:t>
      </w:r>
      <w:r w:rsidR="00ED7A82">
        <w:rPr>
          <w:b/>
          <w:i/>
          <w:szCs w:val="22"/>
          <w:lang w:val="en-US"/>
        </w:rPr>
        <w:t>c</w:t>
      </w:r>
      <w:r w:rsidRPr="008E348A">
        <w:rPr>
          <w:b/>
          <w:i/>
          <w:szCs w:val="22"/>
          <w:lang w:val="en-US"/>
        </w:rPr>
        <w:t>osts and effects on key figures</w:t>
      </w:r>
    </w:p>
    <w:p w14:paraId="3A824331" w14:textId="344DF729" w:rsidR="00EA349E" w:rsidRPr="008E348A" w:rsidRDefault="000403FD" w:rsidP="00EA349E">
      <w:pPr>
        <w:rPr>
          <w:bCs/>
          <w:szCs w:val="22"/>
          <w:u w:val="single"/>
        </w:rPr>
      </w:pPr>
      <w:r>
        <w:rPr>
          <w:bCs/>
          <w:szCs w:val="22"/>
          <w:u w:val="single"/>
        </w:rPr>
        <w:t>Prestationsaktieprogram</w:t>
      </w:r>
      <w:r w:rsidR="00EA349E" w:rsidRPr="008E348A">
        <w:rPr>
          <w:bCs/>
          <w:szCs w:val="22"/>
          <w:u w:val="single"/>
        </w:rPr>
        <w:t xml:space="preserve"> </w:t>
      </w:r>
      <w:r w:rsidR="009C520A">
        <w:rPr>
          <w:bCs/>
          <w:szCs w:val="22"/>
          <w:u w:val="single"/>
        </w:rPr>
        <w:t>2025/2028:</w:t>
      </w:r>
      <w:r w:rsidR="00ED7A82">
        <w:rPr>
          <w:bCs/>
          <w:szCs w:val="22"/>
          <w:u w:val="single"/>
        </w:rPr>
        <w:t>1</w:t>
      </w:r>
    </w:p>
    <w:p w14:paraId="3258893E" w14:textId="28E87A6A" w:rsidR="00EA349E" w:rsidRPr="00EE396E" w:rsidRDefault="000403FD" w:rsidP="00EA349E">
      <w:pPr>
        <w:pStyle w:val="BodyText"/>
        <w:spacing w:after="0"/>
        <w:rPr>
          <w:i/>
          <w:szCs w:val="22"/>
          <w:u w:val="single"/>
          <w:lang w:val="sv-SE"/>
        </w:rPr>
      </w:pPr>
      <w:bookmarkStart w:id="73" w:name="_Hlk206165109"/>
      <w:proofErr w:type="spellStart"/>
      <w:r w:rsidRPr="00EE396E">
        <w:rPr>
          <w:i/>
          <w:szCs w:val="22"/>
          <w:u w:val="single"/>
          <w:lang w:val="sv-SE"/>
        </w:rPr>
        <w:t>Performance</w:t>
      </w:r>
      <w:proofErr w:type="spellEnd"/>
      <w:r w:rsidRPr="00EE396E">
        <w:rPr>
          <w:i/>
          <w:szCs w:val="22"/>
          <w:u w:val="single"/>
          <w:lang w:val="sv-SE"/>
        </w:rPr>
        <w:t xml:space="preserve"> Share </w:t>
      </w:r>
      <w:r w:rsidR="00EA349E" w:rsidRPr="00EE396E">
        <w:rPr>
          <w:i/>
          <w:szCs w:val="22"/>
          <w:u w:val="single"/>
          <w:lang w:val="sv-SE"/>
        </w:rPr>
        <w:t xml:space="preserve">Program </w:t>
      </w:r>
      <w:r w:rsidR="009C520A" w:rsidRPr="00EE396E">
        <w:rPr>
          <w:i/>
          <w:szCs w:val="22"/>
          <w:u w:val="single"/>
          <w:lang w:val="sv-SE"/>
        </w:rPr>
        <w:t>2025/2028:</w:t>
      </w:r>
      <w:r w:rsidR="00ED7A82" w:rsidRPr="00EE396E">
        <w:rPr>
          <w:i/>
          <w:szCs w:val="22"/>
          <w:u w:val="single"/>
          <w:lang w:val="sv-SE"/>
        </w:rPr>
        <w:t>1</w:t>
      </w:r>
      <w:bookmarkEnd w:id="73"/>
    </w:p>
    <w:p w14:paraId="0995CC38" w14:textId="79AD04D4" w:rsidR="00EA349E" w:rsidRPr="008E348A" w:rsidRDefault="00EA349E" w:rsidP="00EA349E">
      <w:pPr>
        <w:rPr>
          <w:bCs/>
          <w:szCs w:val="22"/>
        </w:rPr>
      </w:pPr>
      <w:r w:rsidRPr="008E348A">
        <w:rPr>
          <w:bCs/>
          <w:szCs w:val="22"/>
        </w:rPr>
        <w:t xml:space="preserve">Kostnader relaterade till </w:t>
      </w:r>
      <w:r w:rsidR="000403FD">
        <w:rPr>
          <w:bCs/>
          <w:szCs w:val="22"/>
        </w:rPr>
        <w:t>Prestationsaktieprogram</w:t>
      </w:r>
      <w:r w:rsidRPr="008E348A">
        <w:rPr>
          <w:bCs/>
          <w:szCs w:val="22"/>
        </w:rPr>
        <w:t xml:space="preserve"> </w:t>
      </w:r>
      <w:r>
        <w:rPr>
          <w:bCs/>
          <w:szCs w:val="22"/>
        </w:rPr>
        <w:t>2025/2028</w:t>
      </w:r>
      <w:r w:rsidR="00ED7A82">
        <w:rPr>
          <w:bCs/>
          <w:szCs w:val="22"/>
        </w:rPr>
        <w:t>:</w:t>
      </w:r>
      <w:r w:rsidR="000403FD">
        <w:rPr>
          <w:bCs/>
          <w:szCs w:val="22"/>
        </w:rPr>
        <w:t>1</w:t>
      </w:r>
      <w:r w:rsidRPr="008E348A">
        <w:rPr>
          <w:bCs/>
          <w:szCs w:val="22"/>
        </w:rPr>
        <w:t xml:space="preserve"> kommer att redovisas i enlighet med IFRS 2, som innebär att Prestationsaktierna ska </w:t>
      </w:r>
      <w:proofErr w:type="spellStart"/>
      <w:r w:rsidRPr="008E348A">
        <w:rPr>
          <w:bCs/>
          <w:szCs w:val="22"/>
        </w:rPr>
        <w:t>kostnadsföras</w:t>
      </w:r>
      <w:proofErr w:type="spellEnd"/>
      <w:r w:rsidRPr="008E348A">
        <w:rPr>
          <w:bCs/>
          <w:szCs w:val="22"/>
        </w:rPr>
        <w:t xml:space="preserve"> som en personalkostnad över intjänandeperioden utan påverkan på Bolagets kassaflöde.</w:t>
      </w:r>
    </w:p>
    <w:p w14:paraId="52C838C4" w14:textId="73B78C68" w:rsidR="00EA349E" w:rsidRPr="008E348A" w:rsidRDefault="00EA349E" w:rsidP="00EA349E">
      <w:pPr>
        <w:rPr>
          <w:i/>
          <w:szCs w:val="22"/>
          <w:lang w:val="en-US"/>
        </w:rPr>
      </w:pPr>
      <w:bookmarkStart w:id="74" w:name="_Hlk206165121"/>
      <w:r w:rsidRPr="008E348A">
        <w:rPr>
          <w:i/>
          <w:szCs w:val="22"/>
          <w:lang w:val="en-US"/>
        </w:rPr>
        <w:t xml:space="preserve">Costs related to </w:t>
      </w:r>
      <w:r w:rsidR="000403FD">
        <w:rPr>
          <w:i/>
          <w:szCs w:val="22"/>
          <w:lang w:val="en-US"/>
        </w:rPr>
        <w:t>Performance Share Program</w:t>
      </w:r>
      <w:r w:rsidRPr="008E348A">
        <w:rPr>
          <w:i/>
          <w:szCs w:val="22"/>
          <w:lang w:val="en-US"/>
        </w:rPr>
        <w:t xml:space="preserve"> </w:t>
      </w:r>
      <w:r>
        <w:rPr>
          <w:i/>
          <w:szCs w:val="22"/>
          <w:lang w:val="en-US"/>
        </w:rPr>
        <w:t>2025/2028</w:t>
      </w:r>
      <w:r w:rsidR="00ED7A82">
        <w:rPr>
          <w:i/>
          <w:szCs w:val="22"/>
          <w:lang w:val="en-US"/>
        </w:rPr>
        <w:t>:</w:t>
      </w:r>
      <w:r w:rsidR="000403FD">
        <w:rPr>
          <w:i/>
          <w:szCs w:val="22"/>
          <w:lang w:val="en-US"/>
        </w:rPr>
        <w:t>1</w:t>
      </w:r>
      <w:r w:rsidRPr="008E348A">
        <w:rPr>
          <w:i/>
          <w:szCs w:val="22"/>
          <w:lang w:val="en-US"/>
        </w:rPr>
        <w:t xml:space="preserve"> will be reported in accordance with IFRS</w:t>
      </w:r>
      <w:r w:rsidR="00ED7A82">
        <w:rPr>
          <w:i/>
          <w:szCs w:val="22"/>
          <w:lang w:val="en-US"/>
        </w:rPr>
        <w:t> </w:t>
      </w:r>
      <w:r w:rsidRPr="008E348A">
        <w:rPr>
          <w:i/>
          <w:szCs w:val="22"/>
          <w:lang w:val="en-US"/>
        </w:rPr>
        <w:t>2, which means that the Performance Shares must be expensed as a personnel cost over the vesting period without impact on the Company's cash flow.</w:t>
      </w:r>
    </w:p>
    <w:bookmarkEnd w:id="74"/>
    <w:p w14:paraId="6636886C" w14:textId="77777777" w:rsidR="00EA349E" w:rsidRPr="008E348A" w:rsidRDefault="00EA349E" w:rsidP="00EA349E">
      <w:pPr>
        <w:rPr>
          <w:bCs/>
          <w:szCs w:val="22"/>
          <w:lang w:val="en-US"/>
        </w:rPr>
      </w:pPr>
    </w:p>
    <w:p w14:paraId="551C938A" w14:textId="3351CA28" w:rsidR="00EA349E" w:rsidRPr="008E348A" w:rsidRDefault="00EA349E" w:rsidP="00EA349E">
      <w:pPr>
        <w:rPr>
          <w:bCs/>
          <w:szCs w:val="22"/>
          <w:lang w:val="en-US"/>
        </w:rPr>
      </w:pPr>
      <w:r w:rsidRPr="008E348A">
        <w:rPr>
          <w:bCs/>
          <w:szCs w:val="22"/>
        </w:rPr>
        <w:t xml:space="preserve">Om Prestationsaktier utnyttjas kommer </w:t>
      </w:r>
      <w:r w:rsidR="000403FD">
        <w:rPr>
          <w:bCs/>
          <w:szCs w:val="22"/>
        </w:rPr>
        <w:t>Prestationsaktieprogram</w:t>
      </w:r>
      <w:r w:rsidRPr="008E348A">
        <w:rPr>
          <w:bCs/>
          <w:szCs w:val="22"/>
        </w:rPr>
        <w:t xml:space="preserve"> </w:t>
      </w:r>
      <w:r>
        <w:rPr>
          <w:bCs/>
          <w:szCs w:val="22"/>
        </w:rPr>
        <w:t>2025/2028</w:t>
      </w:r>
      <w:r w:rsidR="00ED7A82">
        <w:rPr>
          <w:bCs/>
          <w:szCs w:val="22"/>
        </w:rPr>
        <w:t>:1</w:t>
      </w:r>
      <w:r w:rsidRPr="008E348A">
        <w:rPr>
          <w:bCs/>
          <w:szCs w:val="22"/>
        </w:rPr>
        <w:t xml:space="preserve"> därutöver att medföra kostnader i form av sociala avgifter. De totala kostnaderna för sociala avgifter beror dels på deltagarens </w:t>
      </w:r>
      <w:r w:rsidR="00D2279F">
        <w:rPr>
          <w:bCs/>
          <w:szCs w:val="22"/>
        </w:rPr>
        <w:t>uppdragsförhållande</w:t>
      </w:r>
      <w:r w:rsidRPr="008E348A">
        <w:rPr>
          <w:bCs/>
          <w:szCs w:val="22"/>
        </w:rPr>
        <w:t>, dels hur många Prestationsaktier som tjänas in, och dels på värdet av den förmån som deltagaren slutligen erhåller, dvs. Prestationsaktiernas värde vid utnyttjandet år 202</w:t>
      </w:r>
      <w:r w:rsidR="00ED7A82">
        <w:rPr>
          <w:bCs/>
          <w:szCs w:val="22"/>
        </w:rPr>
        <w:t>8</w:t>
      </w:r>
      <w:r w:rsidRPr="008E348A">
        <w:rPr>
          <w:bCs/>
          <w:szCs w:val="22"/>
        </w:rPr>
        <w:t xml:space="preserve">. </w:t>
      </w:r>
      <w:proofErr w:type="spellStart"/>
      <w:r w:rsidRPr="008E348A">
        <w:rPr>
          <w:bCs/>
          <w:szCs w:val="22"/>
          <w:lang w:val="en-US"/>
        </w:rPr>
        <w:t>Sociala</w:t>
      </w:r>
      <w:proofErr w:type="spellEnd"/>
      <w:r w:rsidRPr="008E348A">
        <w:rPr>
          <w:bCs/>
          <w:szCs w:val="22"/>
          <w:lang w:val="en-US"/>
        </w:rPr>
        <w:t xml:space="preserve"> </w:t>
      </w:r>
      <w:proofErr w:type="spellStart"/>
      <w:r w:rsidRPr="008E348A">
        <w:rPr>
          <w:bCs/>
          <w:szCs w:val="22"/>
          <w:lang w:val="en-US"/>
        </w:rPr>
        <w:t>avgifter</w:t>
      </w:r>
      <w:proofErr w:type="spellEnd"/>
      <w:r w:rsidRPr="008E348A">
        <w:rPr>
          <w:bCs/>
          <w:szCs w:val="22"/>
          <w:lang w:val="en-US"/>
        </w:rPr>
        <w:t xml:space="preserve"> </w:t>
      </w:r>
      <w:proofErr w:type="spellStart"/>
      <w:r w:rsidRPr="008E348A">
        <w:rPr>
          <w:bCs/>
          <w:szCs w:val="22"/>
          <w:lang w:val="en-US"/>
        </w:rPr>
        <w:t>kommer</w:t>
      </w:r>
      <w:proofErr w:type="spellEnd"/>
      <w:r w:rsidRPr="008E348A">
        <w:rPr>
          <w:bCs/>
          <w:szCs w:val="22"/>
          <w:lang w:val="en-US"/>
        </w:rPr>
        <w:t xml:space="preserve"> </w:t>
      </w:r>
      <w:proofErr w:type="spellStart"/>
      <w:r w:rsidRPr="008E348A">
        <w:rPr>
          <w:bCs/>
          <w:szCs w:val="22"/>
          <w:lang w:val="en-US"/>
        </w:rPr>
        <w:t>att</w:t>
      </w:r>
      <w:proofErr w:type="spellEnd"/>
      <w:r w:rsidRPr="008E348A">
        <w:rPr>
          <w:bCs/>
          <w:szCs w:val="22"/>
          <w:lang w:val="en-US"/>
        </w:rPr>
        <w:t xml:space="preserve"> </w:t>
      </w:r>
      <w:proofErr w:type="spellStart"/>
      <w:r w:rsidRPr="008E348A">
        <w:rPr>
          <w:bCs/>
          <w:szCs w:val="22"/>
          <w:lang w:val="en-US"/>
        </w:rPr>
        <w:t>kostnadsföras</w:t>
      </w:r>
      <w:proofErr w:type="spellEnd"/>
      <w:r w:rsidRPr="008E348A">
        <w:rPr>
          <w:bCs/>
          <w:szCs w:val="22"/>
          <w:lang w:val="en-US"/>
        </w:rPr>
        <w:t xml:space="preserve"> </w:t>
      </w:r>
      <w:proofErr w:type="spellStart"/>
      <w:r w:rsidRPr="008E348A">
        <w:rPr>
          <w:bCs/>
          <w:szCs w:val="22"/>
          <w:lang w:val="en-US"/>
        </w:rPr>
        <w:t>i</w:t>
      </w:r>
      <w:proofErr w:type="spellEnd"/>
      <w:r w:rsidRPr="008E348A">
        <w:rPr>
          <w:bCs/>
          <w:szCs w:val="22"/>
          <w:lang w:val="en-US"/>
        </w:rPr>
        <w:t xml:space="preserve"> </w:t>
      </w:r>
      <w:proofErr w:type="spellStart"/>
      <w:r w:rsidRPr="008E348A">
        <w:rPr>
          <w:bCs/>
          <w:szCs w:val="22"/>
          <w:lang w:val="en-US"/>
        </w:rPr>
        <w:t>resultaträkningen</w:t>
      </w:r>
      <w:proofErr w:type="spellEnd"/>
      <w:r w:rsidRPr="008E348A">
        <w:rPr>
          <w:bCs/>
          <w:szCs w:val="22"/>
          <w:lang w:val="en-US"/>
        </w:rPr>
        <w:t xml:space="preserve"> under </w:t>
      </w:r>
      <w:proofErr w:type="spellStart"/>
      <w:r w:rsidRPr="008E348A">
        <w:rPr>
          <w:bCs/>
          <w:szCs w:val="22"/>
          <w:lang w:val="en-US"/>
        </w:rPr>
        <w:t>intjänandeperioden</w:t>
      </w:r>
      <w:proofErr w:type="spellEnd"/>
      <w:r w:rsidRPr="008E348A">
        <w:rPr>
          <w:bCs/>
          <w:szCs w:val="22"/>
          <w:lang w:val="en-US"/>
        </w:rPr>
        <w:t xml:space="preserve">. </w:t>
      </w:r>
    </w:p>
    <w:p w14:paraId="4454FC16" w14:textId="6AF841D4" w:rsidR="00EA349E" w:rsidRPr="008E348A" w:rsidRDefault="00EA349E" w:rsidP="00EA349E">
      <w:pPr>
        <w:rPr>
          <w:i/>
          <w:szCs w:val="22"/>
          <w:lang w:val="en-US"/>
        </w:rPr>
      </w:pPr>
      <w:bookmarkStart w:id="75" w:name="_Hlk206165139"/>
      <w:r w:rsidRPr="008E348A">
        <w:rPr>
          <w:i/>
          <w:szCs w:val="22"/>
          <w:lang w:val="en-US"/>
        </w:rPr>
        <w:t xml:space="preserve">If Performance Shares are used, the </w:t>
      </w:r>
      <w:r w:rsidR="000403FD">
        <w:rPr>
          <w:i/>
          <w:szCs w:val="22"/>
          <w:lang w:val="en-US"/>
        </w:rPr>
        <w:t>Performance Share Program</w:t>
      </w:r>
      <w:r w:rsidRPr="008E348A">
        <w:rPr>
          <w:i/>
          <w:szCs w:val="22"/>
          <w:lang w:val="en-US"/>
        </w:rPr>
        <w:t xml:space="preserve"> </w:t>
      </w:r>
      <w:r>
        <w:rPr>
          <w:i/>
          <w:szCs w:val="22"/>
          <w:lang w:val="en-US"/>
        </w:rPr>
        <w:t>2025/2028</w:t>
      </w:r>
      <w:r w:rsidR="00ED7A82">
        <w:rPr>
          <w:i/>
          <w:szCs w:val="22"/>
          <w:lang w:val="en-US"/>
        </w:rPr>
        <w:t>:1</w:t>
      </w:r>
      <w:r w:rsidRPr="008E348A">
        <w:rPr>
          <w:i/>
          <w:szCs w:val="22"/>
          <w:lang w:val="en-US"/>
        </w:rPr>
        <w:t xml:space="preserve"> will additionally entail costs in the form of social security contributions. The total costs for social security contributions depend partly on the participant's </w:t>
      </w:r>
      <w:r w:rsidR="00D2279F">
        <w:rPr>
          <w:i/>
          <w:szCs w:val="22"/>
          <w:lang w:val="en-US"/>
        </w:rPr>
        <w:t>assignment</w:t>
      </w:r>
      <w:r w:rsidRPr="008E348A">
        <w:rPr>
          <w:i/>
          <w:szCs w:val="22"/>
          <w:lang w:val="en-US"/>
        </w:rPr>
        <w:t>, partly on how many Performance Shares are earned, and partly on the value of the benefit that the participant ultimately receives, i.e. The value of the Performance Shares upon exercise in 202</w:t>
      </w:r>
      <w:r w:rsidR="00ED7A82">
        <w:rPr>
          <w:i/>
          <w:szCs w:val="22"/>
          <w:lang w:val="en-US"/>
        </w:rPr>
        <w:t>8</w:t>
      </w:r>
      <w:r w:rsidRPr="008E348A">
        <w:rPr>
          <w:i/>
          <w:szCs w:val="22"/>
          <w:lang w:val="en-US"/>
        </w:rPr>
        <w:t xml:space="preserve">. Social security contributions will be </w:t>
      </w:r>
      <w:proofErr w:type="gramStart"/>
      <w:r w:rsidRPr="008E348A">
        <w:rPr>
          <w:i/>
          <w:szCs w:val="22"/>
          <w:lang w:val="en-US"/>
        </w:rPr>
        <w:t>expensed</w:t>
      </w:r>
      <w:proofErr w:type="gramEnd"/>
      <w:r w:rsidRPr="008E348A">
        <w:rPr>
          <w:i/>
          <w:szCs w:val="22"/>
          <w:lang w:val="en-US"/>
        </w:rPr>
        <w:t xml:space="preserve"> in the income statement during the vesting period. </w:t>
      </w:r>
    </w:p>
    <w:p w14:paraId="0B57A180" w14:textId="77777777" w:rsidR="00EA349E" w:rsidRPr="008E348A" w:rsidRDefault="00EA349E" w:rsidP="00EA349E">
      <w:pPr>
        <w:rPr>
          <w:bCs/>
          <w:szCs w:val="22"/>
          <w:lang w:val="en-US"/>
        </w:rPr>
      </w:pPr>
    </w:p>
    <w:p w14:paraId="3BDB663F" w14:textId="640110C6" w:rsidR="00EA349E" w:rsidRPr="008E348A" w:rsidRDefault="00EA349E" w:rsidP="00EA349E">
      <w:pPr>
        <w:rPr>
          <w:bCs/>
          <w:szCs w:val="22"/>
        </w:rPr>
      </w:pPr>
      <w:r w:rsidRPr="008E348A">
        <w:rPr>
          <w:bCs/>
          <w:szCs w:val="22"/>
        </w:rPr>
        <w:t xml:space="preserve">Baserat på antagandet att samtliga </w:t>
      </w:r>
      <w:r w:rsidR="00637A62">
        <w:rPr>
          <w:szCs w:val="22"/>
        </w:rPr>
        <w:t>1 853 100</w:t>
      </w:r>
      <w:r w:rsidRPr="008E348A">
        <w:rPr>
          <w:bCs/>
          <w:szCs w:val="22"/>
        </w:rPr>
        <w:t xml:space="preserve"> Prestationsaktier som ingår i </w:t>
      </w:r>
      <w:r w:rsidR="000403FD">
        <w:rPr>
          <w:bCs/>
          <w:szCs w:val="22"/>
        </w:rPr>
        <w:t>Prestationsaktieprogram</w:t>
      </w:r>
      <w:r w:rsidRPr="008E348A">
        <w:rPr>
          <w:bCs/>
          <w:szCs w:val="22"/>
        </w:rPr>
        <w:t xml:space="preserve"> </w:t>
      </w:r>
      <w:r>
        <w:rPr>
          <w:bCs/>
          <w:szCs w:val="22"/>
        </w:rPr>
        <w:t>2025/2028</w:t>
      </w:r>
      <w:r w:rsidR="00ED7A82">
        <w:rPr>
          <w:bCs/>
          <w:szCs w:val="22"/>
        </w:rPr>
        <w:t>:1</w:t>
      </w:r>
      <w:r w:rsidRPr="008E348A">
        <w:rPr>
          <w:bCs/>
          <w:szCs w:val="22"/>
        </w:rPr>
        <w:t xml:space="preserve"> tilldelas, en antagen aktiekurs om </w:t>
      </w:r>
      <w:r w:rsidR="00844603">
        <w:rPr>
          <w:szCs w:val="22"/>
        </w:rPr>
        <w:t>1,7</w:t>
      </w:r>
      <w:r w:rsidRPr="008E348A">
        <w:rPr>
          <w:bCs/>
          <w:szCs w:val="22"/>
        </w:rPr>
        <w:t xml:space="preserve"> kronor vid utnyttjandet av Prestationsaktierna och en antagen genomsnittlig procentsats för sociala avgifter om cirka </w:t>
      </w:r>
      <w:r w:rsidR="00844603">
        <w:rPr>
          <w:szCs w:val="22"/>
        </w:rPr>
        <w:t>32</w:t>
      </w:r>
      <w:r w:rsidRPr="008E348A">
        <w:rPr>
          <w:bCs/>
          <w:szCs w:val="22"/>
        </w:rPr>
        <w:t xml:space="preserve"> procent, beräknas de totala kostnaderna för programmet, inklusive sociala avgifter, att uppgå till </w:t>
      </w:r>
      <w:r w:rsidR="00D2279F">
        <w:rPr>
          <w:bCs/>
          <w:szCs w:val="22"/>
        </w:rPr>
        <w:t xml:space="preserve">cirka </w:t>
      </w:r>
      <w:r w:rsidR="00844603">
        <w:rPr>
          <w:szCs w:val="22"/>
        </w:rPr>
        <w:t>1 52</w:t>
      </w:r>
      <w:r w:rsidR="00D2279F">
        <w:rPr>
          <w:szCs w:val="22"/>
        </w:rPr>
        <w:t>6</w:t>
      </w:r>
      <w:r w:rsidR="00844603">
        <w:rPr>
          <w:szCs w:val="22"/>
        </w:rPr>
        <w:t xml:space="preserve"> </w:t>
      </w:r>
      <w:r w:rsidR="00D2279F">
        <w:rPr>
          <w:szCs w:val="22"/>
        </w:rPr>
        <w:t>000</w:t>
      </w:r>
      <w:r w:rsidRPr="008E348A">
        <w:rPr>
          <w:bCs/>
          <w:szCs w:val="22"/>
        </w:rPr>
        <w:t xml:space="preserve"> kronor, vilket motsvarar cirka </w:t>
      </w:r>
      <w:r w:rsidR="00D2279F">
        <w:rPr>
          <w:szCs w:val="22"/>
        </w:rPr>
        <w:t>2,69</w:t>
      </w:r>
      <w:r w:rsidRPr="008E348A">
        <w:rPr>
          <w:bCs/>
          <w:szCs w:val="22"/>
        </w:rPr>
        <w:t xml:space="preserve"> procent av Bolagets totala årliga lönekostnader för anställda (inklusive sociala avgifter) beräknat på lönekostnader för räkenskapsåret 202</w:t>
      </w:r>
      <w:r w:rsidR="00ED7A82">
        <w:rPr>
          <w:bCs/>
          <w:szCs w:val="22"/>
        </w:rPr>
        <w:t>4</w:t>
      </w:r>
      <w:r w:rsidRPr="008E348A">
        <w:rPr>
          <w:bCs/>
          <w:szCs w:val="22"/>
        </w:rPr>
        <w:t>/202</w:t>
      </w:r>
      <w:r w:rsidR="00ED7A82">
        <w:rPr>
          <w:bCs/>
          <w:szCs w:val="22"/>
        </w:rPr>
        <w:t>5</w:t>
      </w:r>
      <w:r w:rsidRPr="008E348A">
        <w:rPr>
          <w:bCs/>
          <w:szCs w:val="22"/>
        </w:rPr>
        <w:t>.</w:t>
      </w:r>
    </w:p>
    <w:p w14:paraId="6AEE41F2" w14:textId="0A787048" w:rsidR="00EA349E" w:rsidRPr="008E348A" w:rsidRDefault="00EA349E" w:rsidP="00EA349E">
      <w:pPr>
        <w:rPr>
          <w:i/>
          <w:szCs w:val="22"/>
          <w:lang w:val="en-US"/>
        </w:rPr>
      </w:pPr>
      <w:r w:rsidRPr="008E348A">
        <w:rPr>
          <w:i/>
          <w:szCs w:val="22"/>
          <w:lang w:val="en-US"/>
        </w:rPr>
        <w:t xml:space="preserve">Based on the assumption that all </w:t>
      </w:r>
      <w:r w:rsidR="00637A62" w:rsidRPr="00637A62">
        <w:rPr>
          <w:i/>
          <w:szCs w:val="22"/>
          <w:lang w:val="en-US"/>
        </w:rPr>
        <w:t>1</w:t>
      </w:r>
      <w:r w:rsidR="00637A62">
        <w:rPr>
          <w:i/>
          <w:szCs w:val="22"/>
          <w:lang w:val="en-US"/>
        </w:rPr>
        <w:t>,</w:t>
      </w:r>
      <w:r w:rsidR="00637A62" w:rsidRPr="00637A62">
        <w:rPr>
          <w:i/>
          <w:szCs w:val="22"/>
          <w:lang w:val="en-US"/>
        </w:rPr>
        <w:t>853</w:t>
      </w:r>
      <w:r w:rsidR="00637A62">
        <w:rPr>
          <w:i/>
          <w:szCs w:val="22"/>
          <w:lang w:val="en-US"/>
        </w:rPr>
        <w:t>,</w:t>
      </w:r>
      <w:r w:rsidR="00637A62" w:rsidRPr="00637A62">
        <w:rPr>
          <w:i/>
          <w:szCs w:val="22"/>
          <w:lang w:val="en-US"/>
        </w:rPr>
        <w:t>100</w:t>
      </w:r>
      <w:r w:rsidRPr="008E348A">
        <w:rPr>
          <w:i/>
          <w:szCs w:val="22"/>
          <w:lang w:val="en-US"/>
        </w:rPr>
        <w:t xml:space="preserve"> Performance Shares included in the </w:t>
      </w:r>
      <w:r w:rsidR="000403FD">
        <w:rPr>
          <w:i/>
          <w:szCs w:val="22"/>
          <w:lang w:val="en-US"/>
        </w:rPr>
        <w:t>Performance Share Program</w:t>
      </w:r>
      <w:r w:rsidRPr="008E348A">
        <w:rPr>
          <w:i/>
          <w:szCs w:val="22"/>
          <w:lang w:val="en-US"/>
        </w:rPr>
        <w:t xml:space="preserve"> </w:t>
      </w:r>
      <w:r>
        <w:rPr>
          <w:i/>
          <w:szCs w:val="22"/>
          <w:lang w:val="en-US"/>
        </w:rPr>
        <w:t>2025/2028</w:t>
      </w:r>
      <w:r w:rsidR="00ED7A82">
        <w:rPr>
          <w:i/>
          <w:szCs w:val="22"/>
          <w:lang w:val="en-US"/>
        </w:rPr>
        <w:t>:1</w:t>
      </w:r>
      <w:r w:rsidRPr="008E348A">
        <w:rPr>
          <w:i/>
          <w:szCs w:val="22"/>
          <w:lang w:val="en-US"/>
        </w:rPr>
        <w:t xml:space="preserve"> are allocated, an assumed share price of SE</w:t>
      </w:r>
      <w:r w:rsidRPr="00A11C00">
        <w:rPr>
          <w:i/>
          <w:szCs w:val="22"/>
          <w:lang w:val="en-US"/>
        </w:rPr>
        <w:t xml:space="preserve">K </w:t>
      </w:r>
      <w:r w:rsidR="00D2279F">
        <w:rPr>
          <w:i/>
          <w:szCs w:val="22"/>
          <w:lang w:val="en-US"/>
        </w:rPr>
        <w:t>1.7</w:t>
      </w:r>
      <w:r w:rsidRPr="00A11C00">
        <w:rPr>
          <w:i/>
          <w:szCs w:val="22"/>
          <w:lang w:val="en-US"/>
        </w:rPr>
        <w:t xml:space="preserve"> when the Performance Shares are used and an assumed average percentage for social security contributions of approximately </w:t>
      </w:r>
      <w:r w:rsidR="00D2279F">
        <w:rPr>
          <w:i/>
          <w:szCs w:val="22"/>
          <w:lang w:val="en-US"/>
        </w:rPr>
        <w:t>32</w:t>
      </w:r>
      <w:r w:rsidRPr="00A11C00">
        <w:rPr>
          <w:i/>
          <w:szCs w:val="22"/>
          <w:lang w:val="en-US"/>
        </w:rPr>
        <w:t xml:space="preserve"> percent, the total the costs of the program, </w:t>
      </w:r>
      <w:r w:rsidRPr="008E348A">
        <w:rPr>
          <w:i/>
          <w:szCs w:val="22"/>
          <w:lang w:val="en-US"/>
        </w:rPr>
        <w:t xml:space="preserve">including social security contributions, to amount to approximately </w:t>
      </w:r>
      <w:r w:rsidRPr="00ED7A82">
        <w:rPr>
          <w:i/>
          <w:szCs w:val="22"/>
          <w:lang w:val="en-US"/>
        </w:rPr>
        <w:t xml:space="preserve">SEK </w:t>
      </w:r>
      <w:r w:rsidR="00D2279F">
        <w:rPr>
          <w:i/>
          <w:szCs w:val="22"/>
          <w:lang w:val="en-US"/>
        </w:rPr>
        <w:t>1,526,000</w:t>
      </w:r>
      <w:r w:rsidRPr="00ED7A82">
        <w:rPr>
          <w:i/>
          <w:szCs w:val="22"/>
          <w:lang w:val="en-US"/>
        </w:rPr>
        <w:t>,</w:t>
      </w:r>
      <w:r w:rsidRPr="008E348A">
        <w:rPr>
          <w:i/>
          <w:szCs w:val="22"/>
          <w:lang w:val="en-US"/>
        </w:rPr>
        <w:t xml:space="preserve"> which corresponds to approximately</w:t>
      </w:r>
      <w:r w:rsidR="00ED7A82">
        <w:rPr>
          <w:i/>
          <w:szCs w:val="22"/>
          <w:lang w:val="en-US"/>
        </w:rPr>
        <w:t xml:space="preserve"> </w:t>
      </w:r>
      <w:r w:rsidR="00D2279F" w:rsidRPr="00D2279F">
        <w:rPr>
          <w:i/>
          <w:szCs w:val="22"/>
          <w:lang w:val="en-US"/>
        </w:rPr>
        <w:t>2</w:t>
      </w:r>
      <w:r w:rsidR="00D2279F">
        <w:rPr>
          <w:i/>
          <w:szCs w:val="22"/>
          <w:lang w:val="en-US"/>
        </w:rPr>
        <w:t>.</w:t>
      </w:r>
      <w:r w:rsidR="00D2279F" w:rsidRPr="00D2279F">
        <w:rPr>
          <w:i/>
          <w:szCs w:val="22"/>
          <w:lang w:val="en-US"/>
        </w:rPr>
        <w:t>69</w:t>
      </w:r>
      <w:r w:rsidR="00ED7A82">
        <w:rPr>
          <w:i/>
          <w:szCs w:val="22"/>
          <w:lang w:val="en-US"/>
        </w:rPr>
        <w:t xml:space="preserve"> </w:t>
      </w:r>
      <w:r w:rsidRPr="008E348A">
        <w:rPr>
          <w:i/>
          <w:szCs w:val="22"/>
          <w:lang w:val="en-US"/>
        </w:rPr>
        <w:t>percent of the Company's total annual salary costs for employees (including social security contributions) calculated on salary costs for the financial year 202</w:t>
      </w:r>
      <w:r w:rsidR="00ED7A82">
        <w:rPr>
          <w:i/>
          <w:szCs w:val="22"/>
          <w:lang w:val="en-US"/>
        </w:rPr>
        <w:t>4</w:t>
      </w:r>
      <w:r w:rsidRPr="008E348A">
        <w:rPr>
          <w:i/>
          <w:szCs w:val="22"/>
          <w:lang w:val="en-US"/>
        </w:rPr>
        <w:t>/202</w:t>
      </w:r>
      <w:r w:rsidR="00ED7A82">
        <w:rPr>
          <w:i/>
          <w:szCs w:val="22"/>
          <w:lang w:val="en-US"/>
        </w:rPr>
        <w:t>5</w:t>
      </w:r>
      <w:r w:rsidRPr="008E348A">
        <w:rPr>
          <w:i/>
          <w:szCs w:val="22"/>
          <w:lang w:val="en-US"/>
        </w:rPr>
        <w:t>.</w:t>
      </w:r>
    </w:p>
    <w:p w14:paraId="5164D08E" w14:textId="77777777" w:rsidR="00EA349E" w:rsidRPr="008E348A" w:rsidRDefault="00EA349E" w:rsidP="00EA349E">
      <w:pPr>
        <w:rPr>
          <w:bCs/>
          <w:szCs w:val="22"/>
          <w:lang w:val="en-US"/>
        </w:rPr>
      </w:pPr>
    </w:p>
    <w:p w14:paraId="23A1CA4E" w14:textId="39461361" w:rsidR="00EA349E" w:rsidRPr="008E348A" w:rsidRDefault="00EA349E" w:rsidP="00EA349E">
      <w:pPr>
        <w:rPr>
          <w:bCs/>
          <w:szCs w:val="22"/>
        </w:rPr>
      </w:pPr>
      <w:r w:rsidRPr="008E348A">
        <w:rPr>
          <w:bCs/>
          <w:szCs w:val="22"/>
        </w:rPr>
        <w:t xml:space="preserve">De totala kostnaderna för </w:t>
      </w:r>
      <w:r w:rsidR="000403FD">
        <w:rPr>
          <w:bCs/>
          <w:szCs w:val="22"/>
        </w:rPr>
        <w:t>Prestationsaktieprogram</w:t>
      </w:r>
      <w:r w:rsidRPr="008E348A">
        <w:rPr>
          <w:bCs/>
          <w:szCs w:val="22"/>
        </w:rPr>
        <w:t xml:space="preserve"> </w:t>
      </w:r>
      <w:r>
        <w:rPr>
          <w:bCs/>
          <w:szCs w:val="22"/>
        </w:rPr>
        <w:t>2025/2028</w:t>
      </w:r>
      <w:r w:rsidR="00ED7A82">
        <w:rPr>
          <w:bCs/>
          <w:szCs w:val="22"/>
        </w:rPr>
        <w:t>:1</w:t>
      </w:r>
      <w:r w:rsidRPr="008E348A">
        <w:rPr>
          <w:bCs/>
          <w:szCs w:val="22"/>
        </w:rPr>
        <w:t xml:space="preserve"> kommer att fördelas över åren 202</w:t>
      </w:r>
      <w:r w:rsidR="00ED7A82">
        <w:rPr>
          <w:bCs/>
          <w:szCs w:val="22"/>
        </w:rPr>
        <w:t>5</w:t>
      </w:r>
      <w:r w:rsidRPr="008E348A">
        <w:rPr>
          <w:bCs/>
          <w:szCs w:val="22"/>
        </w:rPr>
        <w:t>–202</w:t>
      </w:r>
      <w:r w:rsidR="00ED7A82">
        <w:rPr>
          <w:bCs/>
          <w:szCs w:val="22"/>
        </w:rPr>
        <w:t>8</w:t>
      </w:r>
      <w:r w:rsidRPr="008E348A">
        <w:rPr>
          <w:bCs/>
          <w:szCs w:val="22"/>
        </w:rPr>
        <w:t xml:space="preserve">. </w:t>
      </w:r>
    </w:p>
    <w:p w14:paraId="10DAC956" w14:textId="3D17E1FB" w:rsidR="00EA349E" w:rsidRDefault="00EA349E" w:rsidP="00EA349E">
      <w:pPr>
        <w:rPr>
          <w:bCs/>
          <w:i/>
          <w:iCs/>
          <w:szCs w:val="22"/>
          <w:lang w:val="en-US"/>
        </w:rPr>
      </w:pPr>
      <w:r w:rsidRPr="008E348A">
        <w:rPr>
          <w:bCs/>
          <w:i/>
          <w:iCs/>
          <w:szCs w:val="22"/>
          <w:lang w:val="en-US"/>
        </w:rPr>
        <w:t xml:space="preserve">The total costs for the </w:t>
      </w:r>
      <w:r w:rsidR="000403FD">
        <w:rPr>
          <w:bCs/>
          <w:i/>
          <w:iCs/>
          <w:szCs w:val="22"/>
          <w:lang w:val="en-US"/>
        </w:rPr>
        <w:t>Performance Share Program</w:t>
      </w:r>
      <w:r w:rsidRPr="008E348A">
        <w:rPr>
          <w:bCs/>
          <w:i/>
          <w:iCs/>
          <w:szCs w:val="22"/>
          <w:lang w:val="en-US"/>
        </w:rPr>
        <w:t xml:space="preserve"> </w:t>
      </w:r>
      <w:r>
        <w:rPr>
          <w:bCs/>
          <w:i/>
          <w:iCs/>
          <w:szCs w:val="22"/>
          <w:lang w:val="en-US"/>
        </w:rPr>
        <w:t>2025/2028</w:t>
      </w:r>
      <w:r w:rsidR="00ED7A82">
        <w:rPr>
          <w:bCs/>
          <w:i/>
          <w:iCs/>
          <w:szCs w:val="22"/>
          <w:lang w:val="en-US"/>
        </w:rPr>
        <w:t>:1</w:t>
      </w:r>
      <w:r w:rsidRPr="008E348A">
        <w:rPr>
          <w:bCs/>
          <w:i/>
          <w:iCs/>
          <w:szCs w:val="22"/>
          <w:lang w:val="en-US"/>
        </w:rPr>
        <w:t xml:space="preserve"> will be distributed over the years 202</w:t>
      </w:r>
      <w:r w:rsidR="00ED7A82">
        <w:rPr>
          <w:bCs/>
          <w:i/>
          <w:iCs/>
          <w:szCs w:val="22"/>
          <w:lang w:val="en-US"/>
        </w:rPr>
        <w:t>5</w:t>
      </w:r>
      <w:r w:rsidRPr="008E348A">
        <w:rPr>
          <w:bCs/>
          <w:i/>
          <w:iCs/>
          <w:szCs w:val="22"/>
          <w:lang w:val="en-US"/>
        </w:rPr>
        <w:t>–202</w:t>
      </w:r>
      <w:r w:rsidR="00ED7A82">
        <w:rPr>
          <w:bCs/>
          <w:i/>
          <w:iCs/>
          <w:szCs w:val="22"/>
          <w:lang w:val="en-US"/>
        </w:rPr>
        <w:t>8</w:t>
      </w:r>
      <w:r w:rsidRPr="008E348A">
        <w:rPr>
          <w:bCs/>
          <w:i/>
          <w:iCs/>
          <w:szCs w:val="22"/>
          <w:lang w:val="en-US"/>
        </w:rPr>
        <w:t>.</w:t>
      </w:r>
    </w:p>
    <w:p w14:paraId="33518651" w14:textId="77777777" w:rsidR="00ED7A82" w:rsidRPr="008E348A" w:rsidRDefault="00ED7A82" w:rsidP="00EA349E">
      <w:pPr>
        <w:rPr>
          <w:bCs/>
          <w:i/>
          <w:iCs/>
          <w:szCs w:val="22"/>
          <w:lang w:val="en-US"/>
        </w:rPr>
      </w:pPr>
    </w:p>
    <w:p w14:paraId="346AA828" w14:textId="6ED48F63" w:rsidR="00EA349E" w:rsidRPr="008E348A" w:rsidRDefault="00EA349E" w:rsidP="00EA349E">
      <w:pPr>
        <w:rPr>
          <w:bCs/>
          <w:szCs w:val="22"/>
        </w:rPr>
      </w:pPr>
      <w:r w:rsidRPr="008E348A">
        <w:rPr>
          <w:bCs/>
          <w:szCs w:val="22"/>
        </w:rPr>
        <w:lastRenderedPageBreak/>
        <w:t xml:space="preserve">Det ska noteras att samtliga beräkningar ovan är preliminära, baserat på antaganden och endast syftar till att ge en illustration av de kostnader som </w:t>
      </w:r>
      <w:r w:rsidR="000403FD">
        <w:rPr>
          <w:bCs/>
          <w:szCs w:val="22"/>
        </w:rPr>
        <w:t>Prestationsaktieprogram</w:t>
      </w:r>
      <w:r w:rsidRPr="008E348A">
        <w:rPr>
          <w:bCs/>
          <w:szCs w:val="22"/>
        </w:rPr>
        <w:t xml:space="preserve"> </w:t>
      </w:r>
      <w:r>
        <w:rPr>
          <w:bCs/>
          <w:szCs w:val="22"/>
        </w:rPr>
        <w:t>2025/2028</w:t>
      </w:r>
      <w:r w:rsidR="00ED7A82">
        <w:rPr>
          <w:bCs/>
          <w:szCs w:val="22"/>
        </w:rPr>
        <w:t>:1</w:t>
      </w:r>
      <w:r w:rsidRPr="008E348A">
        <w:rPr>
          <w:bCs/>
          <w:szCs w:val="22"/>
        </w:rPr>
        <w:t xml:space="preserve"> kan medföra. Verkliga kostnader kan således komma att avvika från vad som anges ovan.</w:t>
      </w:r>
    </w:p>
    <w:p w14:paraId="7AC1DE0B" w14:textId="36ED2514" w:rsidR="00EA349E" w:rsidRPr="008E348A" w:rsidRDefault="00EA349E" w:rsidP="00EA349E">
      <w:pPr>
        <w:rPr>
          <w:i/>
          <w:szCs w:val="22"/>
          <w:lang w:val="en-US"/>
        </w:rPr>
      </w:pPr>
      <w:r w:rsidRPr="008E348A">
        <w:rPr>
          <w:i/>
          <w:szCs w:val="22"/>
          <w:lang w:val="en-US"/>
        </w:rPr>
        <w:t xml:space="preserve">It should be noted that all calculations above are preliminary, based on assumptions and only aim to provide an illustration of the costs that the </w:t>
      </w:r>
      <w:r w:rsidR="000403FD">
        <w:rPr>
          <w:i/>
          <w:szCs w:val="22"/>
          <w:lang w:val="en-US"/>
        </w:rPr>
        <w:t>Performance Share Program</w:t>
      </w:r>
      <w:r w:rsidRPr="008E348A">
        <w:rPr>
          <w:i/>
          <w:szCs w:val="22"/>
          <w:lang w:val="en-US"/>
        </w:rPr>
        <w:t xml:space="preserve"> </w:t>
      </w:r>
      <w:r>
        <w:rPr>
          <w:i/>
          <w:szCs w:val="22"/>
          <w:lang w:val="en-US"/>
        </w:rPr>
        <w:t>2025/2028</w:t>
      </w:r>
      <w:r w:rsidR="00ED7A82">
        <w:rPr>
          <w:i/>
          <w:szCs w:val="22"/>
          <w:lang w:val="en-US"/>
        </w:rPr>
        <w:t>:1</w:t>
      </w:r>
      <w:r w:rsidRPr="008E348A">
        <w:rPr>
          <w:i/>
          <w:szCs w:val="22"/>
          <w:lang w:val="en-US"/>
        </w:rPr>
        <w:t xml:space="preserve"> may entail. Actual costs may thus deviate from what is stated above.</w:t>
      </w:r>
    </w:p>
    <w:p w14:paraId="7A705230" w14:textId="77777777" w:rsidR="00EA349E" w:rsidRPr="008E348A" w:rsidRDefault="00EA349E" w:rsidP="00EA349E">
      <w:pPr>
        <w:rPr>
          <w:bCs/>
          <w:szCs w:val="22"/>
          <w:lang w:val="en-US"/>
        </w:rPr>
      </w:pPr>
    </w:p>
    <w:p w14:paraId="5F403B65" w14:textId="1FF9D7C6" w:rsidR="00ED7A82" w:rsidRPr="008E348A" w:rsidRDefault="00ED7A82" w:rsidP="00ED7A82">
      <w:pPr>
        <w:rPr>
          <w:bCs/>
          <w:szCs w:val="22"/>
          <w:u w:val="single"/>
        </w:rPr>
      </w:pPr>
      <w:r>
        <w:rPr>
          <w:bCs/>
          <w:szCs w:val="22"/>
          <w:u w:val="single"/>
        </w:rPr>
        <w:t>Prestationsaktieprogram</w:t>
      </w:r>
      <w:r w:rsidRPr="008E348A">
        <w:rPr>
          <w:bCs/>
          <w:szCs w:val="22"/>
          <w:u w:val="single"/>
        </w:rPr>
        <w:t xml:space="preserve"> </w:t>
      </w:r>
      <w:r>
        <w:rPr>
          <w:bCs/>
          <w:szCs w:val="22"/>
          <w:u w:val="single"/>
        </w:rPr>
        <w:t>2025/2028:2</w:t>
      </w:r>
    </w:p>
    <w:p w14:paraId="3E336B3B" w14:textId="3D994145" w:rsidR="00ED7A82" w:rsidRPr="00EE396E" w:rsidRDefault="00ED7A82" w:rsidP="00ED7A82">
      <w:pPr>
        <w:pStyle w:val="BodyText"/>
        <w:spacing w:after="0"/>
        <w:rPr>
          <w:i/>
          <w:szCs w:val="22"/>
          <w:u w:val="single"/>
          <w:lang w:val="sv-SE"/>
        </w:rPr>
      </w:pPr>
      <w:proofErr w:type="spellStart"/>
      <w:r w:rsidRPr="00EE396E">
        <w:rPr>
          <w:i/>
          <w:szCs w:val="22"/>
          <w:u w:val="single"/>
          <w:lang w:val="sv-SE"/>
        </w:rPr>
        <w:t>Performance</w:t>
      </w:r>
      <w:proofErr w:type="spellEnd"/>
      <w:r w:rsidRPr="00EE396E">
        <w:rPr>
          <w:i/>
          <w:szCs w:val="22"/>
          <w:u w:val="single"/>
          <w:lang w:val="sv-SE"/>
        </w:rPr>
        <w:t xml:space="preserve"> Share Program 2025/2028:2</w:t>
      </w:r>
    </w:p>
    <w:p w14:paraId="55A59298" w14:textId="161F86CB" w:rsidR="00ED7A82" w:rsidRPr="008E348A" w:rsidRDefault="00ED7A82" w:rsidP="00ED7A82">
      <w:pPr>
        <w:rPr>
          <w:bCs/>
          <w:szCs w:val="22"/>
        </w:rPr>
      </w:pPr>
      <w:r w:rsidRPr="008E348A">
        <w:rPr>
          <w:bCs/>
          <w:szCs w:val="22"/>
        </w:rPr>
        <w:t xml:space="preserve">Kostnader relaterade till </w:t>
      </w:r>
      <w:r>
        <w:rPr>
          <w:bCs/>
          <w:szCs w:val="22"/>
        </w:rPr>
        <w:t>Prestationsaktieprogram</w:t>
      </w:r>
      <w:r w:rsidRPr="008E348A">
        <w:rPr>
          <w:bCs/>
          <w:szCs w:val="22"/>
        </w:rPr>
        <w:t xml:space="preserve"> </w:t>
      </w:r>
      <w:r>
        <w:rPr>
          <w:bCs/>
          <w:szCs w:val="22"/>
        </w:rPr>
        <w:t xml:space="preserve">2025/2028:2 </w:t>
      </w:r>
      <w:r w:rsidRPr="008E348A">
        <w:rPr>
          <w:bCs/>
          <w:szCs w:val="22"/>
        </w:rPr>
        <w:t xml:space="preserve">kommer att redovisas i enlighet med IFRS 2, som innebär att Prestationsaktierna ska </w:t>
      </w:r>
      <w:proofErr w:type="spellStart"/>
      <w:r w:rsidRPr="008E348A">
        <w:rPr>
          <w:bCs/>
          <w:szCs w:val="22"/>
        </w:rPr>
        <w:t>kostnadsföras</w:t>
      </w:r>
      <w:proofErr w:type="spellEnd"/>
      <w:r w:rsidRPr="008E348A">
        <w:rPr>
          <w:bCs/>
          <w:szCs w:val="22"/>
        </w:rPr>
        <w:t xml:space="preserve"> som en personalkostnad över intjänandeperioden utan påverkan på Bolagets kassaflöde.</w:t>
      </w:r>
    </w:p>
    <w:p w14:paraId="4BF5BB18" w14:textId="13D542C3" w:rsidR="00ED7A82" w:rsidRPr="008E348A" w:rsidRDefault="00ED7A82" w:rsidP="00ED7A82">
      <w:pPr>
        <w:rPr>
          <w:i/>
          <w:szCs w:val="22"/>
          <w:lang w:val="en-US"/>
        </w:rPr>
      </w:pPr>
      <w:r w:rsidRPr="008E348A">
        <w:rPr>
          <w:i/>
          <w:szCs w:val="22"/>
          <w:lang w:val="en-US"/>
        </w:rPr>
        <w:t xml:space="preserve">Costs related to </w:t>
      </w:r>
      <w:r>
        <w:rPr>
          <w:i/>
          <w:szCs w:val="22"/>
          <w:lang w:val="en-US"/>
        </w:rPr>
        <w:t>Performance Share Program</w:t>
      </w:r>
      <w:r w:rsidRPr="008E348A">
        <w:rPr>
          <w:i/>
          <w:szCs w:val="22"/>
          <w:lang w:val="en-US"/>
        </w:rPr>
        <w:t xml:space="preserve"> </w:t>
      </w:r>
      <w:r>
        <w:rPr>
          <w:i/>
          <w:szCs w:val="22"/>
          <w:lang w:val="en-US"/>
        </w:rPr>
        <w:t>2025/2028:2</w:t>
      </w:r>
      <w:r w:rsidRPr="008E348A">
        <w:rPr>
          <w:i/>
          <w:szCs w:val="22"/>
          <w:lang w:val="en-US"/>
        </w:rPr>
        <w:t xml:space="preserve"> will be reported in accordance with IFRS</w:t>
      </w:r>
      <w:r>
        <w:rPr>
          <w:i/>
          <w:szCs w:val="22"/>
          <w:lang w:val="en-US"/>
        </w:rPr>
        <w:t> </w:t>
      </w:r>
      <w:r w:rsidRPr="008E348A">
        <w:rPr>
          <w:i/>
          <w:szCs w:val="22"/>
          <w:lang w:val="en-US"/>
        </w:rPr>
        <w:t xml:space="preserve">2, which means that the Performance Shares must be </w:t>
      </w:r>
      <w:proofErr w:type="gramStart"/>
      <w:r w:rsidRPr="008E348A">
        <w:rPr>
          <w:i/>
          <w:szCs w:val="22"/>
          <w:lang w:val="en-US"/>
        </w:rPr>
        <w:t>expensed</w:t>
      </w:r>
      <w:proofErr w:type="gramEnd"/>
      <w:r w:rsidRPr="008E348A">
        <w:rPr>
          <w:i/>
          <w:szCs w:val="22"/>
          <w:lang w:val="en-US"/>
        </w:rPr>
        <w:t xml:space="preserve"> as a personnel cost over the vesting period without impact on the Company's cash flow.</w:t>
      </w:r>
    </w:p>
    <w:p w14:paraId="2D175472" w14:textId="77777777" w:rsidR="00ED7A82" w:rsidRPr="008E348A" w:rsidRDefault="00ED7A82" w:rsidP="00ED7A82">
      <w:pPr>
        <w:rPr>
          <w:bCs/>
          <w:szCs w:val="22"/>
          <w:lang w:val="en-US"/>
        </w:rPr>
      </w:pPr>
    </w:p>
    <w:p w14:paraId="730F7340" w14:textId="4EEFAEEC" w:rsidR="00ED7A82" w:rsidRPr="008E348A" w:rsidRDefault="00ED7A82" w:rsidP="00ED7A82">
      <w:pPr>
        <w:rPr>
          <w:bCs/>
          <w:szCs w:val="22"/>
          <w:lang w:val="en-US"/>
        </w:rPr>
      </w:pPr>
      <w:r w:rsidRPr="008E348A">
        <w:rPr>
          <w:bCs/>
          <w:szCs w:val="22"/>
        </w:rPr>
        <w:t xml:space="preserve">Om Prestationsaktier utnyttjas kommer </w:t>
      </w:r>
      <w:r>
        <w:rPr>
          <w:bCs/>
          <w:szCs w:val="22"/>
        </w:rPr>
        <w:t>Prestationsaktieprogram</w:t>
      </w:r>
      <w:r w:rsidRPr="008E348A">
        <w:rPr>
          <w:bCs/>
          <w:szCs w:val="22"/>
        </w:rPr>
        <w:t xml:space="preserve"> </w:t>
      </w:r>
      <w:r>
        <w:rPr>
          <w:bCs/>
          <w:szCs w:val="22"/>
        </w:rPr>
        <w:t>2025/2028:2</w:t>
      </w:r>
      <w:r w:rsidRPr="008E348A">
        <w:rPr>
          <w:bCs/>
          <w:szCs w:val="22"/>
        </w:rPr>
        <w:t xml:space="preserve"> därutöver att medföra kostnader i form av sociala avgifter. De totala kostnaderna för sociala avgifter beror dels på deltagarens </w:t>
      </w:r>
      <w:proofErr w:type="spellStart"/>
      <w:r w:rsidRPr="008E348A">
        <w:rPr>
          <w:bCs/>
          <w:szCs w:val="22"/>
        </w:rPr>
        <w:t>anställningsförhållande</w:t>
      </w:r>
      <w:proofErr w:type="spellEnd"/>
      <w:r w:rsidRPr="008E348A">
        <w:rPr>
          <w:bCs/>
          <w:szCs w:val="22"/>
        </w:rPr>
        <w:t>, dels hur många Prestationsaktier som tjänas in, och dels på värdet av den förmån som deltagaren slutligen erhåller, dvs. Prestationsaktiernas värde vid utnyttjandet år 202</w:t>
      </w:r>
      <w:r>
        <w:rPr>
          <w:bCs/>
          <w:szCs w:val="22"/>
        </w:rPr>
        <w:t>8</w:t>
      </w:r>
      <w:r w:rsidRPr="008E348A">
        <w:rPr>
          <w:bCs/>
          <w:szCs w:val="22"/>
        </w:rPr>
        <w:t xml:space="preserve">. </w:t>
      </w:r>
      <w:proofErr w:type="spellStart"/>
      <w:r w:rsidRPr="008E348A">
        <w:rPr>
          <w:bCs/>
          <w:szCs w:val="22"/>
          <w:lang w:val="en-US"/>
        </w:rPr>
        <w:t>Sociala</w:t>
      </w:r>
      <w:proofErr w:type="spellEnd"/>
      <w:r w:rsidRPr="008E348A">
        <w:rPr>
          <w:bCs/>
          <w:szCs w:val="22"/>
          <w:lang w:val="en-US"/>
        </w:rPr>
        <w:t xml:space="preserve"> </w:t>
      </w:r>
      <w:proofErr w:type="spellStart"/>
      <w:r w:rsidRPr="008E348A">
        <w:rPr>
          <w:bCs/>
          <w:szCs w:val="22"/>
          <w:lang w:val="en-US"/>
        </w:rPr>
        <w:t>avgifter</w:t>
      </w:r>
      <w:proofErr w:type="spellEnd"/>
      <w:r w:rsidRPr="008E348A">
        <w:rPr>
          <w:bCs/>
          <w:szCs w:val="22"/>
          <w:lang w:val="en-US"/>
        </w:rPr>
        <w:t xml:space="preserve"> </w:t>
      </w:r>
      <w:proofErr w:type="spellStart"/>
      <w:r w:rsidRPr="008E348A">
        <w:rPr>
          <w:bCs/>
          <w:szCs w:val="22"/>
          <w:lang w:val="en-US"/>
        </w:rPr>
        <w:t>kommer</w:t>
      </w:r>
      <w:proofErr w:type="spellEnd"/>
      <w:r w:rsidRPr="008E348A">
        <w:rPr>
          <w:bCs/>
          <w:szCs w:val="22"/>
          <w:lang w:val="en-US"/>
        </w:rPr>
        <w:t xml:space="preserve"> </w:t>
      </w:r>
      <w:proofErr w:type="spellStart"/>
      <w:r w:rsidRPr="008E348A">
        <w:rPr>
          <w:bCs/>
          <w:szCs w:val="22"/>
          <w:lang w:val="en-US"/>
        </w:rPr>
        <w:t>att</w:t>
      </w:r>
      <w:proofErr w:type="spellEnd"/>
      <w:r w:rsidRPr="008E348A">
        <w:rPr>
          <w:bCs/>
          <w:szCs w:val="22"/>
          <w:lang w:val="en-US"/>
        </w:rPr>
        <w:t xml:space="preserve"> </w:t>
      </w:r>
      <w:proofErr w:type="spellStart"/>
      <w:r w:rsidRPr="008E348A">
        <w:rPr>
          <w:bCs/>
          <w:szCs w:val="22"/>
          <w:lang w:val="en-US"/>
        </w:rPr>
        <w:t>kostnadsföras</w:t>
      </w:r>
      <w:proofErr w:type="spellEnd"/>
      <w:r w:rsidRPr="008E348A">
        <w:rPr>
          <w:bCs/>
          <w:szCs w:val="22"/>
          <w:lang w:val="en-US"/>
        </w:rPr>
        <w:t xml:space="preserve"> </w:t>
      </w:r>
      <w:proofErr w:type="spellStart"/>
      <w:r w:rsidRPr="008E348A">
        <w:rPr>
          <w:bCs/>
          <w:szCs w:val="22"/>
          <w:lang w:val="en-US"/>
        </w:rPr>
        <w:t>i</w:t>
      </w:r>
      <w:proofErr w:type="spellEnd"/>
      <w:r w:rsidRPr="008E348A">
        <w:rPr>
          <w:bCs/>
          <w:szCs w:val="22"/>
          <w:lang w:val="en-US"/>
        </w:rPr>
        <w:t xml:space="preserve"> </w:t>
      </w:r>
      <w:proofErr w:type="spellStart"/>
      <w:r w:rsidRPr="008E348A">
        <w:rPr>
          <w:bCs/>
          <w:szCs w:val="22"/>
          <w:lang w:val="en-US"/>
        </w:rPr>
        <w:t>resultaträkningen</w:t>
      </w:r>
      <w:proofErr w:type="spellEnd"/>
      <w:r w:rsidRPr="008E348A">
        <w:rPr>
          <w:bCs/>
          <w:szCs w:val="22"/>
          <w:lang w:val="en-US"/>
        </w:rPr>
        <w:t xml:space="preserve"> under </w:t>
      </w:r>
      <w:proofErr w:type="spellStart"/>
      <w:r w:rsidRPr="008E348A">
        <w:rPr>
          <w:bCs/>
          <w:szCs w:val="22"/>
          <w:lang w:val="en-US"/>
        </w:rPr>
        <w:t>intjänandeperioden</w:t>
      </w:r>
      <w:proofErr w:type="spellEnd"/>
      <w:r w:rsidRPr="008E348A">
        <w:rPr>
          <w:bCs/>
          <w:szCs w:val="22"/>
          <w:lang w:val="en-US"/>
        </w:rPr>
        <w:t xml:space="preserve">. </w:t>
      </w:r>
    </w:p>
    <w:p w14:paraId="32C55649" w14:textId="6162F6BC" w:rsidR="00ED7A82" w:rsidRPr="008E348A" w:rsidRDefault="00ED7A82" w:rsidP="00ED7A82">
      <w:pPr>
        <w:rPr>
          <w:i/>
          <w:szCs w:val="22"/>
          <w:lang w:val="en-US"/>
        </w:rPr>
      </w:pPr>
      <w:r w:rsidRPr="008E348A">
        <w:rPr>
          <w:i/>
          <w:szCs w:val="22"/>
          <w:lang w:val="en-US"/>
        </w:rPr>
        <w:t xml:space="preserve">If Performance Shares are used, the </w:t>
      </w:r>
      <w:r>
        <w:rPr>
          <w:i/>
          <w:szCs w:val="22"/>
          <w:lang w:val="en-US"/>
        </w:rPr>
        <w:t>Performance Share Program</w:t>
      </w:r>
      <w:r w:rsidRPr="008E348A">
        <w:rPr>
          <w:i/>
          <w:szCs w:val="22"/>
          <w:lang w:val="en-US"/>
        </w:rPr>
        <w:t xml:space="preserve"> </w:t>
      </w:r>
      <w:r>
        <w:rPr>
          <w:i/>
          <w:szCs w:val="22"/>
          <w:lang w:val="en-US"/>
        </w:rPr>
        <w:t>2025/2028:2</w:t>
      </w:r>
      <w:r w:rsidRPr="008E348A">
        <w:rPr>
          <w:i/>
          <w:szCs w:val="22"/>
          <w:lang w:val="en-US"/>
        </w:rPr>
        <w:t xml:space="preserve"> will additionally entail costs in the form of social security contributions. The total costs for social security contributions depend partly on the participant's employment relationship, partly on how many Performance Shares are earned, and partly on the value of the benefit that the participant ultimately receives, i.e. The value of the Performance Shares upon exercise in 202</w:t>
      </w:r>
      <w:r>
        <w:rPr>
          <w:i/>
          <w:szCs w:val="22"/>
          <w:lang w:val="en-US"/>
        </w:rPr>
        <w:t>8</w:t>
      </w:r>
      <w:r w:rsidRPr="008E348A">
        <w:rPr>
          <w:i/>
          <w:szCs w:val="22"/>
          <w:lang w:val="en-US"/>
        </w:rPr>
        <w:t xml:space="preserve">. Social security contributions will be </w:t>
      </w:r>
      <w:proofErr w:type="gramStart"/>
      <w:r w:rsidRPr="008E348A">
        <w:rPr>
          <w:i/>
          <w:szCs w:val="22"/>
          <w:lang w:val="en-US"/>
        </w:rPr>
        <w:t>expensed</w:t>
      </w:r>
      <w:proofErr w:type="gramEnd"/>
      <w:r w:rsidRPr="008E348A">
        <w:rPr>
          <w:i/>
          <w:szCs w:val="22"/>
          <w:lang w:val="en-US"/>
        </w:rPr>
        <w:t xml:space="preserve"> in the income statement during the vesting period. </w:t>
      </w:r>
    </w:p>
    <w:p w14:paraId="578C080F" w14:textId="77777777" w:rsidR="00ED7A82" w:rsidRPr="008E348A" w:rsidRDefault="00ED7A82" w:rsidP="00ED7A82">
      <w:pPr>
        <w:rPr>
          <w:bCs/>
          <w:szCs w:val="22"/>
          <w:lang w:val="en-US"/>
        </w:rPr>
      </w:pPr>
    </w:p>
    <w:p w14:paraId="321E039D" w14:textId="2D5B0DF0" w:rsidR="00ED7A82" w:rsidRPr="008E348A" w:rsidRDefault="00ED7A82" w:rsidP="00ED7A82">
      <w:pPr>
        <w:rPr>
          <w:bCs/>
          <w:szCs w:val="22"/>
        </w:rPr>
      </w:pPr>
      <w:r w:rsidRPr="008E348A">
        <w:rPr>
          <w:bCs/>
          <w:szCs w:val="22"/>
        </w:rPr>
        <w:t xml:space="preserve">Baserat på antagandet att samtliga </w:t>
      </w:r>
      <w:r w:rsidR="00D2279F">
        <w:rPr>
          <w:szCs w:val="22"/>
        </w:rPr>
        <w:t>1 980 900</w:t>
      </w:r>
      <w:r w:rsidRPr="008E348A">
        <w:rPr>
          <w:bCs/>
          <w:szCs w:val="22"/>
        </w:rPr>
        <w:t xml:space="preserve"> Prestationsaktier som ingår i </w:t>
      </w:r>
      <w:r>
        <w:rPr>
          <w:bCs/>
          <w:szCs w:val="22"/>
        </w:rPr>
        <w:t>Prestationsaktieprogram</w:t>
      </w:r>
      <w:r w:rsidRPr="008E348A">
        <w:rPr>
          <w:bCs/>
          <w:szCs w:val="22"/>
        </w:rPr>
        <w:t xml:space="preserve"> </w:t>
      </w:r>
      <w:r>
        <w:rPr>
          <w:bCs/>
          <w:szCs w:val="22"/>
        </w:rPr>
        <w:t>2025/2028:2</w:t>
      </w:r>
      <w:r w:rsidRPr="008E348A">
        <w:rPr>
          <w:bCs/>
          <w:szCs w:val="22"/>
        </w:rPr>
        <w:t xml:space="preserve"> tilldelas, en antagen aktiekurs om </w:t>
      </w:r>
      <w:r w:rsidR="00D2279F">
        <w:rPr>
          <w:szCs w:val="22"/>
        </w:rPr>
        <w:t>1,7</w:t>
      </w:r>
      <w:r w:rsidRPr="008E348A">
        <w:rPr>
          <w:bCs/>
          <w:szCs w:val="22"/>
        </w:rPr>
        <w:t xml:space="preserve"> kronor vid utnyttjandet av Prestationsaktierna och en antagen genomsnittlig procentsats för sociala avgifter om cirka </w:t>
      </w:r>
      <w:r w:rsidR="00D2279F">
        <w:rPr>
          <w:bCs/>
          <w:szCs w:val="22"/>
        </w:rPr>
        <w:t xml:space="preserve">32 </w:t>
      </w:r>
      <w:r w:rsidRPr="008E348A">
        <w:rPr>
          <w:bCs/>
          <w:szCs w:val="22"/>
        </w:rPr>
        <w:t xml:space="preserve">procent, beräknas de totala kostnaderna för programmet, inklusive sociala avgifter, att uppgå till cirka </w:t>
      </w:r>
      <w:r w:rsidR="00D2279F">
        <w:rPr>
          <w:szCs w:val="22"/>
        </w:rPr>
        <w:t>1 631 000</w:t>
      </w:r>
      <w:r w:rsidRPr="008E348A">
        <w:rPr>
          <w:bCs/>
          <w:szCs w:val="22"/>
        </w:rPr>
        <w:t xml:space="preserve"> kronor, vilket motsvarar cirka </w:t>
      </w:r>
      <w:r w:rsidR="0074749D">
        <w:rPr>
          <w:szCs w:val="22"/>
        </w:rPr>
        <w:t>2,88</w:t>
      </w:r>
      <w:r w:rsidRPr="008E348A">
        <w:rPr>
          <w:bCs/>
          <w:szCs w:val="22"/>
        </w:rPr>
        <w:t xml:space="preserve"> procent av Bolagets totala årliga lönekostnader för anställda (inklusive sociala avgifter) beräknat på lönekostnader för räkenskapsåret 202</w:t>
      </w:r>
      <w:r>
        <w:rPr>
          <w:bCs/>
          <w:szCs w:val="22"/>
        </w:rPr>
        <w:t>4</w:t>
      </w:r>
      <w:r w:rsidRPr="008E348A">
        <w:rPr>
          <w:bCs/>
          <w:szCs w:val="22"/>
        </w:rPr>
        <w:t>/202</w:t>
      </w:r>
      <w:r>
        <w:rPr>
          <w:bCs/>
          <w:szCs w:val="22"/>
        </w:rPr>
        <w:t>5</w:t>
      </w:r>
      <w:r w:rsidRPr="008E348A">
        <w:rPr>
          <w:bCs/>
          <w:szCs w:val="22"/>
        </w:rPr>
        <w:t>.</w:t>
      </w:r>
    </w:p>
    <w:p w14:paraId="447D618C" w14:textId="442210F4" w:rsidR="00ED7A82" w:rsidRPr="008E348A" w:rsidRDefault="00ED7A82" w:rsidP="00ED7A82">
      <w:pPr>
        <w:rPr>
          <w:i/>
          <w:szCs w:val="22"/>
          <w:lang w:val="en-US"/>
        </w:rPr>
      </w:pPr>
      <w:r w:rsidRPr="008E348A">
        <w:rPr>
          <w:i/>
          <w:szCs w:val="22"/>
          <w:lang w:val="en-US"/>
        </w:rPr>
        <w:t xml:space="preserve">Based on the assumption that all </w:t>
      </w:r>
      <w:r w:rsidR="00D2279F" w:rsidRPr="00D2279F">
        <w:rPr>
          <w:i/>
          <w:szCs w:val="22"/>
          <w:lang w:val="en-US"/>
        </w:rPr>
        <w:t>1</w:t>
      </w:r>
      <w:r w:rsidR="00D2279F">
        <w:rPr>
          <w:i/>
          <w:szCs w:val="22"/>
          <w:lang w:val="en-US"/>
        </w:rPr>
        <w:t>,</w:t>
      </w:r>
      <w:r w:rsidR="00D2279F" w:rsidRPr="00D2279F">
        <w:rPr>
          <w:i/>
          <w:szCs w:val="22"/>
          <w:lang w:val="en-US"/>
        </w:rPr>
        <w:t>980</w:t>
      </w:r>
      <w:r w:rsidR="00D2279F">
        <w:rPr>
          <w:i/>
          <w:szCs w:val="22"/>
          <w:lang w:val="en-US"/>
        </w:rPr>
        <w:t>,</w:t>
      </w:r>
      <w:r w:rsidR="00D2279F" w:rsidRPr="00D2279F">
        <w:rPr>
          <w:i/>
          <w:szCs w:val="22"/>
          <w:lang w:val="en-US"/>
        </w:rPr>
        <w:t>900</w:t>
      </w:r>
      <w:r w:rsidR="00D2279F">
        <w:rPr>
          <w:i/>
          <w:szCs w:val="22"/>
          <w:lang w:val="en-US"/>
        </w:rPr>
        <w:t xml:space="preserve"> </w:t>
      </w:r>
      <w:r w:rsidRPr="008E348A">
        <w:rPr>
          <w:i/>
          <w:szCs w:val="22"/>
          <w:lang w:val="en-US"/>
        </w:rPr>
        <w:t xml:space="preserve">Performance Shares included in the </w:t>
      </w:r>
      <w:r>
        <w:rPr>
          <w:i/>
          <w:szCs w:val="22"/>
          <w:lang w:val="en-US"/>
        </w:rPr>
        <w:t>Performance Share Program</w:t>
      </w:r>
      <w:r w:rsidRPr="008E348A">
        <w:rPr>
          <w:i/>
          <w:szCs w:val="22"/>
          <w:lang w:val="en-US"/>
        </w:rPr>
        <w:t xml:space="preserve"> </w:t>
      </w:r>
      <w:r>
        <w:rPr>
          <w:i/>
          <w:szCs w:val="22"/>
          <w:lang w:val="en-US"/>
        </w:rPr>
        <w:t>2025/2028:2</w:t>
      </w:r>
      <w:r w:rsidRPr="008E348A">
        <w:rPr>
          <w:i/>
          <w:szCs w:val="22"/>
          <w:lang w:val="en-US"/>
        </w:rPr>
        <w:t xml:space="preserve"> are allocated, an assumed share price of SE</w:t>
      </w:r>
      <w:r w:rsidRPr="00A11C00">
        <w:rPr>
          <w:i/>
          <w:szCs w:val="22"/>
          <w:lang w:val="en-US"/>
        </w:rPr>
        <w:t xml:space="preserve">K </w:t>
      </w:r>
      <w:r w:rsidR="00D2279F">
        <w:rPr>
          <w:i/>
          <w:szCs w:val="22"/>
          <w:lang w:val="en-US"/>
        </w:rPr>
        <w:t>1.7</w:t>
      </w:r>
      <w:r w:rsidRPr="00A11C00">
        <w:rPr>
          <w:i/>
          <w:szCs w:val="22"/>
          <w:lang w:val="en-US"/>
        </w:rPr>
        <w:t xml:space="preserve"> when the Performance Shares are used and an assumed average percentage for social security contributions of approximately </w:t>
      </w:r>
      <w:r w:rsidR="00D2279F">
        <w:rPr>
          <w:i/>
          <w:szCs w:val="22"/>
          <w:lang w:val="en-US"/>
        </w:rPr>
        <w:t xml:space="preserve">32 </w:t>
      </w:r>
      <w:r w:rsidRPr="00A11C00">
        <w:rPr>
          <w:i/>
          <w:szCs w:val="22"/>
          <w:lang w:val="en-US"/>
        </w:rPr>
        <w:t xml:space="preserve">percent, the total the costs of the program, </w:t>
      </w:r>
      <w:r w:rsidRPr="008E348A">
        <w:rPr>
          <w:i/>
          <w:szCs w:val="22"/>
          <w:lang w:val="en-US"/>
        </w:rPr>
        <w:t xml:space="preserve">including social security contributions, to amount to approximately </w:t>
      </w:r>
      <w:r w:rsidRPr="00ED7A82">
        <w:rPr>
          <w:i/>
          <w:szCs w:val="22"/>
          <w:lang w:val="en-US"/>
        </w:rPr>
        <w:t xml:space="preserve">SEK </w:t>
      </w:r>
      <w:r w:rsidR="00D2279F">
        <w:rPr>
          <w:i/>
          <w:szCs w:val="22"/>
          <w:lang w:val="en-US"/>
        </w:rPr>
        <w:t>1,631,000</w:t>
      </w:r>
      <w:r w:rsidRPr="00ED7A82">
        <w:rPr>
          <w:i/>
          <w:szCs w:val="22"/>
          <w:lang w:val="en-US"/>
        </w:rPr>
        <w:t>,</w:t>
      </w:r>
      <w:r w:rsidRPr="008E348A">
        <w:rPr>
          <w:i/>
          <w:szCs w:val="22"/>
          <w:lang w:val="en-US"/>
        </w:rPr>
        <w:t xml:space="preserve"> which corresponds to approximately</w:t>
      </w:r>
      <w:r>
        <w:rPr>
          <w:i/>
          <w:szCs w:val="22"/>
          <w:lang w:val="en-US"/>
        </w:rPr>
        <w:t xml:space="preserve"> </w:t>
      </w:r>
      <w:r w:rsidR="0074749D">
        <w:rPr>
          <w:i/>
          <w:szCs w:val="22"/>
          <w:lang w:val="en-US"/>
        </w:rPr>
        <w:t xml:space="preserve">2.88 </w:t>
      </w:r>
      <w:r w:rsidRPr="008E348A">
        <w:rPr>
          <w:i/>
          <w:szCs w:val="22"/>
          <w:lang w:val="en-US"/>
        </w:rPr>
        <w:t>percent of the Company's total annual salary costs for employees (including social security contributions) calculated on salary costs for the financial year 202</w:t>
      </w:r>
      <w:r>
        <w:rPr>
          <w:i/>
          <w:szCs w:val="22"/>
          <w:lang w:val="en-US"/>
        </w:rPr>
        <w:t>4</w:t>
      </w:r>
      <w:r w:rsidRPr="008E348A">
        <w:rPr>
          <w:i/>
          <w:szCs w:val="22"/>
          <w:lang w:val="en-US"/>
        </w:rPr>
        <w:t>/202</w:t>
      </w:r>
      <w:r>
        <w:rPr>
          <w:i/>
          <w:szCs w:val="22"/>
          <w:lang w:val="en-US"/>
        </w:rPr>
        <w:t>5</w:t>
      </w:r>
      <w:r w:rsidRPr="008E348A">
        <w:rPr>
          <w:i/>
          <w:szCs w:val="22"/>
          <w:lang w:val="en-US"/>
        </w:rPr>
        <w:t>.</w:t>
      </w:r>
    </w:p>
    <w:p w14:paraId="19140497" w14:textId="77777777" w:rsidR="00ED7A82" w:rsidRPr="008E348A" w:rsidRDefault="00ED7A82" w:rsidP="00ED7A82">
      <w:pPr>
        <w:rPr>
          <w:bCs/>
          <w:szCs w:val="22"/>
          <w:lang w:val="en-US"/>
        </w:rPr>
      </w:pPr>
    </w:p>
    <w:p w14:paraId="3000C855" w14:textId="762AC84E" w:rsidR="00ED7A82" w:rsidRPr="008E348A" w:rsidRDefault="00ED7A82" w:rsidP="00ED7A82">
      <w:pPr>
        <w:rPr>
          <w:bCs/>
          <w:szCs w:val="22"/>
        </w:rPr>
      </w:pPr>
      <w:r w:rsidRPr="008E348A">
        <w:rPr>
          <w:bCs/>
          <w:szCs w:val="22"/>
        </w:rPr>
        <w:t xml:space="preserve">De totala kostnaderna för </w:t>
      </w:r>
      <w:r>
        <w:rPr>
          <w:bCs/>
          <w:szCs w:val="22"/>
        </w:rPr>
        <w:t>Prestationsaktieprogram</w:t>
      </w:r>
      <w:r w:rsidRPr="008E348A">
        <w:rPr>
          <w:bCs/>
          <w:szCs w:val="22"/>
        </w:rPr>
        <w:t xml:space="preserve"> </w:t>
      </w:r>
      <w:r>
        <w:rPr>
          <w:bCs/>
          <w:szCs w:val="22"/>
        </w:rPr>
        <w:t>2025/2028:2</w:t>
      </w:r>
      <w:r w:rsidRPr="008E348A">
        <w:rPr>
          <w:bCs/>
          <w:szCs w:val="22"/>
        </w:rPr>
        <w:t xml:space="preserve"> kommer att fördelas över åren 202</w:t>
      </w:r>
      <w:r>
        <w:rPr>
          <w:bCs/>
          <w:szCs w:val="22"/>
        </w:rPr>
        <w:t>5</w:t>
      </w:r>
      <w:r w:rsidRPr="008E348A">
        <w:rPr>
          <w:bCs/>
          <w:szCs w:val="22"/>
        </w:rPr>
        <w:t>–202</w:t>
      </w:r>
      <w:r>
        <w:rPr>
          <w:bCs/>
          <w:szCs w:val="22"/>
        </w:rPr>
        <w:t>8</w:t>
      </w:r>
      <w:r w:rsidRPr="008E348A">
        <w:rPr>
          <w:bCs/>
          <w:szCs w:val="22"/>
        </w:rPr>
        <w:t xml:space="preserve">. </w:t>
      </w:r>
    </w:p>
    <w:p w14:paraId="2912368D" w14:textId="315904D0" w:rsidR="00ED7A82" w:rsidRDefault="00ED7A82" w:rsidP="00ED7A82">
      <w:pPr>
        <w:rPr>
          <w:bCs/>
          <w:i/>
          <w:iCs/>
          <w:szCs w:val="22"/>
          <w:lang w:val="en-US"/>
        </w:rPr>
      </w:pPr>
      <w:r w:rsidRPr="008E348A">
        <w:rPr>
          <w:bCs/>
          <w:i/>
          <w:iCs/>
          <w:szCs w:val="22"/>
          <w:lang w:val="en-US"/>
        </w:rPr>
        <w:t xml:space="preserve">The total costs for the </w:t>
      </w:r>
      <w:r>
        <w:rPr>
          <w:bCs/>
          <w:i/>
          <w:iCs/>
          <w:szCs w:val="22"/>
          <w:lang w:val="en-US"/>
        </w:rPr>
        <w:t>Performance Share Program</w:t>
      </w:r>
      <w:r w:rsidRPr="008E348A">
        <w:rPr>
          <w:bCs/>
          <w:i/>
          <w:iCs/>
          <w:szCs w:val="22"/>
          <w:lang w:val="en-US"/>
        </w:rPr>
        <w:t xml:space="preserve"> </w:t>
      </w:r>
      <w:r>
        <w:rPr>
          <w:bCs/>
          <w:i/>
          <w:iCs/>
          <w:szCs w:val="22"/>
          <w:lang w:val="en-US"/>
        </w:rPr>
        <w:t>2025/2028:2</w:t>
      </w:r>
      <w:r w:rsidRPr="008E348A">
        <w:rPr>
          <w:bCs/>
          <w:i/>
          <w:iCs/>
          <w:szCs w:val="22"/>
          <w:lang w:val="en-US"/>
        </w:rPr>
        <w:t xml:space="preserve"> will be distributed over the years 202</w:t>
      </w:r>
      <w:r>
        <w:rPr>
          <w:bCs/>
          <w:i/>
          <w:iCs/>
          <w:szCs w:val="22"/>
          <w:lang w:val="en-US"/>
        </w:rPr>
        <w:t>5</w:t>
      </w:r>
      <w:r w:rsidRPr="008E348A">
        <w:rPr>
          <w:bCs/>
          <w:i/>
          <w:iCs/>
          <w:szCs w:val="22"/>
          <w:lang w:val="en-US"/>
        </w:rPr>
        <w:t>–202</w:t>
      </w:r>
      <w:r>
        <w:rPr>
          <w:bCs/>
          <w:i/>
          <w:iCs/>
          <w:szCs w:val="22"/>
          <w:lang w:val="en-US"/>
        </w:rPr>
        <w:t>8</w:t>
      </w:r>
      <w:r w:rsidRPr="008E348A">
        <w:rPr>
          <w:bCs/>
          <w:i/>
          <w:iCs/>
          <w:szCs w:val="22"/>
          <w:lang w:val="en-US"/>
        </w:rPr>
        <w:t>.</w:t>
      </w:r>
    </w:p>
    <w:p w14:paraId="752EDBE8" w14:textId="77777777" w:rsidR="00ED7A82" w:rsidRPr="008E348A" w:rsidRDefault="00ED7A82" w:rsidP="00ED7A82">
      <w:pPr>
        <w:rPr>
          <w:bCs/>
          <w:i/>
          <w:iCs/>
          <w:szCs w:val="22"/>
          <w:lang w:val="en-US"/>
        </w:rPr>
      </w:pPr>
    </w:p>
    <w:p w14:paraId="3AC3989D" w14:textId="1004F97E" w:rsidR="00ED7A82" w:rsidRPr="008E348A" w:rsidRDefault="00ED7A82" w:rsidP="00ED7A82">
      <w:pPr>
        <w:rPr>
          <w:bCs/>
          <w:szCs w:val="22"/>
        </w:rPr>
      </w:pPr>
      <w:r w:rsidRPr="008E348A">
        <w:rPr>
          <w:bCs/>
          <w:szCs w:val="22"/>
        </w:rPr>
        <w:t xml:space="preserve">Det ska noteras att samtliga beräkningar ovan är preliminära, baserat på antaganden och endast syftar till att ge en illustration av de kostnader som </w:t>
      </w:r>
      <w:r>
        <w:rPr>
          <w:bCs/>
          <w:szCs w:val="22"/>
        </w:rPr>
        <w:t>Prestationsaktieprogram</w:t>
      </w:r>
      <w:r w:rsidRPr="008E348A">
        <w:rPr>
          <w:bCs/>
          <w:szCs w:val="22"/>
        </w:rPr>
        <w:t xml:space="preserve"> </w:t>
      </w:r>
      <w:r>
        <w:rPr>
          <w:bCs/>
          <w:szCs w:val="22"/>
        </w:rPr>
        <w:t>2025/2028:2</w:t>
      </w:r>
      <w:r w:rsidRPr="008E348A">
        <w:rPr>
          <w:bCs/>
          <w:szCs w:val="22"/>
        </w:rPr>
        <w:t xml:space="preserve"> kan medföra. Verkliga kostnader kan således komma att avvika från vad som anges ovan.</w:t>
      </w:r>
    </w:p>
    <w:p w14:paraId="2E9B4FBF" w14:textId="2B0E3A92" w:rsidR="00EA349E" w:rsidRPr="008E348A" w:rsidRDefault="00ED7A82" w:rsidP="00ED7A82">
      <w:pPr>
        <w:autoSpaceDE w:val="0"/>
        <w:autoSpaceDN w:val="0"/>
        <w:adjustRightInd w:val="0"/>
        <w:rPr>
          <w:i/>
          <w:szCs w:val="22"/>
          <w:lang w:val="en-US"/>
        </w:rPr>
      </w:pPr>
      <w:r w:rsidRPr="008E348A">
        <w:rPr>
          <w:i/>
          <w:szCs w:val="22"/>
          <w:lang w:val="en-US"/>
        </w:rPr>
        <w:t xml:space="preserve">It should be noted that all calculations above are preliminary, based on assumptions and only aim to provide an illustration of the costs that the </w:t>
      </w:r>
      <w:r>
        <w:rPr>
          <w:i/>
          <w:szCs w:val="22"/>
          <w:lang w:val="en-US"/>
        </w:rPr>
        <w:t>Performance Share Program</w:t>
      </w:r>
      <w:r w:rsidRPr="008E348A">
        <w:rPr>
          <w:i/>
          <w:szCs w:val="22"/>
          <w:lang w:val="en-US"/>
        </w:rPr>
        <w:t xml:space="preserve"> </w:t>
      </w:r>
      <w:r>
        <w:rPr>
          <w:i/>
          <w:szCs w:val="22"/>
          <w:lang w:val="en-US"/>
        </w:rPr>
        <w:t>2025/2028:2</w:t>
      </w:r>
      <w:r w:rsidRPr="008E348A">
        <w:rPr>
          <w:i/>
          <w:szCs w:val="22"/>
          <w:lang w:val="en-US"/>
        </w:rPr>
        <w:t xml:space="preserve"> may entail. Actual costs may thus deviate from what is stated above.</w:t>
      </w:r>
    </w:p>
    <w:bookmarkEnd w:id="75"/>
    <w:p w14:paraId="4ECE9361" w14:textId="14D41021" w:rsidR="00EA349E" w:rsidRDefault="00EA349E" w:rsidP="00EA349E">
      <w:pPr>
        <w:rPr>
          <w:bCs/>
          <w:szCs w:val="22"/>
          <w:lang w:val="en-US"/>
        </w:rPr>
      </w:pPr>
    </w:p>
    <w:p w14:paraId="23947124" w14:textId="7A913877" w:rsidR="00ED7A82" w:rsidRDefault="00ED7A82" w:rsidP="00EA349E">
      <w:pPr>
        <w:rPr>
          <w:bCs/>
          <w:szCs w:val="22"/>
          <w:lang w:val="en-US"/>
        </w:rPr>
      </w:pPr>
      <w:r>
        <w:rPr>
          <w:bCs/>
          <w:szCs w:val="22"/>
          <w:lang w:val="en-US"/>
        </w:rPr>
        <w:br w:type="page"/>
      </w:r>
    </w:p>
    <w:p w14:paraId="1C2AD294" w14:textId="640DBE6E" w:rsidR="00ED7A82" w:rsidRPr="008E348A" w:rsidRDefault="00ED7A82" w:rsidP="00ED7A82">
      <w:pPr>
        <w:rPr>
          <w:bCs/>
          <w:szCs w:val="22"/>
          <w:u w:val="single"/>
        </w:rPr>
      </w:pPr>
      <w:bookmarkStart w:id="76" w:name="_Hlk206165155"/>
      <w:r>
        <w:rPr>
          <w:bCs/>
          <w:szCs w:val="22"/>
          <w:u w:val="single"/>
        </w:rPr>
        <w:lastRenderedPageBreak/>
        <w:t>Prestationsaktieprogram</w:t>
      </w:r>
      <w:r w:rsidRPr="008E348A">
        <w:rPr>
          <w:bCs/>
          <w:szCs w:val="22"/>
          <w:u w:val="single"/>
        </w:rPr>
        <w:t xml:space="preserve"> </w:t>
      </w:r>
      <w:r>
        <w:rPr>
          <w:bCs/>
          <w:szCs w:val="22"/>
          <w:u w:val="single"/>
        </w:rPr>
        <w:t>2025/2028:3</w:t>
      </w:r>
    </w:p>
    <w:p w14:paraId="31DD35CF" w14:textId="492AAEFC" w:rsidR="00ED7A82" w:rsidRPr="00EE396E" w:rsidRDefault="00ED7A82" w:rsidP="00ED7A82">
      <w:pPr>
        <w:pStyle w:val="BodyText"/>
        <w:spacing w:after="0"/>
        <w:rPr>
          <w:i/>
          <w:szCs w:val="22"/>
          <w:u w:val="single"/>
          <w:lang w:val="sv-SE"/>
        </w:rPr>
      </w:pPr>
      <w:proofErr w:type="spellStart"/>
      <w:r w:rsidRPr="00EE396E">
        <w:rPr>
          <w:i/>
          <w:szCs w:val="22"/>
          <w:u w:val="single"/>
          <w:lang w:val="sv-SE"/>
        </w:rPr>
        <w:t>Performance</w:t>
      </w:r>
      <w:proofErr w:type="spellEnd"/>
      <w:r w:rsidRPr="00EE396E">
        <w:rPr>
          <w:i/>
          <w:szCs w:val="22"/>
          <w:u w:val="single"/>
          <w:lang w:val="sv-SE"/>
        </w:rPr>
        <w:t xml:space="preserve"> Share Program 2025/2028:3</w:t>
      </w:r>
    </w:p>
    <w:p w14:paraId="0E6608F7" w14:textId="469750B5" w:rsidR="00ED7A82" w:rsidRPr="008E348A" w:rsidRDefault="00ED7A82" w:rsidP="00ED7A82">
      <w:pPr>
        <w:rPr>
          <w:bCs/>
          <w:szCs w:val="22"/>
        </w:rPr>
      </w:pPr>
      <w:r w:rsidRPr="008E348A">
        <w:rPr>
          <w:bCs/>
          <w:szCs w:val="22"/>
        </w:rPr>
        <w:t xml:space="preserve">Kostnader relaterade till </w:t>
      </w:r>
      <w:r>
        <w:rPr>
          <w:bCs/>
          <w:szCs w:val="22"/>
        </w:rPr>
        <w:t>Prestationsaktieprogram</w:t>
      </w:r>
      <w:r w:rsidRPr="008E348A">
        <w:rPr>
          <w:bCs/>
          <w:szCs w:val="22"/>
        </w:rPr>
        <w:t xml:space="preserve"> </w:t>
      </w:r>
      <w:r>
        <w:rPr>
          <w:bCs/>
          <w:szCs w:val="22"/>
        </w:rPr>
        <w:t>2025/2028:3</w:t>
      </w:r>
      <w:r w:rsidRPr="008E348A">
        <w:rPr>
          <w:bCs/>
          <w:szCs w:val="22"/>
        </w:rPr>
        <w:t xml:space="preserve"> kommer att redovisas i enlighet med IFRS 2, som innebär att Prestationsaktierna ska </w:t>
      </w:r>
      <w:proofErr w:type="spellStart"/>
      <w:r w:rsidRPr="008E348A">
        <w:rPr>
          <w:bCs/>
          <w:szCs w:val="22"/>
        </w:rPr>
        <w:t>kostnadsföras</w:t>
      </w:r>
      <w:proofErr w:type="spellEnd"/>
      <w:r w:rsidRPr="008E348A">
        <w:rPr>
          <w:bCs/>
          <w:szCs w:val="22"/>
        </w:rPr>
        <w:t xml:space="preserve"> som en personalkostnad över intjänandeperioden utan påverkan på Bolagets kassaflöde.</w:t>
      </w:r>
    </w:p>
    <w:p w14:paraId="7B729922" w14:textId="053D2D28" w:rsidR="00ED7A82" w:rsidRPr="008E348A" w:rsidRDefault="00ED7A82" w:rsidP="00ED7A82">
      <w:pPr>
        <w:rPr>
          <w:i/>
          <w:szCs w:val="22"/>
          <w:lang w:val="en-US"/>
        </w:rPr>
      </w:pPr>
      <w:r w:rsidRPr="008E348A">
        <w:rPr>
          <w:i/>
          <w:szCs w:val="22"/>
          <w:lang w:val="en-US"/>
        </w:rPr>
        <w:t xml:space="preserve">Costs related to </w:t>
      </w:r>
      <w:r>
        <w:rPr>
          <w:i/>
          <w:szCs w:val="22"/>
          <w:lang w:val="en-US"/>
        </w:rPr>
        <w:t>Performance Share Program</w:t>
      </w:r>
      <w:r w:rsidRPr="008E348A">
        <w:rPr>
          <w:i/>
          <w:szCs w:val="22"/>
          <w:lang w:val="en-US"/>
        </w:rPr>
        <w:t xml:space="preserve"> </w:t>
      </w:r>
      <w:r>
        <w:rPr>
          <w:i/>
          <w:szCs w:val="22"/>
          <w:lang w:val="en-US"/>
        </w:rPr>
        <w:t>2025/2028:3</w:t>
      </w:r>
      <w:r w:rsidRPr="008E348A">
        <w:rPr>
          <w:i/>
          <w:szCs w:val="22"/>
          <w:lang w:val="en-US"/>
        </w:rPr>
        <w:t xml:space="preserve"> will be reported in accordance with IFRS</w:t>
      </w:r>
      <w:r>
        <w:rPr>
          <w:i/>
          <w:szCs w:val="22"/>
          <w:lang w:val="en-US"/>
        </w:rPr>
        <w:t> </w:t>
      </w:r>
      <w:r w:rsidRPr="008E348A">
        <w:rPr>
          <w:i/>
          <w:szCs w:val="22"/>
          <w:lang w:val="en-US"/>
        </w:rPr>
        <w:t>2, which means that the Performance Shares must be expensed as a personnel cost over the vesting period without impact on the Company's cash flow.</w:t>
      </w:r>
    </w:p>
    <w:p w14:paraId="7669B066" w14:textId="77777777" w:rsidR="00ED7A82" w:rsidRPr="008E348A" w:rsidRDefault="00ED7A82" w:rsidP="00ED7A82">
      <w:pPr>
        <w:rPr>
          <w:bCs/>
          <w:szCs w:val="22"/>
          <w:lang w:val="en-US"/>
        </w:rPr>
      </w:pPr>
    </w:p>
    <w:p w14:paraId="4FA12D6B" w14:textId="7F134410" w:rsidR="00ED7A82" w:rsidRPr="008E348A" w:rsidRDefault="00ED7A82" w:rsidP="00ED7A82">
      <w:pPr>
        <w:rPr>
          <w:bCs/>
          <w:szCs w:val="22"/>
          <w:lang w:val="en-US"/>
        </w:rPr>
      </w:pPr>
      <w:r w:rsidRPr="008E348A">
        <w:rPr>
          <w:bCs/>
          <w:szCs w:val="22"/>
        </w:rPr>
        <w:t xml:space="preserve">Om Prestationsaktier utnyttjas kommer </w:t>
      </w:r>
      <w:r>
        <w:rPr>
          <w:bCs/>
          <w:szCs w:val="22"/>
        </w:rPr>
        <w:t>Prestationsaktieprogram</w:t>
      </w:r>
      <w:r w:rsidRPr="008E348A">
        <w:rPr>
          <w:bCs/>
          <w:szCs w:val="22"/>
        </w:rPr>
        <w:t xml:space="preserve"> </w:t>
      </w:r>
      <w:r>
        <w:rPr>
          <w:bCs/>
          <w:szCs w:val="22"/>
        </w:rPr>
        <w:t>2025/2028:3</w:t>
      </w:r>
      <w:r w:rsidRPr="008E348A">
        <w:rPr>
          <w:bCs/>
          <w:szCs w:val="22"/>
        </w:rPr>
        <w:t xml:space="preserve"> därutöver att medföra kostnader i form av sociala avgifter. De totala kostnaderna för sociala avgifter beror dels på deltagarens </w:t>
      </w:r>
      <w:proofErr w:type="spellStart"/>
      <w:r w:rsidRPr="008E348A">
        <w:rPr>
          <w:bCs/>
          <w:szCs w:val="22"/>
        </w:rPr>
        <w:t>anställningsförhållande</w:t>
      </w:r>
      <w:proofErr w:type="spellEnd"/>
      <w:r w:rsidRPr="008E348A">
        <w:rPr>
          <w:bCs/>
          <w:szCs w:val="22"/>
        </w:rPr>
        <w:t>, dels hur många Prestationsaktier som tjänas in, och dels på värdet av den förmån som deltagaren slutligen erhåller, dvs. Prestationsaktiernas värde vid utnyttjandet år 202</w:t>
      </w:r>
      <w:r>
        <w:rPr>
          <w:bCs/>
          <w:szCs w:val="22"/>
        </w:rPr>
        <w:t>8</w:t>
      </w:r>
      <w:r w:rsidRPr="008E348A">
        <w:rPr>
          <w:bCs/>
          <w:szCs w:val="22"/>
        </w:rPr>
        <w:t xml:space="preserve">. </w:t>
      </w:r>
      <w:proofErr w:type="spellStart"/>
      <w:r w:rsidRPr="008E348A">
        <w:rPr>
          <w:bCs/>
          <w:szCs w:val="22"/>
          <w:lang w:val="en-US"/>
        </w:rPr>
        <w:t>Sociala</w:t>
      </w:r>
      <w:proofErr w:type="spellEnd"/>
      <w:r w:rsidRPr="008E348A">
        <w:rPr>
          <w:bCs/>
          <w:szCs w:val="22"/>
          <w:lang w:val="en-US"/>
        </w:rPr>
        <w:t xml:space="preserve"> </w:t>
      </w:r>
      <w:proofErr w:type="spellStart"/>
      <w:r w:rsidRPr="008E348A">
        <w:rPr>
          <w:bCs/>
          <w:szCs w:val="22"/>
          <w:lang w:val="en-US"/>
        </w:rPr>
        <w:t>avgifter</w:t>
      </w:r>
      <w:proofErr w:type="spellEnd"/>
      <w:r w:rsidRPr="008E348A">
        <w:rPr>
          <w:bCs/>
          <w:szCs w:val="22"/>
          <w:lang w:val="en-US"/>
        </w:rPr>
        <w:t xml:space="preserve"> </w:t>
      </w:r>
      <w:proofErr w:type="spellStart"/>
      <w:r w:rsidRPr="008E348A">
        <w:rPr>
          <w:bCs/>
          <w:szCs w:val="22"/>
          <w:lang w:val="en-US"/>
        </w:rPr>
        <w:t>kommer</w:t>
      </w:r>
      <w:proofErr w:type="spellEnd"/>
      <w:r w:rsidRPr="008E348A">
        <w:rPr>
          <w:bCs/>
          <w:szCs w:val="22"/>
          <w:lang w:val="en-US"/>
        </w:rPr>
        <w:t xml:space="preserve"> </w:t>
      </w:r>
      <w:proofErr w:type="spellStart"/>
      <w:r w:rsidRPr="008E348A">
        <w:rPr>
          <w:bCs/>
          <w:szCs w:val="22"/>
          <w:lang w:val="en-US"/>
        </w:rPr>
        <w:t>att</w:t>
      </w:r>
      <w:proofErr w:type="spellEnd"/>
      <w:r w:rsidRPr="008E348A">
        <w:rPr>
          <w:bCs/>
          <w:szCs w:val="22"/>
          <w:lang w:val="en-US"/>
        </w:rPr>
        <w:t xml:space="preserve"> </w:t>
      </w:r>
      <w:proofErr w:type="spellStart"/>
      <w:r w:rsidRPr="008E348A">
        <w:rPr>
          <w:bCs/>
          <w:szCs w:val="22"/>
          <w:lang w:val="en-US"/>
        </w:rPr>
        <w:t>kostnadsföras</w:t>
      </w:r>
      <w:proofErr w:type="spellEnd"/>
      <w:r w:rsidRPr="008E348A">
        <w:rPr>
          <w:bCs/>
          <w:szCs w:val="22"/>
          <w:lang w:val="en-US"/>
        </w:rPr>
        <w:t xml:space="preserve"> </w:t>
      </w:r>
      <w:proofErr w:type="spellStart"/>
      <w:r w:rsidRPr="008E348A">
        <w:rPr>
          <w:bCs/>
          <w:szCs w:val="22"/>
          <w:lang w:val="en-US"/>
        </w:rPr>
        <w:t>i</w:t>
      </w:r>
      <w:proofErr w:type="spellEnd"/>
      <w:r w:rsidRPr="008E348A">
        <w:rPr>
          <w:bCs/>
          <w:szCs w:val="22"/>
          <w:lang w:val="en-US"/>
        </w:rPr>
        <w:t xml:space="preserve"> </w:t>
      </w:r>
      <w:proofErr w:type="spellStart"/>
      <w:r w:rsidRPr="008E348A">
        <w:rPr>
          <w:bCs/>
          <w:szCs w:val="22"/>
          <w:lang w:val="en-US"/>
        </w:rPr>
        <w:t>resultaträkningen</w:t>
      </w:r>
      <w:proofErr w:type="spellEnd"/>
      <w:r w:rsidRPr="008E348A">
        <w:rPr>
          <w:bCs/>
          <w:szCs w:val="22"/>
          <w:lang w:val="en-US"/>
        </w:rPr>
        <w:t xml:space="preserve"> under </w:t>
      </w:r>
      <w:proofErr w:type="spellStart"/>
      <w:r w:rsidRPr="008E348A">
        <w:rPr>
          <w:bCs/>
          <w:szCs w:val="22"/>
          <w:lang w:val="en-US"/>
        </w:rPr>
        <w:t>intjänandeperioden</w:t>
      </w:r>
      <w:proofErr w:type="spellEnd"/>
      <w:r w:rsidRPr="008E348A">
        <w:rPr>
          <w:bCs/>
          <w:szCs w:val="22"/>
          <w:lang w:val="en-US"/>
        </w:rPr>
        <w:t xml:space="preserve">. </w:t>
      </w:r>
    </w:p>
    <w:p w14:paraId="75583F27" w14:textId="7326A852" w:rsidR="00ED7A82" w:rsidRPr="008E348A" w:rsidRDefault="00ED7A82" w:rsidP="00ED7A82">
      <w:pPr>
        <w:rPr>
          <w:i/>
          <w:szCs w:val="22"/>
          <w:lang w:val="en-US"/>
        </w:rPr>
      </w:pPr>
      <w:r w:rsidRPr="008E348A">
        <w:rPr>
          <w:i/>
          <w:szCs w:val="22"/>
          <w:lang w:val="en-US"/>
        </w:rPr>
        <w:t xml:space="preserve">If Performance Shares are used, the </w:t>
      </w:r>
      <w:r>
        <w:rPr>
          <w:i/>
          <w:szCs w:val="22"/>
          <w:lang w:val="en-US"/>
        </w:rPr>
        <w:t>Performance Share Program</w:t>
      </w:r>
      <w:r w:rsidRPr="008E348A">
        <w:rPr>
          <w:i/>
          <w:szCs w:val="22"/>
          <w:lang w:val="en-US"/>
        </w:rPr>
        <w:t xml:space="preserve"> </w:t>
      </w:r>
      <w:r>
        <w:rPr>
          <w:i/>
          <w:szCs w:val="22"/>
          <w:lang w:val="en-US"/>
        </w:rPr>
        <w:t>2025/2028:3</w:t>
      </w:r>
      <w:r w:rsidRPr="008E348A">
        <w:rPr>
          <w:i/>
          <w:szCs w:val="22"/>
          <w:lang w:val="en-US"/>
        </w:rPr>
        <w:t xml:space="preserve"> will additionally entail costs in the form of social security contributions. The total costs for social security contributions depend partly on the participant's employment relationship, partly on how many Performance Shares are earned, and partly on the value of the benefit that the participant ultimately receives, i.e. The value of the Performance Shares upon exercise in 202</w:t>
      </w:r>
      <w:r>
        <w:rPr>
          <w:i/>
          <w:szCs w:val="22"/>
          <w:lang w:val="en-US"/>
        </w:rPr>
        <w:t>8</w:t>
      </w:r>
      <w:r w:rsidRPr="008E348A">
        <w:rPr>
          <w:i/>
          <w:szCs w:val="22"/>
          <w:lang w:val="en-US"/>
        </w:rPr>
        <w:t xml:space="preserve">. Social security contributions will be </w:t>
      </w:r>
      <w:proofErr w:type="gramStart"/>
      <w:r w:rsidRPr="008E348A">
        <w:rPr>
          <w:i/>
          <w:szCs w:val="22"/>
          <w:lang w:val="en-US"/>
        </w:rPr>
        <w:t>expensed</w:t>
      </w:r>
      <w:proofErr w:type="gramEnd"/>
      <w:r w:rsidRPr="008E348A">
        <w:rPr>
          <w:i/>
          <w:szCs w:val="22"/>
          <w:lang w:val="en-US"/>
        </w:rPr>
        <w:t xml:space="preserve"> in the income statement during the vesting period. </w:t>
      </w:r>
    </w:p>
    <w:p w14:paraId="557BC0D7" w14:textId="77777777" w:rsidR="00ED7A82" w:rsidRPr="008E348A" w:rsidRDefault="00ED7A82" w:rsidP="00ED7A82">
      <w:pPr>
        <w:rPr>
          <w:bCs/>
          <w:szCs w:val="22"/>
          <w:lang w:val="en-US"/>
        </w:rPr>
      </w:pPr>
    </w:p>
    <w:p w14:paraId="07A1D3BF" w14:textId="14C9E419" w:rsidR="00ED7A82" w:rsidRPr="008E348A" w:rsidRDefault="00ED7A82" w:rsidP="00ED7A82">
      <w:pPr>
        <w:rPr>
          <w:bCs/>
          <w:szCs w:val="22"/>
        </w:rPr>
      </w:pPr>
      <w:r w:rsidRPr="008E348A">
        <w:rPr>
          <w:bCs/>
          <w:szCs w:val="22"/>
        </w:rPr>
        <w:t xml:space="preserve">Baserat på antagandet att samtliga </w:t>
      </w:r>
      <w:r w:rsidR="0074749D">
        <w:rPr>
          <w:szCs w:val="22"/>
        </w:rPr>
        <w:t>1 022 400</w:t>
      </w:r>
      <w:r w:rsidRPr="008E348A">
        <w:rPr>
          <w:bCs/>
          <w:szCs w:val="22"/>
        </w:rPr>
        <w:t xml:space="preserve"> Prestationsaktier som ingår i </w:t>
      </w:r>
      <w:r>
        <w:rPr>
          <w:bCs/>
          <w:szCs w:val="22"/>
        </w:rPr>
        <w:t>Prestationsaktieprogram</w:t>
      </w:r>
      <w:r w:rsidRPr="008E348A">
        <w:rPr>
          <w:bCs/>
          <w:szCs w:val="22"/>
        </w:rPr>
        <w:t xml:space="preserve"> </w:t>
      </w:r>
      <w:r>
        <w:rPr>
          <w:bCs/>
          <w:szCs w:val="22"/>
        </w:rPr>
        <w:t>2025/2028:3</w:t>
      </w:r>
      <w:r w:rsidRPr="008E348A">
        <w:rPr>
          <w:bCs/>
          <w:szCs w:val="22"/>
        </w:rPr>
        <w:t xml:space="preserve"> tilldelas, en antagen aktiekurs om </w:t>
      </w:r>
      <w:r w:rsidR="0074749D">
        <w:rPr>
          <w:szCs w:val="22"/>
        </w:rPr>
        <w:t>1,7</w:t>
      </w:r>
      <w:r w:rsidRPr="008E348A">
        <w:rPr>
          <w:bCs/>
          <w:szCs w:val="22"/>
        </w:rPr>
        <w:t xml:space="preserve"> kronor vid utnyttjandet av Prestationsaktierna och en antagen genomsnittlig procentsats för sociala avgifter om cirka </w:t>
      </w:r>
      <w:r w:rsidR="0074749D">
        <w:rPr>
          <w:szCs w:val="22"/>
        </w:rPr>
        <w:t>9</w:t>
      </w:r>
      <w:r w:rsidRPr="008E348A">
        <w:rPr>
          <w:bCs/>
          <w:szCs w:val="22"/>
        </w:rPr>
        <w:t xml:space="preserve"> procent, beräknas de totala kostnaderna för programmet, inklusive sociala avgifter, att uppgå till cirka </w:t>
      </w:r>
      <w:r w:rsidR="0074749D">
        <w:rPr>
          <w:szCs w:val="22"/>
        </w:rPr>
        <w:t>590 000</w:t>
      </w:r>
      <w:r w:rsidRPr="008E348A">
        <w:rPr>
          <w:bCs/>
          <w:szCs w:val="22"/>
        </w:rPr>
        <w:t xml:space="preserve"> kronor, vilket motsvarar cirka </w:t>
      </w:r>
      <w:r w:rsidR="0074749D">
        <w:rPr>
          <w:szCs w:val="22"/>
        </w:rPr>
        <w:t>1,04</w:t>
      </w:r>
      <w:r w:rsidRPr="008E348A">
        <w:rPr>
          <w:bCs/>
          <w:szCs w:val="22"/>
        </w:rPr>
        <w:t xml:space="preserve"> procent av Bolagets totala årliga lönekostnader för anställda (inklusive sociala avgifter) beräknat på lönekostnader för räkenskapsåret 202</w:t>
      </w:r>
      <w:r>
        <w:rPr>
          <w:bCs/>
          <w:szCs w:val="22"/>
        </w:rPr>
        <w:t>4</w:t>
      </w:r>
      <w:r w:rsidRPr="008E348A">
        <w:rPr>
          <w:bCs/>
          <w:szCs w:val="22"/>
        </w:rPr>
        <w:t>/202</w:t>
      </w:r>
      <w:r>
        <w:rPr>
          <w:bCs/>
          <w:szCs w:val="22"/>
        </w:rPr>
        <w:t>5</w:t>
      </w:r>
      <w:r w:rsidRPr="008E348A">
        <w:rPr>
          <w:bCs/>
          <w:szCs w:val="22"/>
        </w:rPr>
        <w:t>.</w:t>
      </w:r>
    </w:p>
    <w:p w14:paraId="6644FF7B" w14:textId="2F106290" w:rsidR="00ED7A82" w:rsidRPr="008E348A" w:rsidRDefault="00ED7A82" w:rsidP="00ED7A82">
      <w:pPr>
        <w:rPr>
          <w:i/>
          <w:szCs w:val="22"/>
          <w:lang w:val="en-US"/>
        </w:rPr>
      </w:pPr>
      <w:r w:rsidRPr="008E348A">
        <w:rPr>
          <w:i/>
          <w:szCs w:val="22"/>
          <w:lang w:val="en-US"/>
        </w:rPr>
        <w:t xml:space="preserve">Based on the assumption that all </w:t>
      </w:r>
      <w:r w:rsidR="0074749D" w:rsidRPr="0074749D">
        <w:rPr>
          <w:i/>
          <w:szCs w:val="22"/>
          <w:lang w:val="en-US"/>
        </w:rPr>
        <w:t>1</w:t>
      </w:r>
      <w:r w:rsidR="0074749D">
        <w:rPr>
          <w:i/>
          <w:szCs w:val="22"/>
          <w:lang w:val="en-US"/>
        </w:rPr>
        <w:t>,</w:t>
      </w:r>
      <w:r w:rsidR="0074749D" w:rsidRPr="0074749D">
        <w:rPr>
          <w:i/>
          <w:szCs w:val="22"/>
          <w:lang w:val="en-US"/>
        </w:rPr>
        <w:t>022</w:t>
      </w:r>
      <w:r w:rsidR="0074749D">
        <w:rPr>
          <w:i/>
          <w:szCs w:val="22"/>
          <w:lang w:val="en-US"/>
        </w:rPr>
        <w:t>,</w:t>
      </w:r>
      <w:r w:rsidR="0074749D" w:rsidRPr="0074749D">
        <w:rPr>
          <w:i/>
          <w:szCs w:val="22"/>
          <w:lang w:val="en-US"/>
        </w:rPr>
        <w:t>400</w:t>
      </w:r>
      <w:r w:rsidRPr="008E348A">
        <w:rPr>
          <w:i/>
          <w:szCs w:val="22"/>
          <w:lang w:val="en-US"/>
        </w:rPr>
        <w:t xml:space="preserve"> Performance Shares included in the </w:t>
      </w:r>
      <w:r>
        <w:rPr>
          <w:i/>
          <w:szCs w:val="22"/>
          <w:lang w:val="en-US"/>
        </w:rPr>
        <w:t>Performance Share Program</w:t>
      </w:r>
      <w:r w:rsidRPr="008E348A">
        <w:rPr>
          <w:i/>
          <w:szCs w:val="22"/>
          <w:lang w:val="en-US"/>
        </w:rPr>
        <w:t xml:space="preserve"> </w:t>
      </w:r>
      <w:r>
        <w:rPr>
          <w:i/>
          <w:szCs w:val="22"/>
          <w:lang w:val="en-US"/>
        </w:rPr>
        <w:t>2025/2028:3</w:t>
      </w:r>
      <w:r w:rsidRPr="008E348A">
        <w:rPr>
          <w:i/>
          <w:szCs w:val="22"/>
          <w:lang w:val="en-US"/>
        </w:rPr>
        <w:t xml:space="preserve"> are allocated, an assumed share price of SE</w:t>
      </w:r>
      <w:r w:rsidRPr="00A11C00">
        <w:rPr>
          <w:i/>
          <w:szCs w:val="22"/>
          <w:lang w:val="en-US"/>
        </w:rPr>
        <w:t xml:space="preserve">K </w:t>
      </w:r>
      <w:r w:rsidR="0074749D">
        <w:rPr>
          <w:i/>
          <w:szCs w:val="22"/>
          <w:lang w:val="en-US"/>
        </w:rPr>
        <w:t>1.7</w:t>
      </w:r>
      <w:r w:rsidRPr="00A11C00">
        <w:rPr>
          <w:i/>
          <w:szCs w:val="22"/>
          <w:lang w:val="en-US"/>
        </w:rPr>
        <w:t xml:space="preserve"> when the Performance Shares are used and an assumed average percentage for social security contributions of approximately </w:t>
      </w:r>
      <w:r w:rsidR="0074749D">
        <w:rPr>
          <w:i/>
          <w:szCs w:val="22"/>
          <w:lang w:val="en-US"/>
        </w:rPr>
        <w:t xml:space="preserve">9 </w:t>
      </w:r>
      <w:r w:rsidRPr="00A11C00">
        <w:rPr>
          <w:i/>
          <w:szCs w:val="22"/>
          <w:lang w:val="en-US"/>
        </w:rPr>
        <w:t xml:space="preserve">percent, the total the costs of the program, </w:t>
      </w:r>
      <w:r w:rsidRPr="008E348A">
        <w:rPr>
          <w:i/>
          <w:szCs w:val="22"/>
          <w:lang w:val="en-US"/>
        </w:rPr>
        <w:t xml:space="preserve">including social security contributions, to amount to approximately </w:t>
      </w:r>
      <w:r w:rsidRPr="00ED7A82">
        <w:rPr>
          <w:i/>
          <w:szCs w:val="22"/>
          <w:lang w:val="en-US"/>
        </w:rPr>
        <w:t xml:space="preserve">SEK </w:t>
      </w:r>
      <w:r w:rsidR="0074749D">
        <w:rPr>
          <w:i/>
          <w:szCs w:val="22"/>
          <w:lang w:val="en-US"/>
        </w:rPr>
        <w:t>590,000</w:t>
      </w:r>
      <w:r w:rsidRPr="00ED7A82">
        <w:rPr>
          <w:i/>
          <w:szCs w:val="22"/>
          <w:lang w:val="en-US"/>
        </w:rPr>
        <w:t>,</w:t>
      </w:r>
      <w:r w:rsidRPr="008E348A">
        <w:rPr>
          <w:i/>
          <w:szCs w:val="22"/>
          <w:lang w:val="en-US"/>
        </w:rPr>
        <w:t xml:space="preserve"> which corresponds to approximately</w:t>
      </w:r>
      <w:r>
        <w:rPr>
          <w:i/>
          <w:szCs w:val="22"/>
          <w:lang w:val="en-US"/>
        </w:rPr>
        <w:t xml:space="preserve"> </w:t>
      </w:r>
      <w:r w:rsidR="0074749D">
        <w:rPr>
          <w:i/>
          <w:szCs w:val="22"/>
          <w:lang w:val="en-US"/>
        </w:rPr>
        <w:t xml:space="preserve">1.04 </w:t>
      </w:r>
      <w:r w:rsidRPr="008E348A">
        <w:rPr>
          <w:i/>
          <w:szCs w:val="22"/>
          <w:lang w:val="en-US"/>
        </w:rPr>
        <w:t>percent of the Company's total annual salary costs for employees (including social security contributions) calculated on salary costs for the financial year 202</w:t>
      </w:r>
      <w:r>
        <w:rPr>
          <w:i/>
          <w:szCs w:val="22"/>
          <w:lang w:val="en-US"/>
        </w:rPr>
        <w:t>4</w:t>
      </w:r>
      <w:r w:rsidRPr="008E348A">
        <w:rPr>
          <w:i/>
          <w:szCs w:val="22"/>
          <w:lang w:val="en-US"/>
        </w:rPr>
        <w:t>/202</w:t>
      </w:r>
      <w:r>
        <w:rPr>
          <w:i/>
          <w:szCs w:val="22"/>
          <w:lang w:val="en-US"/>
        </w:rPr>
        <w:t>5</w:t>
      </w:r>
      <w:r w:rsidRPr="008E348A">
        <w:rPr>
          <w:i/>
          <w:szCs w:val="22"/>
          <w:lang w:val="en-US"/>
        </w:rPr>
        <w:t>.</w:t>
      </w:r>
    </w:p>
    <w:p w14:paraId="0009FB43" w14:textId="77777777" w:rsidR="00ED7A82" w:rsidRPr="008E348A" w:rsidRDefault="00ED7A82" w:rsidP="00ED7A82">
      <w:pPr>
        <w:rPr>
          <w:bCs/>
          <w:szCs w:val="22"/>
          <w:lang w:val="en-US"/>
        </w:rPr>
      </w:pPr>
    </w:p>
    <w:p w14:paraId="19F8EA32" w14:textId="698A0848" w:rsidR="00ED7A82" w:rsidRPr="008E348A" w:rsidRDefault="00ED7A82" w:rsidP="00ED7A82">
      <w:pPr>
        <w:rPr>
          <w:bCs/>
          <w:szCs w:val="22"/>
        </w:rPr>
      </w:pPr>
      <w:r w:rsidRPr="008E348A">
        <w:rPr>
          <w:bCs/>
          <w:szCs w:val="22"/>
        </w:rPr>
        <w:t xml:space="preserve">De totala kostnaderna för </w:t>
      </w:r>
      <w:r>
        <w:rPr>
          <w:bCs/>
          <w:szCs w:val="22"/>
        </w:rPr>
        <w:t>Prestationsaktieprogram</w:t>
      </w:r>
      <w:r w:rsidRPr="008E348A">
        <w:rPr>
          <w:bCs/>
          <w:szCs w:val="22"/>
        </w:rPr>
        <w:t xml:space="preserve"> </w:t>
      </w:r>
      <w:r>
        <w:rPr>
          <w:bCs/>
          <w:szCs w:val="22"/>
        </w:rPr>
        <w:t>2025/2028:3</w:t>
      </w:r>
      <w:r w:rsidRPr="008E348A">
        <w:rPr>
          <w:bCs/>
          <w:szCs w:val="22"/>
        </w:rPr>
        <w:t xml:space="preserve"> kommer att fördelas över åren 202</w:t>
      </w:r>
      <w:r>
        <w:rPr>
          <w:bCs/>
          <w:szCs w:val="22"/>
        </w:rPr>
        <w:t>5</w:t>
      </w:r>
      <w:r w:rsidRPr="008E348A">
        <w:rPr>
          <w:bCs/>
          <w:szCs w:val="22"/>
        </w:rPr>
        <w:t>–202</w:t>
      </w:r>
      <w:r>
        <w:rPr>
          <w:bCs/>
          <w:szCs w:val="22"/>
        </w:rPr>
        <w:t>8</w:t>
      </w:r>
      <w:r w:rsidRPr="008E348A">
        <w:rPr>
          <w:bCs/>
          <w:szCs w:val="22"/>
        </w:rPr>
        <w:t xml:space="preserve">. </w:t>
      </w:r>
    </w:p>
    <w:p w14:paraId="7D3D441F" w14:textId="349C4C48" w:rsidR="00ED7A82" w:rsidRDefault="00ED7A82" w:rsidP="00ED7A82">
      <w:pPr>
        <w:rPr>
          <w:bCs/>
          <w:i/>
          <w:iCs/>
          <w:szCs w:val="22"/>
          <w:lang w:val="en-US"/>
        </w:rPr>
      </w:pPr>
      <w:r w:rsidRPr="008E348A">
        <w:rPr>
          <w:bCs/>
          <w:i/>
          <w:iCs/>
          <w:szCs w:val="22"/>
          <w:lang w:val="en-US"/>
        </w:rPr>
        <w:t xml:space="preserve">The total costs for the </w:t>
      </w:r>
      <w:r>
        <w:rPr>
          <w:bCs/>
          <w:i/>
          <w:iCs/>
          <w:szCs w:val="22"/>
          <w:lang w:val="en-US"/>
        </w:rPr>
        <w:t>Performance Share Program</w:t>
      </w:r>
      <w:r w:rsidRPr="008E348A">
        <w:rPr>
          <w:bCs/>
          <w:i/>
          <w:iCs/>
          <w:szCs w:val="22"/>
          <w:lang w:val="en-US"/>
        </w:rPr>
        <w:t xml:space="preserve"> </w:t>
      </w:r>
      <w:r>
        <w:rPr>
          <w:bCs/>
          <w:i/>
          <w:iCs/>
          <w:szCs w:val="22"/>
          <w:lang w:val="en-US"/>
        </w:rPr>
        <w:t>2025/2028:3</w:t>
      </w:r>
      <w:r w:rsidRPr="008E348A">
        <w:rPr>
          <w:bCs/>
          <w:i/>
          <w:iCs/>
          <w:szCs w:val="22"/>
          <w:lang w:val="en-US"/>
        </w:rPr>
        <w:t xml:space="preserve"> will be distributed over the years 202</w:t>
      </w:r>
      <w:r>
        <w:rPr>
          <w:bCs/>
          <w:i/>
          <w:iCs/>
          <w:szCs w:val="22"/>
          <w:lang w:val="en-US"/>
        </w:rPr>
        <w:t>5</w:t>
      </w:r>
      <w:r w:rsidRPr="008E348A">
        <w:rPr>
          <w:bCs/>
          <w:i/>
          <w:iCs/>
          <w:szCs w:val="22"/>
          <w:lang w:val="en-US"/>
        </w:rPr>
        <w:t>–202</w:t>
      </w:r>
      <w:r>
        <w:rPr>
          <w:bCs/>
          <w:i/>
          <w:iCs/>
          <w:szCs w:val="22"/>
          <w:lang w:val="en-US"/>
        </w:rPr>
        <w:t>8</w:t>
      </w:r>
      <w:r w:rsidRPr="008E348A">
        <w:rPr>
          <w:bCs/>
          <w:i/>
          <w:iCs/>
          <w:szCs w:val="22"/>
          <w:lang w:val="en-US"/>
        </w:rPr>
        <w:t>.</w:t>
      </w:r>
    </w:p>
    <w:p w14:paraId="592889D4" w14:textId="77777777" w:rsidR="00ED7A82" w:rsidRPr="008E348A" w:rsidRDefault="00ED7A82" w:rsidP="00ED7A82">
      <w:pPr>
        <w:rPr>
          <w:bCs/>
          <w:i/>
          <w:iCs/>
          <w:szCs w:val="22"/>
          <w:lang w:val="en-US"/>
        </w:rPr>
      </w:pPr>
    </w:p>
    <w:p w14:paraId="326B5D75" w14:textId="40C98378" w:rsidR="00ED7A82" w:rsidRPr="008E348A" w:rsidRDefault="00ED7A82" w:rsidP="00ED7A82">
      <w:pPr>
        <w:rPr>
          <w:bCs/>
          <w:szCs w:val="22"/>
        </w:rPr>
      </w:pPr>
      <w:r w:rsidRPr="008E348A">
        <w:rPr>
          <w:bCs/>
          <w:szCs w:val="22"/>
        </w:rPr>
        <w:t xml:space="preserve">Det ska noteras att samtliga beräkningar ovan är preliminära, baserat på antaganden och endast syftar till att ge en illustration av de kostnader som </w:t>
      </w:r>
      <w:r>
        <w:rPr>
          <w:bCs/>
          <w:szCs w:val="22"/>
        </w:rPr>
        <w:t>Prestationsaktieprogram</w:t>
      </w:r>
      <w:r w:rsidRPr="008E348A">
        <w:rPr>
          <w:bCs/>
          <w:szCs w:val="22"/>
        </w:rPr>
        <w:t xml:space="preserve"> </w:t>
      </w:r>
      <w:r>
        <w:rPr>
          <w:bCs/>
          <w:szCs w:val="22"/>
        </w:rPr>
        <w:t>2025/2028:3</w:t>
      </w:r>
      <w:r w:rsidRPr="008E348A">
        <w:rPr>
          <w:bCs/>
          <w:szCs w:val="22"/>
        </w:rPr>
        <w:t xml:space="preserve"> kan medföra. Verkliga kostnader kan således komma att avvika från vad som anges ovan.</w:t>
      </w:r>
    </w:p>
    <w:p w14:paraId="40A7B758" w14:textId="2B6460C1" w:rsidR="00EA349E" w:rsidRPr="008E348A" w:rsidRDefault="00ED7A82" w:rsidP="00ED7A82">
      <w:pPr>
        <w:rPr>
          <w:i/>
          <w:iCs/>
          <w:szCs w:val="22"/>
          <w:lang w:val="en-US"/>
        </w:rPr>
      </w:pPr>
      <w:r w:rsidRPr="008E348A">
        <w:rPr>
          <w:i/>
          <w:szCs w:val="22"/>
          <w:lang w:val="en-US"/>
        </w:rPr>
        <w:t xml:space="preserve">It should be noted that all calculations above are preliminary, based on assumptions and only aim to provide an illustration of the costs that the </w:t>
      </w:r>
      <w:r>
        <w:rPr>
          <w:i/>
          <w:szCs w:val="22"/>
          <w:lang w:val="en-US"/>
        </w:rPr>
        <w:t>Performance Share Program</w:t>
      </w:r>
      <w:r w:rsidRPr="008E348A">
        <w:rPr>
          <w:i/>
          <w:szCs w:val="22"/>
          <w:lang w:val="en-US"/>
        </w:rPr>
        <w:t xml:space="preserve"> </w:t>
      </w:r>
      <w:r>
        <w:rPr>
          <w:i/>
          <w:szCs w:val="22"/>
          <w:lang w:val="en-US"/>
        </w:rPr>
        <w:t>2025/2028:3</w:t>
      </w:r>
      <w:r w:rsidRPr="008E348A">
        <w:rPr>
          <w:i/>
          <w:szCs w:val="22"/>
          <w:lang w:val="en-US"/>
        </w:rPr>
        <w:t xml:space="preserve"> may entail. Actual costs may thus deviate from what is stated above.</w:t>
      </w:r>
    </w:p>
    <w:p w14:paraId="7D317F09" w14:textId="77777777" w:rsidR="00EA349E" w:rsidRPr="008E348A" w:rsidRDefault="00EA349E" w:rsidP="00EA349E">
      <w:pPr>
        <w:rPr>
          <w:szCs w:val="22"/>
          <w:lang w:val="en-US"/>
        </w:rPr>
      </w:pPr>
    </w:p>
    <w:p w14:paraId="6EE374D4" w14:textId="43C86E61" w:rsidR="00EA349E" w:rsidRPr="000A5F17" w:rsidRDefault="00EA349E" w:rsidP="00EA349E">
      <w:pPr>
        <w:autoSpaceDE w:val="0"/>
        <w:autoSpaceDN w:val="0"/>
        <w:adjustRightInd w:val="0"/>
        <w:rPr>
          <w:i/>
          <w:szCs w:val="22"/>
        </w:rPr>
      </w:pPr>
      <w:r w:rsidRPr="000A5F17">
        <w:rPr>
          <w:szCs w:val="22"/>
        </w:rPr>
        <w:t>Kostnader i form av avgifter till externa rådgivare och kostnader för administration av Prestationsaktieprogram 2025/2028</w:t>
      </w:r>
      <w:r w:rsidR="000A5F17">
        <w:rPr>
          <w:szCs w:val="22"/>
        </w:rPr>
        <w:t xml:space="preserve">:1, </w:t>
      </w:r>
      <w:r w:rsidR="000A5F17" w:rsidRPr="000A5F17">
        <w:rPr>
          <w:szCs w:val="22"/>
        </w:rPr>
        <w:t>Prestationsaktieprogram 2025/2028</w:t>
      </w:r>
      <w:r w:rsidR="000A5F17">
        <w:rPr>
          <w:szCs w:val="22"/>
        </w:rPr>
        <w:t xml:space="preserve">:2 och </w:t>
      </w:r>
      <w:r w:rsidR="000A5F17" w:rsidRPr="000A5F17">
        <w:rPr>
          <w:szCs w:val="22"/>
        </w:rPr>
        <w:t>Prestationsaktieprogram 2025/2028</w:t>
      </w:r>
      <w:r w:rsidR="000A5F17">
        <w:rPr>
          <w:szCs w:val="22"/>
        </w:rPr>
        <w:t>:3</w:t>
      </w:r>
      <w:r w:rsidRPr="000A5F17">
        <w:rPr>
          <w:szCs w:val="22"/>
        </w:rPr>
        <w:t xml:space="preserve"> beräknas uppgå till cirka </w:t>
      </w:r>
      <w:r w:rsidR="00526C61" w:rsidRPr="000A5F17">
        <w:rPr>
          <w:szCs w:val="22"/>
        </w:rPr>
        <w:t>125 000</w:t>
      </w:r>
      <w:r w:rsidRPr="000A5F17">
        <w:rPr>
          <w:szCs w:val="22"/>
        </w:rPr>
        <w:t xml:space="preserve"> kronor.</w:t>
      </w:r>
    </w:p>
    <w:p w14:paraId="2705CCE6" w14:textId="639D4817" w:rsidR="00EA349E" w:rsidRPr="008E348A" w:rsidRDefault="00EA349E" w:rsidP="00EA349E">
      <w:pPr>
        <w:rPr>
          <w:i/>
          <w:szCs w:val="22"/>
          <w:lang w:val="en-US"/>
        </w:rPr>
      </w:pPr>
      <w:r w:rsidRPr="000A5F17">
        <w:rPr>
          <w:i/>
          <w:szCs w:val="22"/>
          <w:lang w:val="en-US"/>
        </w:rPr>
        <w:t>Costs in the form of fees to external advisers and costs for administering Performance Share Program 2025/2028</w:t>
      </w:r>
      <w:r w:rsidR="000A5F17">
        <w:rPr>
          <w:i/>
          <w:szCs w:val="22"/>
          <w:lang w:val="en-US"/>
        </w:rPr>
        <w:t xml:space="preserve">:1, </w:t>
      </w:r>
      <w:r w:rsidR="000A5F17" w:rsidRPr="000A5F17">
        <w:rPr>
          <w:i/>
          <w:szCs w:val="22"/>
          <w:lang w:val="en-US"/>
        </w:rPr>
        <w:t>Performance Share Program 2025/2028</w:t>
      </w:r>
      <w:r w:rsidR="000A5F17">
        <w:rPr>
          <w:i/>
          <w:szCs w:val="22"/>
          <w:lang w:val="en-US"/>
        </w:rPr>
        <w:t xml:space="preserve">:2 and </w:t>
      </w:r>
      <w:r w:rsidR="000A5F17" w:rsidRPr="000A5F17">
        <w:rPr>
          <w:i/>
          <w:szCs w:val="22"/>
          <w:lang w:val="en-US"/>
        </w:rPr>
        <w:t>Performance Share Program 2025/2028</w:t>
      </w:r>
      <w:r w:rsidR="000A5F17">
        <w:rPr>
          <w:i/>
          <w:szCs w:val="22"/>
          <w:lang w:val="en-US"/>
        </w:rPr>
        <w:t>:3</w:t>
      </w:r>
      <w:r w:rsidRPr="000A5F17">
        <w:rPr>
          <w:i/>
          <w:szCs w:val="22"/>
          <w:lang w:val="en-US"/>
        </w:rPr>
        <w:t xml:space="preserve"> are estimated to amount to approximately SEK 125,000.</w:t>
      </w:r>
    </w:p>
    <w:p w14:paraId="24924BFA" w14:textId="77777777" w:rsidR="00EA349E" w:rsidRDefault="00EA349E" w:rsidP="00EA349E">
      <w:pPr>
        <w:rPr>
          <w:szCs w:val="22"/>
          <w:lang w:val="en-US"/>
        </w:rPr>
      </w:pPr>
    </w:p>
    <w:p w14:paraId="6C1503FC" w14:textId="1DE77BAD" w:rsidR="000A5F17" w:rsidRDefault="000A5F17" w:rsidP="00EA349E">
      <w:pPr>
        <w:rPr>
          <w:szCs w:val="22"/>
          <w:lang w:val="en-US"/>
        </w:rPr>
      </w:pPr>
      <w:r>
        <w:rPr>
          <w:szCs w:val="22"/>
          <w:lang w:val="en-US"/>
        </w:rPr>
        <w:br w:type="page"/>
      </w:r>
    </w:p>
    <w:p w14:paraId="1B79870C" w14:textId="77777777" w:rsidR="00EA349E" w:rsidRPr="008E348A" w:rsidRDefault="00EA349E" w:rsidP="00EA349E">
      <w:pPr>
        <w:rPr>
          <w:b/>
          <w:szCs w:val="22"/>
        </w:rPr>
      </w:pPr>
      <w:r w:rsidRPr="008E348A">
        <w:rPr>
          <w:b/>
          <w:szCs w:val="22"/>
        </w:rPr>
        <w:lastRenderedPageBreak/>
        <w:t>Övriga utestående aktierelaterade incitamentsprogram</w:t>
      </w:r>
    </w:p>
    <w:p w14:paraId="203E86F1" w14:textId="77777777" w:rsidR="00EA349E" w:rsidRPr="008E348A" w:rsidRDefault="00EA349E" w:rsidP="00EA349E">
      <w:pPr>
        <w:rPr>
          <w:b/>
          <w:i/>
          <w:szCs w:val="22"/>
        </w:rPr>
      </w:pPr>
      <w:proofErr w:type="spellStart"/>
      <w:r w:rsidRPr="008E348A">
        <w:rPr>
          <w:b/>
          <w:i/>
          <w:szCs w:val="22"/>
        </w:rPr>
        <w:t>Other</w:t>
      </w:r>
      <w:proofErr w:type="spellEnd"/>
      <w:r w:rsidRPr="008E348A">
        <w:rPr>
          <w:b/>
          <w:i/>
          <w:szCs w:val="22"/>
        </w:rPr>
        <w:t xml:space="preserve"> outstanding </w:t>
      </w:r>
      <w:proofErr w:type="spellStart"/>
      <w:r w:rsidRPr="008E348A">
        <w:rPr>
          <w:b/>
          <w:i/>
          <w:szCs w:val="22"/>
        </w:rPr>
        <w:t>share</w:t>
      </w:r>
      <w:proofErr w:type="spellEnd"/>
      <w:r w:rsidRPr="008E348A">
        <w:rPr>
          <w:b/>
          <w:i/>
          <w:szCs w:val="22"/>
        </w:rPr>
        <w:t xml:space="preserve"> </w:t>
      </w:r>
      <w:proofErr w:type="spellStart"/>
      <w:r w:rsidRPr="008E348A">
        <w:rPr>
          <w:b/>
          <w:i/>
          <w:szCs w:val="22"/>
        </w:rPr>
        <w:t>based</w:t>
      </w:r>
      <w:proofErr w:type="spellEnd"/>
      <w:r w:rsidRPr="008E348A">
        <w:rPr>
          <w:b/>
          <w:i/>
          <w:szCs w:val="22"/>
        </w:rPr>
        <w:t xml:space="preserve"> </w:t>
      </w:r>
      <w:proofErr w:type="spellStart"/>
      <w:r w:rsidRPr="008E348A">
        <w:rPr>
          <w:b/>
          <w:i/>
          <w:szCs w:val="22"/>
        </w:rPr>
        <w:t>incentive</w:t>
      </w:r>
      <w:proofErr w:type="spellEnd"/>
      <w:r w:rsidRPr="008E348A">
        <w:rPr>
          <w:b/>
          <w:i/>
          <w:szCs w:val="22"/>
        </w:rPr>
        <w:t xml:space="preserve"> programs</w:t>
      </w:r>
    </w:p>
    <w:p w14:paraId="19CB8C24" w14:textId="08B1326E" w:rsidR="00EA349E" w:rsidRPr="008E348A" w:rsidRDefault="00EA349E" w:rsidP="00EA349E">
      <w:pPr>
        <w:rPr>
          <w:szCs w:val="22"/>
        </w:rPr>
      </w:pPr>
      <w:r w:rsidRPr="008E348A">
        <w:rPr>
          <w:szCs w:val="22"/>
        </w:rPr>
        <w:t xml:space="preserve">Bolaget har tidigare inrättat </w:t>
      </w:r>
      <w:r w:rsidR="009F1F67">
        <w:rPr>
          <w:szCs w:val="22"/>
        </w:rPr>
        <w:t>11</w:t>
      </w:r>
      <w:r w:rsidRPr="008E348A">
        <w:rPr>
          <w:szCs w:val="22"/>
        </w:rPr>
        <w:t xml:space="preserve"> incitamentsprogram indelat i teckningsoptions</w:t>
      </w:r>
      <w:r w:rsidR="009F1F67">
        <w:rPr>
          <w:szCs w:val="22"/>
        </w:rPr>
        <w:t>program</w:t>
      </w:r>
      <w:r w:rsidRPr="008E348A">
        <w:rPr>
          <w:szCs w:val="22"/>
        </w:rPr>
        <w:t>, personaloptions</w:t>
      </w:r>
      <w:r w:rsidR="009F1F67">
        <w:rPr>
          <w:szCs w:val="22"/>
        </w:rPr>
        <w:t xml:space="preserve">program, </w:t>
      </w:r>
      <w:r w:rsidRPr="008E348A">
        <w:rPr>
          <w:szCs w:val="22"/>
        </w:rPr>
        <w:t>prestationsaktieprogram</w:t>
      </w:r>
      <w:r w:rsidR="009F1F67">
        <w:rPr>
          <w:szCs w:val="22"/>
        </w:rPr>
        <w:t xml:space="preserve"> och aktiesparprogram</w:t>
      </w:r>
      <w:r w:rsidRPr="008E348A">
        <w:rPr>
          <w:szCs w:val="22"/>
        </w:rPr>
        <w:t xml:space="preserve">. Information om Bolagets utestående incitamentsprogram går att hitta i Bolagets </w:t>
      </w:r>
      <w:r w:rsidR="009F1F67">
        <w:rPr>
          <w:szCs w:val="22"/>
        </w:rPr>
        <w:t>årsredovisning</w:t>
      </w:r>
      <w:r w:rsidRPr="008E348A">
        <w:rPr>
          <w:szCs w:val="22"/>
        </w:rPr>
        <w:t xml:space="preserve"> 202</w:t>
      </w:r>
      <w:r w:rsidR="009F1F67">
        <w:rPr>
          <w:szCs w:val="22"/>
        </w:rPr>
        <w:t>4</w:t>
      </w:r>
      <w:r w:rsidRPr="008E348A">
        <w:rPr>
          <w:szCs w:val="22"/>
        </w:rPr>
        <w:t>/202</w:t>
      </w:r>
      <w:r w:rsidR="009F1F67">
        <w:rPr>
          <w:szCs w:val="22"/>
        </w:rPr>
        <w:t xml:space="preserve">5 som finns tillgänglig på Bolagets hemsida: </w:t>
      </w:r>
      <w:r w:rsidR="009F1F67" w:rsidRPr="009F1F67">
        <w:rPr>
          <w:szCs w:val="22"/>
        </w:rPr>
        <w:t>https://biovica.com/investor-relations/financial-reports/</w:t>
      </w:r>
      <w:r w:rsidR="009F1F67">
        <w:rPr>
          <w:szCs w:val="22"/>
        </w:rPr>
        <w:t>.</w:t>
      </w:r>
    </w:p>
    <w:p w14:paraId="30CC0A96" w14:textId="65B094A3" w:rsidR="00EA349E" w:rsidRPr="008E348A" w:rsidRDefault="00EA349E" w:rsidP="00EA349E">
      <w:pPr>
        <w:rPr>
          <w:i/>
          <w:szCs w:val="22"/>
          <w:lang w:val="en-US"/>
        </w:rPr>
      </w:pPr>
      <w:r w:rsidRPr="008E348A">
        <w:rPr>
          <w:i/>
          <w:szCs w:val="22"/>
          <w:lang w:val="en-US"/>
        </w:rPr>
        <w:t xml:space="preserve">The Company has previously established </w:t>
      </w:r>
      <w:r w:rsidR="009F1F67">
        <w:rPr>
          <w:i/>
          <w:szCs w:val="22"/>
          <w:lang w:val="en-US"/>
        </w:rPr>
        <w:t>11</w:t>
      </w:r>
      <w:r w:rsidRPr="008E348A">
        <w:rPr>
          <w:i/>
          <w:szCs w:val="22"/>
          <w:lang w:val="en-US"/>
        </w:rPr>
        <w:t xml:space="preserve"> incentive programs divided into warrant</w:t>
      </w:r>
      <w:r w:rsidR="009F1F67">
        <w:rPr>
          <w:i/>
          <w:szCs w:val="22"/>
          <w:lang w:val="en-US"/>
        </w:rPr>
        <w:t xml:space="preserve"> programs</w:t>
      </w:r>
      <w:r w:rsidRPr="008E348A">
        <w:rPr>
          <w:i/>
          <w:szCs w:val="22"/>
          <w:lang w:val="en-US"/>
        </w:rPr>
        <w:t>, employee stock option</w:t>
      </w:r>
      <w:r w:rsidR="009F1F67">
        <w:rPr>
          <w:i/>
          <w:szCs w:val="22"/>
          <w:lang w:val="en-US"/>
        </w:rPr>
        <w:t xml:space="preserve"> programs, </w:t>
      </w:r>
      <w:r w:rsidRPr="008E348A">
        <w:rPr>
          <w:i/>
          <w:szCs w:val="22"/>
          <w:lang w:val="en-US"/>
        </w:rPr>
        <w:t>performance share programs</w:t>
      </w:r>
      <w:r w:rsidR="009F1F67">
        <w:rPr>
          <w:i/>
          <w:szCs w:val="22"/>
          <w:lang w:val="en-US"/>
        </w:rPr>
        <w:t xml:space="preserve"> and share savings programs</w:t>
      </w:r>
      <w:r w:rsidRPr="008E348A">
        <w:rPr>
          <w:i/>
          <w:szCs w:val="22"/>
          <w:lang w:val="en-US"/>
        </w:rPr>
        <w:t xml:space="preserve">. Information about the Company's outstanding incentive program can be found in the Company's </w:t>
      </w:r>
      <w:r w:rsidR="009F1F67">
        <w:rPr>
          <w:i/>
          <w:szCs w:val="22"/>
          <w:lang w:val="en-US"/>
        </w:rPr>
        <w:t>annual</w:t>
      </w:r>
      <w:r w:rsidRPr="008E348A">
        <w:rPr>
          <w:i/>
          <w:szCs w:val="22"/>
          <w:lang w:val="en-US"/>
        </w:rPr>
        <w:t xml:space="preserve"> report for 202</w:t>
      </w:r>
      <w:r w:rsidR="009F1F67">
        <w:rPr>
          <w:i/>
          <w:szCs w:val="22"/>
          <w:lang w:val="en-US"/>
        </w:rPr>
        <w:t>4</w:t>
      </w:r>
      <w:r w:rsidRPr="008E348A">
        <w:rPr>
          <w:i/>
          <w:szCs w:val="22"/>
          <w:lang w:val="en-US"/>
        </w:rPr>
        <w:t>/202</w:t>
      </w:r>
      <w:r w:rsidR="009F1F67">
        <w:rPr>
          <w:i/>
          <w:szCs w:val="22"/>
          <w:lang w:val="en-US"/>
        </w:rPr>
        <w:t>5</w:t>
      </w:r>
      <w:r w:rsidRPr="008E348A">
        <w:rPr>
          <w:i/>
          <w:szCs w:val="22"/>
          <w:lang w:val="en-US"/>
        </w:rPr>
        <w:t xml:space="preserve">: </w:t>
      </w:r>
      <w:r w:rsidR="009F1F67" w:rsidRPr="009F1F67">
        <w:rPr>
          <w:i/>
          <w:szCs w:val="22"/>
          <w:lang w:val="en-US"/>
        </w:rPr>
        <w:t>https://biovica.com/investor-relations/financial-reports/</w:t>
      </w:r>
      <w:r w:rsidRPr="008E348A">
        <w:rPr>
          <w:i/>
          <w:szCs w:val="22"/>
          <w:lang w:val="en-US"/>
        </w:rPr>
        <w:t>.</w:t>
      </w:r>
    </w:p>
    <w:p w14:paraId="1EBED73D" w14:textId="77777777" w:rsidR="00EA349E" w:rsidRPr="008E348A" w:rsidRDefault="00EA349E" w:rsidP="00EA349E">
      <w:pPr>
        <w:rPr>
          <w:i/>
          <w:szCs w:val="22"/>
          <w:lang w:val="en-US"/>
        </w:rPr>
      </w:pPr>
    </w:p>
    <w:p w14:paraId="1A540239" w14:textId="77777777" w:rsidR="00EA349E" w:rsidRPr="008E348A" w:rsidRDefault="00EA349E" w:rsidP="00EA349E">
      <w:pPr>
        <w:rPr>
          <w:b/>
          <w:szCs w:val="22"/>
        </w:rPr>
      </w:pPr>
      <w:r w:rsidRPr="008E348A">
        <w:rPr>
          <w:b/>
          <w:szCs w:val="22"/>
        </w:rPr>
        <w:t>Utspädning</w:t>
      </w:r>
    </w:p>
    <w:p w14:paraId="23E60DFD" w14:textId="77777777" w:rsidR="00EA349E" w:rsidRPr="008E348A" w:rsidRDefault="00EA349E" w:rsidP="00EA349E">
      <w:pPr>
        <w:rPr>
          <w:b/>
          <w:i/>
          <w:szCs w:val="22"/>
        </w:rPr>
      </w:pPr>
      <w:proofErr w:type="spellStart"/>
      <w:r w:rsidRPr="008E348A">
        <w:rPr>
          <w:b/>
          <w:i/>
          <w:szCs w:val="22"/>
        </w:rPr>
        <w:t>Dilution</w:t>
      </w:r>
      <w:proofErr w:type="spellEnd"/>
    </w:p>
    <w:p w14:paraId="4BB36F1D" w14:textId="5F14BBD0" w:rsidR="00EA349E" w:rsidRPr="008E348A" w:rsidRDefault="00EA349E" w:rsidP="004E41D3">
      <w:pPr>
        <w:autoSpaceDE w:val="0"/>
        <w:autoSpaceDN w:val="0"/>
        <w:adjustRightInd w:val="0"/>
        <w:rPr>
          <w:szCs w:val="22"/>
        </w:rPr>
      </w:pPr>
      <w:bookmarkStart w:id="77" w:name="_Hlk206169300"/>
      <w:bookmarkStart w:id="78" w:name="_Hlk206584307"/>
      <w:bookmarkStart w:id="79" w:name="_Hlk140171245"/>
      <w:r w:rsidRPr="00782C35">
        <w:rPr>
          <w:szCs w:val="22"/>
        </w:rPr>
        <w:t xml:space="preserve">Det totala antalet aktier </w:t>
      </w:r>
      <w:r w:rsidR="00782C35">
        <w:rPr>
          <w:szCs w:val="22"/>
        </w:rPr>
        <w:t xml:space="preserve">och röster i Bolaget uppgår </w:t>
      </w:r>
      <w:r w:rsidRPr="00782C35">
        <w:rPr>
          <w:szCs w:val="22"/>
        </w:rPr>
        <w:t xml:space="preserve">vid tidpunkten för detta förslag </w:t>
      </w:r>
      <w:r w:rsidR="00782C35">
        <w:rPr>
          <w:szCs w:val="22"/>
        </w:rPr>
        <w:t xml:space="preserve">till </w:t>
      </w:r>
      <w:r w:rsidR="004E41D3" w:rsidRPr="004E41D3">
        <w:rPr>
          <w:szCs w:val="22"/>
        </w:rPr>
        <w:t>289 713 037</w:t>
      </w:r>
      <w:r w:rsidRPr="00782C35">
        <w:rPr>
          <w:szCs w:val="22"/>
        </w:rPr>
        <w:t xml:space="preserve"> aktier </w:t>
      </w:r>
      <w:r w:rsidR="00782C35">
        <w:rPr>
          <w:szCs w:val="22"/>
        </w:rPr>
        <w:t xml:space="preserve">och </w:t>
      </w:r>
      <w:r w:rsidR="004E41D3" w:rsidRPr="004E41D3">
        <w:rPr>
          <w:szCs w:val="22"/>
        </w:rPr>
        <w:t>318 560 983</w:t>
      </w:r>
      <w:r w:rsidRPr="00782C35">
        <w:rPr>
          <w:szCs w:val="22"/>
        </w:rPr>
        <w:t xml:space="preserve"> röster</w:t>
      </w:r>
      <w:r w:rsidR="00782C35">
        <w:rPr>
          <w:szCs w:val="22"/>
        </w:rPr>
        <w:t xml:space="preserve">, fördelade på </w:t>
      </w:r>
      <w:r w:rsidR="004E41D3" w:rsidRPr="004E41D3">
        <w:rPr>
          <w:szCs w:val="22"/>
        </w:rPr>
        <w:t>14 423 973</w:t>
      </w:r>
      <w:r w:rsidR="00782C35">
        <w:rPr>
          <w:szCs w:val="22"/>
        </w:rPr>
        <w:t xml:space="preserve"> A-aktier medförande </w:t>
      </w:r>
      <w:r w:rsidR="00782C35" w:rsidRPr="00782C35">
        <w:rPr>
          <w:szCs w:val="22"/>
        </w:rPr>
        <w:t>43 271 919</w:t>
      </w:r>
      <w:r w:rsidR="00782C35">
        <w:rPr>
          <w:szCs w:val="22"/>
        </w:rPr>
        <w:t xml:space="preserve"> röster och </w:t>
      </w:r>
      <w:r w:rsidR="004E41D3" w:rsidRPr="004E41D3">
        <w:rPr>
          <w:szCs w:val="22"/>
        </w:rPr>
        <w:t>275 289 064</w:t>
      </w:r>
      <w:r w:rsidR="00782C35">
        <w:rPr>
          <w:szCs w:val="22"/>
        </w:rPr>
        <w:t xml:space="preserve"> B-aktier medförande lika många röster.</w:t>
      </w:r>
      <w:bookmarkEnd w:id="77"/>
      <w:r w:rsidR="00782C35">
        <w:rPr>
          <w:szCs w:val="22"/>
        </w:rPr>
        <w:t xml:space="preserve"> </w:t>
      </w:r>
      <w:r w:rsidRPr="00782C35">
        <w:rPr>
          <w:szCs w:val="22"/>
        </w:rPr>
        <w:t xml:space="preserve">Den maximala utspädningseffekten av </w:t>
      </w:r>
      <w:r w:rsidR="000403FD" w:rsidRPr="00782C35">
        <w:rPr>
          <w:szCs w:val="22"/>
        </w:rPr>
        <w:t>Prestationsaktieprogram</w:t>
      </w:r>
      <w:r w:rsidRPr="00782C35">
        <w:rPr>
          <w:szCs w:val="22"/>
        </w:rPr>
        <w:t xml:space="preserve"> 2025/2028</w:t>
      </w:r>
      <w:r w:rsidR="009F1F67" w:rsidRPr="00782C35">
        <w:rPr>
          <w:szCs w:val="22"/>
        </w:rPr>
        <w:t>:1</w:t>
      </w:r>
      <w:r w:rsidRPr="00782C35">
        <w:rPr>
          <w:szCs w:val="22"/>
        </w:rPr>
        <w:t>,</w:t>
      </w:r>
      <w:r w:rsidR="009F1F67" w:rsidRPr="00782C35">
        <w:rPr>
          <w:szCs w:val="22"/>
        </w:rPr>
        <w:t xml:space="preserve"> Prestationsaktieprogra</w:t>
      </w:r>
      <w:r w:rsidR="009F1F67">
        <w:rPr>
          <w:szCs w:val="22"/>
        </w:rPr>
        <w:t>m</w:t>
      </w:r>
      <w:r w:rsidR="009F1F67" w:rsidRPr="008E348A">
        <w:rPr>
          <w:szCs w:val="22"/>
        </w:rPr>
        <w:t xml:space="preserve"> </w:t>
      </w:r>
      <w:r w:rsidR="009F1F67">
        <w:rPr>
          <w:szCs w:val="22"/>
        </w:rPr>
        <w:t>2025/2028:2 och Prestationsaktieprogram</w:t>
      </w:r>
      <w:r w:rsidR="009F1F67" w:rsidRPr="008E348A">
        <w:rPr>
          <w:szCs w:val="22"/>
        </w:rPr>
        <w:t xml:space="preserve"> </w:t>
      </w:r>
      <w:r w:rsidR="009F1F67">
        <w:rPr>
          <w:szCs w:val="22"/>
        </w:rPr>
        <w:t xml:space="preserve">2025/2028:3 </w:t>
      </w:r>
      <w:r w:rsidRPr="008E348A">
        <w:rPr>
          <w:szCs w:val="22"/>
        </w:rPr>
        <w:t xml:space="preserve">beräknas uppgå till högst cirka </w:t>
      </w:r>
      <w:r w:rsidR="008131BA">
        <w:rPr>
          <w:szCs w:val="22"/>
        </w:rPr>
        <w:t>1,6</w:t>
      </w:r>
      <w:r w:rsidR="00121574">
        <w:rPr>
          <w:szCs w:val="22"/>
        </w:rPr>
        <w:t>5</w:t>
      </w:r>
      <w:r w:rsidRPr="008E348A">
        <w:rPr>
          <w:szCs w:val="22"/>
        </w:rPr>
        <w:t xml:space="preserve"> procent av det totala antalet aktier i Bolaget (beräknas utifrån antalet befintliga aktier i Bolaget), förutsatt full teckning och utnyttjande av samtliga erbjudna</w:t>
      </w:r>
      <w:r w:rsidR="009F1F67">
        <w:rPr>
          <w:szCs w:val="22"/>
        </w:rPr>
        <w:t xml:space="preserve"> och, i förekommande fall, underliggande</w:t>
      </w:r>
      <w:r w:rsidRPr="008E348A">
        <w:rPr>
          <w:szCs w:val="22"/>
        </w:rPr>
        <w:t xml:space="preserve"> teckningsoptioner. Den maximala utspädningseffekten av </w:t>
      </w:r>
      <w:r w:rsidR="009F1F67">
        <w:rPr>
          <w:szCs w:val="22"/>
        </w:rPr>
        <w:t>Prestationsaktieprogram</w:t>
      </w:r>
      <w:r w:rsidR="009F1F67" w:rsidRPr="008E348A">
        <w:rPr>
          <w:szCs w:val="22"/>
        </w:rPr>
        <w:t xml:space="preserve"> </w:t>
      </w:r>
      <w:r w:rsidR="009F1F67">
        <w:rPr>
          <w:szCs w:val="22"/>
        </w:rPr>
        <w:t>2025/2028:1</w:t>
      </w:r>
      <w:r w:rsidR="009F1F67" w:rsidRPr="008E348A">
        <w:rPr>
          <w:szCs w:val="22"/>
        </w:rPr>
        <w:t>,</w:t>
      </w:r>
      <w:r w:rsidR="009F1F67">
        <w:rPr>
          <w:szCs w:val="22"/>
        </w:rPr>
        <w:t xml:space="preserve"> Prestationsaktieprogram</w:t>
      </w:r>
      <w:r w:rsidR="009F1F67" w:rsidRPr="008E348A">
        <w:rPr>
          <w:szCs w:val="22"/>
        </w:rPr>
        <w:t xml:space="preserve"> </w:t>
      </w:r>
      <w:r w:rsidR="009F1F67">
        <w:rPr>
          <w:szCs w:val="22"/>
        </w:rPr>
        <w:t>2025/2028:2 och Prestationsaktieprogram</w:t>
      </w:r>
      <w:r w:rsidR="009F1F67" w:rsidRPr="008E348A">
        <w:rPr>
          <w:szCs w:val="22"/>
        </w:rPr>
        <w:t xml:space="preserve"> </w:t>
      </w:r>
      <w:r w:rsidR="009F1F67">
        <w:rPr>
          <w:szCs w:val="22"/>
        </w:rPr>
        <w:t>2025/2028:3</w:t>
      </w:r>
      <w:r w:rsidRPr="008E348A">
        <w:rPr>
          <w:szCs w:val="22"/>
        </w:rPr>
        <w:t xml:space="preserve"> plus övriga utestående incitamentsprogram i Bolaget beräknas uppgå till högst cirka </w:t>
      </w:r>
      <w:r w:rsidR="00121574">
        <w:rPr>
          <w:szCs w:val="22"/>
        </w:rPr>
        <w:t>2,58</w:t>
      </w:r>
      <w:r w:rsidRPr="008E348A">
        <w:rPr>
          <w:szCs w:val="22"/>
        </w:rPr>
        <w:t xml:space="preserve"> procent förutsatt full teckning och utnyttjande av samtliga erbjudna och utestående</w:t>
      </w:r>
      <w:r w:rsidR="009F1F67">
        <w:rPr>
          <w:szCs w:val="22"/>
        </w:rPr>
        <w:t xml:space="preserve"> samt, i förekommande fall, underliggande</w:t>
      </w:r>
      <w:r w:rsidRPr="008E348A">
        <w:rPr>
          <w:szCs w:val="22"/>
        </w:rPr>
        <w:t xml:space="preserve"> teckningsoptioner.</w:t>
      </w:r>
      <w:bookmarkEnd w:id="78"/>
    </w:p>
    <w:p w14:paraId="360BF786" w14:textId="0D5AFE36" w:rsidR="00EA349E" w:rsidRDefault="00EA349E" w:rsidP="00EA349E">
      <w:pPr>
        <w:rPr>
          <w:i/>
          <w:szCs w:val="22"/>
          <w:lang w:val="en-US"/>
        </w:rPr>
      </w:pPr>
      <w:bookmarkStart w:id="80" w:name="_Hlk206165269"/>
      <w:bookmarkStart w:id="81" w:name="_Hlk206584313"/>
      <w:r w:rsidRPr="008E348A">
        <w:rPr>
          <w:i/>
          <w:szCs w:val="22"/>
          <w:lang w:val="en-US"/>
        </w:rPr>
        <w:t xml:space="preserve">The total number of </w:t>
      </w:r>
      <w:r w:rsidR="00782C35">
        <w:rPr>
          <w:i/>
          <w:szCs w:val="22"/>
          <w:lang w:val="en-US"/>
        </w:rPr>
        <w:t xml:space="preserve">shares and votes in the Company </w:t>
      </w:r>
      <w:r w:rsidRPr="008E348A">
        <w:rPr>
          <w:i/>
          <w:szCs w:val="22"/>
          <w:lang w:val="en-US"/>
        </w:rPr>
        <w:t>at the time of this proposal amount</w:t>
      </w:r>
      <w:r w:rsidR="00782C35">
        <w:rPr>
          <w:i/>
          <w:szCs w:val="22"/>
          <w:lang w:val="en-US"/>
        </w:rPr>
        <w:t>s</w:t>
      </w:r>
      <w:r w:rsidRPr="008E348A">
        <w:rPr>
          <w:i/>
          <w:szCs w:val="22"/>
          <w:lang w:val="en-US"/>
        </w:rPr>
        <w:t xml:space="preserve"> to </w:t>
      </w:r>
      <w:r w:rsidR="004E41D3" w:rsidRPr="004E41D3">
        <w:rPr>
          <w:i/>
          <w:szCs w:val="22"/>
          <w:lang w:val="en-US"/>
        </w:rPr>
        <w:t>289</w:t>
      </w:r>
      <w:r w:rsidR="004E41D3">
        <w:rPr>
          <w:i/>
          <w:szCs w:val="22"/>
          <w:lang w:val="en-US"/>
        </w:rPr>
        <w:t>,</w:t>
      </w:r>
      <w:r w:rsidR="004E41D3" w:rsidRPr="004E41D3">
        <w:rPr>
          <w:i/>
          <w:szCs w:val="22"/>
          <w:lang w:val="en-US"/>
        </w:rPr>
        <w:t>713</w:t>
      </w:r>
      <w:r w:rsidR="004E41D3">
        <w:rPr>
          <w:i/>
          <w:szCs w:val="22"/>
          <w:lang w:val="en-US"/>
        </w:rPr>
        <w:t>,</w:t>
      </w:r>
      <w:r w:rsidR="004E41D3" w:rsidRPr="004E41D3">
        <w:rPr>
          <w:i/>
          <w:szCs w:val="22"/>
          <w:lang w:val="en-US"/>
        </w:rPr>
        <w:t>037</w:t>
      </w:r>
      <w:r w:rsidRPr="008E348A">
        <w:rPr>
          <w:i/>
          <w:szCs w:val="22"/>
          <w:lang w:val="en-US"/>
        </w:rPr>
        <w:t xml:space="preserve"> shares </w:t>
      </w:r>
      <w:r w:rsidR="00782C35">
        <w:rPr>
          <w:i/>
          <w:szCs w:val="22"/>
          <w:lang w:val="en-US"/>
        </w:rPr>
        <w:t xml:space="preserve">and </w:t>
      </w:r>
      <w:r w:rsidR="004E41D3" w:rsidRPr="004E41D3">
        <w:rPr>
          <w:i/>
          <w:szCs w:val="22"/>
          <w:lang w:val="en-US"/>
        </w:rPr>
        <w:t>318</w:t>
      </w:r>
      <w:r w:rsidR="004E41D3">
        <w:rPr>
          <w:i/>
          <w:szCs w:val="22"/>
          <w:lang w:val="en-US"/>
        </w:rPr>
        <w:t>,</w:t>
      </w:r>
      <w:r w:rsidR="004E41D3" w:rsidRPr="004E41D3">
        <w:rPr>
          <w:i/>
          <w:szCs w:val="22"/>
          <w:lang w:val="en-US"/>
        </w:rPr>
        <w:t>560</w:t>
      </w:r>
      <w:r w:rsidR="004E41D3">
        <w:rPr>
          <w:i/>
          <w:szCs w:val="22"/>
          <w:lang w:val="en-US"/>
        </w:rPr>
        <w:t>,</w:t>
      </w:r>
      <w:r w:rsidR="004E41D3" w:rsidRPr="004E41D3">
        <w:rPr>
          <w:i/>
          <w:szCs w:val="22"/>
          <w:lang w:val="en-US"/>
        </w:rPr>
        <w:t>983</w:t>
      </w:r>
      <w:r w:rsidR="00782C35">
        <w:rPr>
          <w:i/>
          <w:szCs w:val="22"/>
          <w:lang w:val="en-US"/>
        </w:rPr>
        <w:t xml:space="preserve"> votes, divided into </w:t>
      </w:r>
      <w:r w:rsidR="00782C35" w:rsidRPr="00782C35">
        <w:rPr>
          <w:i/>
          <w:szCs w:val="22"/>
          <w:lang w:val="en-US"/>
        </w:rPr>
        <w:t>14</w:t>
      </w:r>
      <w:r w:rsidR="00782C35">
        <w:rPr>
          <w:i/>
          <w:szCs w:val="22"/>
          <w:lang w:val="en-US"/>
        </w:rPr>
        <w:t>,</w:t>
      </w:r>
      <w:r w:rsidR="00782C35" w:rsidRPr="00782C35">
        <w:rPr>
          <w:i/>
          <w:szCs w:val="22"/>
          <w:lang w:val="en-US"/>
        </w:rPr>
        <w:t>423</w:t>
      </w:r>
      <w:r w:rsidR="00782C35">
        <w:rPr>
          <w:i/>
          <w:szCs w:val="22"/>
          <w:lang w:val="en-US"/>
        </w:rPr>
        <w:t>,</w:t>
      </w:r>
      <w:r w:rsidR="00782C35" w:rsidRPr="00782C35">
        <w:rPr>
          <w:i/>
          <w:szCs w:val="22"/>
          <w:lang w:val="en-US"/>
        </w:rPr>
        <w:t>973</w:t>
      </w:r>
      <w:r w:rsidR="00782C35">
        <w:rPr>
          <w:i/>
          <w:szCs w:val="22"/>
          <w:lang w:val="en-US"/>
        </w:rPr>
        <w:t xml:space="preserve"> class A shares carrying </w:t>
      </w:r>
      <w:r w:rsidR="00782C35" w:rsidRPr="00782C35">
        <w:rPr>
          <w:i/>
          <w:szCs w:val="22"/>
          <w:lang w:val="en-US"/>
        </w:rPr>
        <w:t>43</w:t>
      </w:r>
      <w:r w:rsidR="00782C35">
        <w:rPr>
          <w:i/>
          <w:szCs w:val="22"/>
          <w:lang w:val="en-US"/>
        </w:rPr>
        <w:t>,</w:t>
      </w:r>
      <w:r w:rsidR="00782C35" w:rsidRPr="00782C35">
        <w:rPr>
          <w:i/>
          <w:szCs w:val="22"/>
          <w:lang w:val="en-US"/>
        </w:rPr>
        <w:t>271</w:t>
      </w:r>
      <w:r w:rsidR="00782C35">
        <w:rPr>
          <w:i/>
          <w:szCs w:val="22"/>
          <w:lang w:val="en-US"/>
        </w:rPr>
        <w:t>,</w:t>
      </w:r>
      <w:r w:rsidR="00782C35" w:rsidRPr="00782C35">
        <w:rPr>
          <w:i/>
          <w:szCs w:val="22"/>
          <w:lang w:val="en-US"/>
        </w:rPr>
        <w:t>919</w:t>
      </w:r>
      <w:r w:rsidR="00782C35">
        <w:rPr>
          <w:i/>
          <w:szCs w:val="22"/>
          <w:lang w:val="en-US"/>
        </w:rPr>
        <w:t xml:space="preserve"> votes and </w:t>
      </w:r>
      <w:r w:rsidR="004E41D3" w:rsidRPr="004E41D3">
        <w:rPr>
          <w:i/>
          <w:szCs w:val="22"/>
          <w:lang w:val="en-US"/>
        </w:rPr>
        <w:t>275</w:t>
      </w:r>
      <w:r w:rsidR="004E41D3">
        <w:rPr>
          <w:i/>
          <w:szCs w:val="22"/>
          <w:lang w:val="en-US"/>
        </w:rPr>
        <w:t>,</w:t>
      </w:r>
      <w:r w:rsidR="004E41D3" w:rsidRPr="004E41D3">
        <w:rPr>
          <w:i/>
          <w:szCs w:val="22"/>
          <w:lang w:val="en-US"/>
        </w:rPr>
        <w:t>289</w:t>
      </w:r>
      <w:r w:rsidR="004E41D3">
        <w:rPr>
          <w:i/>
          <w:szCs w:val="22"/>
          <w:lang w:val="en-US"/>
        </w:rPr>
        <w:t>,</w:t>
      </w:r>
      <w:r w:rsidR="004E41D3" w:rsidRPr="004E41D3">
        <w:rPr>
          <w:i/>
          <w:szCs w:val="22"/>
          <w:lang w:val="en-US"/>
        </w:rPr>
        <w:t>064</w:t>
      </w:r>
      <w:r w:rsidR="00782C35">
        <w:rPr>
          <w:i/>
          <w:szCs w:val="22"/>
          <w:lang w:val="en-US"/>
        </w:rPr>
        <w:t xml:space="preserve"> class B shares carrying the same number of votes.</w:t>
      </w:r>
      <w:bookmarkEnd w:id="80"/>
      <w:r w:rsidR="00782C35">
        <w:rPr>
          <w:i/>
          <w:szCs w:val="22"/>
          <w:lang w:val="en-US"/>
        </w:rPr>
        <w:t xml:space="preserve"> </w:t>
      </w:r>
      <w:bookmarkEnd w:id="79"/>
      <w:r w:rsidRPr="008E348A">
        <w:rPr>
          <w:i/>
          <w:szCs w:val="22"/>
          <w:lang w:val="en-US"/>
        </w:rPr>
        <w:t xml:space="preserve">The maximum dilution of </w:t>
      </w:r>
      <w:r w:rsidR="000403FD">
        <w:rPr>
          <w:i/>
          <w:szCs w:val="22"/>
          <w:lang w:val="en-US"/>
        </w:rPr>
        <w:t>Performance Share Program</w:t>
      </w:r>
      <w:r w:rsidRPr="008E348A">
        <w:rPr>
          <w:i/>
          <w:szCs w:val="22"/>
          <w:lang w:val="en-US"/>
        </w:rPr>
        <w:t xml:space="preserve"> </w:t>
      </w:r>
      <w:r>
        <w:rPr>
          <w:i/>
          <w:szCs w:val="22"/>
          <w:lang w:val="en-US"/>
        </w:rPr>
        <w:t>2025/2028</w:t>
      </w:r>
      <w:r w:rsidR="009F1F67">
        <w:rPr>
          <w:i/>
          <w:szCs w:val="22"/>
          <w:lang w:val="en-US"/>
        </w:rPr>
        <w:t>:1</w:t>
      </w:r>
      <w:r w:rsidRPr="008E348A">
        <w:rPr>
          <w:i/>
          <w:szCs w:val="22"/>
          <w:lang w:val="en-US"/>
        </w:rPr>
        <w:t>,</w:t>
      </w:r>
      <w:r w:rsidR="009F1F67">
        <w:rPr>
          <w:i/>
          <w:szCs w:val="22"/>
          <w:lang w:val="en-US"/>
        </w:rPr>
        <w:t xml:space="preserve"> Performance Share Program</w:t>
      </w:r>
      <w:r w:rsidR="009F1F67" w:rsidRPr="008E348A">
        <w:rPr>
          <w:i/>
          <w:szCs w:val="22"/>
          <w:lang w:val="en-US"/>
        </w:rPr>
        <w:t xml:space="preserve"> </w:t>
      </w:r>
      <w:r w:rsidR="009F1F67">
        <w:rPr>
          <w:i/>
          <w:szCs w:val="22"/>
          <w:lang w:val="en-US"/>
        </w:rPr>
        <w:t>2025/2028:2 and Performance Share Program</w:t>
      </w:r>
      <w:r w:rsidR="009F1F67" w:rsidRPr="008E348A">
        <w:rPr>
          <w:i/>
          <w:szCs w:val="22"/>
          <w:lang w:val="en-US"/>
        </w:rPr>
        <w:t xml:space="preserve"> </w:t>
      </w:r>
      <w:r w:rsidR="009F1F67">
        <w:rPr>
          <w:i/>
          <w:szCs w:val="22"/>
          <w:lang w:val="en-US"/>
        </w:rPr>
        <w:t>2025/2028:3</w:t>
      </w:r>
      <w:r w:rsidRPr="008E348A">
        <w:rPr>
          <w:i/>
          <w:szCs w:val="22"/>
          <w:lang w:val="en-US"/>
        </w:rPr>
        <w:t xml:space="preserve"> is estimated to be a maximum of approximately </w:t>
      </w:r>
      <w:r w:rsidR="008131BA">
        <w:rPr>
          <w:i/>
          <w:szCs w:val="22"/>
          <w:lang w:val="en-US"/>
        </w:rPr>
        <w:t>1.6</w:t>
      </w:r>
      <w:r w:rsidR="00121574">
        <w:rPr>
          <w:i/>
          <w:szCs w:val="22"/>
          <w:lang w:val="en-US"/>
        </w:rPr>
        <w:t>5</w:t>
      </w:r>
      <w:r w:rsidRPr="008E348A">
        <w:rPr>
          <w:i/>
          <w:szCs w:val="22"/>
          <w:lang w:val="en-US"/>
        </w:rPr>
        <w:t xml:space="preserve"> percent of the total number of shares in the Company (calculated on the number of existing shares the Company), assuming full subscription and exercise of all </w:t>
      </w:r>
      <w:r w:rsidR="00782C35">
        <w:rPr>
          <w:i/>
          <w:szCs w:val="22"/>
          <w:lang w:val="en-US"/>
        </w:rPr>
        <w:t xml:space="preserve">offered and, where applicable, underlying </w:t>
      </w:r>
      <w:r w:rsidRPr="008E348A">
        <w:rPr>
          <w:i/>
          <w:szCs w:val="22"/>
          <w:lang w:val="en-US"/>
        </w:rPr>
        <w:t xml:space="preserve">warrants. The maximum dilution of </w:t>
      </w:r>
      <w:r w:rsidR="00782C35">
        <w:rPr>
          <w:i/>
          <w:szCs w:val="22"/>
          <w:lang w:val="en-US"/>
        </w:rPr>
        <w:t>Performance Share Program</w:t>
      </w:r>
      <w:r w:rsidR="00782C35" w:rsidRPr="008E348A">
        <w:rPr>
          <w:i/>
          <w:szCs w:val="22"/>
          <w:lang w:val="en-US"/>
        </w:rPr>
        <w:t xml:space="preserve"> </w:t>
      </w:r>
      <w:r w:rsidR="00782C35">
        <w:rPr>
          <w:i/>
          <w:szCs w:val="22"/>
          <w:lang w:val="en-US"/>
        </w:rPr>
        <w:t>2025/2028:1</w:t>
      </w:r>
      <w:r w:rsidR="00782C35" w:rsidRPr="008E348A">
        <w:rPr>
          <w:i/>
          <w:szCs w:val="22"/>
          <w:lang w:val="en-US"/>
        </w:rPr>
        <w:t>,</w:t>
      </w:r>
      <w:r w:rsidR="00782C35">
        <w:rPr>
          <w:i/>
          <w:szCs w:val="22"/>
          <w:lang w:val="en-US"/>
        </w:rPr>
        <w:t xml:space="preserve"> Performance Share Program</w:t>
      </w:r>
      <w:r w:rsidR="00782C35" w:rsidRPr="008E348A">
        <w:rPr>
          <w:i/>
          <w:szCs w:val="22"/>
          <w:lang w:val="en-US"/>
        </w:rPr>
        <w:t xml:space="preserve"> </w:t>
      </w:r>
      <w:r w:rsidR="00782C35">
        <w:rPr>
          <w:i/>
          <w:szCs w:val="22"/>
          <w:lang w:val="en-US"/>
        </w:rPr>
        <w:t>2025/2028:2 and Performance Share Program</w:t>
      </w:r>
      <w:r w:rsidR="00782C35" w:rsidRPr="008E348A">
        <w:rPr>
          <w:i/>
          <w:szCs w:val="22"/>
          <w:lang w:val="en-US"/>
        </w:rPr>
        <w:t xml:space="preserve"> </w:t>
      </w:r>
      <w:r w:rsidR="00782C35">
        <w:rPr>
          <w:i/>
          <w:szCs w:val="22"/>
          <w:lang w:val="en-US"/>
        </w:rPr>
        <w:t>2025/2028:3</w:t>
      </w:r>
      <w:r w:rsidRPr="008E348A">
        <w:rPr>
          <w:i/>
          <w:szCs w:val="22"/>
          <w:lang w:val="en-US"/>
        </w:rPr>
        <w:t xml:space="preserve"> plus the other outstanding incentive programs in the Company is estimated to be a maximum of approximately </w:t>
      </w:r>
      <w:r w:rsidR="00121574">
        <w:rPr>
          <w:i/>
          <w:szCs w:val="22"/>
          <w:lang w:val="en-US"/>
        </w:rPr>
        <w:t>2.58</w:t>
      </w:r>
      <w:r w:rsidRPr="008E348A">
        <w:rPr>
          <w:i/>
          <w:szCs w:val="22"/>
          <w:lang w:val="en-US"/>
        </w:rPr>
        <w:t xml:space="preserve"> percent, assuming full subscription and exercise of all </w:t>
      </w:r>
      <w:r w:rsidR="00782C35">
        <w:rPr>
          <w:i/>
          <w:szCs w:val="22"/>
          <w:lang w:val="en-US"/>
        </w:rPr>
        <w:t xml:space="preserve">offered and outstanding and, where applicable, underlying </w:t>
      </w:r>
      <w:r w:rsidRPr="008E348A">
        <w:rPr>
          <w:i/>
          <w:szCs w:val="22"/>
          <w:lang w:val="en-US"/>
        </w:rPr>
        <w:t>warrants.</w:t>
      </w:r>
      <w:bookmarkEnd w:id="66"/>
      <w:bookmarkEnd w:id="68"/>
      <w:bookmarkEnd w:id="81"/>
    </w:p>
    <w:bookmarkEnd w:id="76"/>
    <w:p w14:paraId="0BB3A846" w14:textId="0FBBCEFC" w:rsidR="009C520A" w:rsidRDefault="009C520A" w:rsidP="00EA349E">
      <w:pPr>
        <w:rPr>
          <w:iCs/>
          <w:szCs w:val="22"/>
          <w:lang w:val="en-US"/>
        </w:rPr>
      </w:pPr>
    </w:p>
    <w:bookmarkEnd w:id="72"/>
    <w:p w14:paraId="6ABD77BC" w14:textId="7440966B" w:rsidR="009C520A" w:rsidRPr="007F470D" w:rsidRDefault="009C520A" w:rsidP="007F470D">
      <w:pPr>
        <w:jc w:val="center"/>
        <w:rPr>
          <w:iCs/>
          <w:szCs w:val="22"/>
          <w:lang w:val="en-US"/>
        </w:rPr>
      </w:pPr>
      <w:r>
        <w:rPr>
          <w:iCs/>
          <w:szCs w:val="22"/>
          <w:lang w:val="en-US"/>
        </w:rPr>
        <w:t>* * * * *</w:t>
      </w:r>
    </w:p>
    <w:sectPr w:rsidR="009C520A" w:rsidRPr="007F470D" w:rsidSect="00BD2277">
      <w:headerReference w:type="even" r:id="rId10"/>
      <w:headerReference w:type="default" r:id="rId11"/>
      <w:footerReference w:type="even" r:id="rId12"/>
      <w:footerReference w:type="default" r:id="rId13"/>
      <w:headerReference w:type="first" r:id="rId14"/>
      <w:footerReference w:type="first" r:id="rId15"/>
      <w:pgSz w:w="11907" w:h="16839" w:code="1"/>
      <w:pgMar w:top="1440" w:right="1440" w:bottom="1440" w:left="1440"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89B8" w14:textId="77777777" w:rsidR="00B32B2E" w:rsidRDefault="00B32B2E">
      <w:r>
        <w:separator/>
      </w:r>
    </w:p>
  </w:endnote>
  <w:endnote w:type="continuationSeparator" w:id="0">
    <w:p w14:paraId="4E7D2603" w14:textId="77777777" w:rsidR="00B32B2E" w:rsidRDefault="00B3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4C6" w14:textId="77777777" w:rsidR="00F33587" w:rsidRDefault="00F3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175B" w14:textId="4CFADB3B" w:rsidR="001667F0" w:rsidRDefault="00E049C2" w:rsidP="003F3B40">
    <w:pPr>
      <w:pStyle w:val="Footer"/>
    </w:pPr>
    <w:r w:rsidRPr="005811B8">
      <w:t>The English translation is for convenience only and in case of any discrepancy, the Swedish text shall control.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778" w14:textId="164883ED" w:rsidR="001667F0" w:rsidRDefault="00E049C2" w:rsidP="004F5968">
    <w:pPr>
      <w:pStyle w:val="Footer"/>
    </w:pPr>
    <w:r w:rsidRPr="005811B8">
      <w:t>The English translation is for convenience only and in case of any discrepancy, the Swedish text shall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FDA7" w14:textId="77777777" w:rsidR="00B32B2E" w:rsidRDefault="00B32B2E">
      <w:r>
        <w:separator/>
      </w:r>
    </w:p>
  </w:footnote>
  <w:footnote w:type="continuationSeparator" w:id="0">
    <w:p w14:paraId="2C1632CE" w14:textId="77777777" w:rsidR="00B32B2E" w:rsidRDefault="00B3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251" w14:textId="77777777" w:rsidR="00F33587" w:rsidRDefault="00F3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65F7" w14:textId="77777777" w:rsidR="00F33587" w:rsidRDefault="00F33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50F4" w14:textId="77777777" w:rsidR="00F33587" w:rsidRDefault="00F33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0E061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DF2068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2A493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418DDD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9068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D4E905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78EA1E0"/>
    <w:lvl w:ilvl="0">
      <w:start w:val="1"/>
      <w:numFmt w:val="none"/>
      <w:pStyle w:val="PrecedentCoverTableText"/>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b/>
        <w:color w:val="A71930" w:themeColor="accent1"/>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upperRoman"/>
      <w:lvlText w:val="%7."/>
      <w:lvlJc w:val="left"/>
      <w:pPr>
        <w:tabs>
          <w:tab w:val="num" w:pos="720"/>
        </w:tabs>
        <w:ind w:left="720"/>
      </w:pPr>
      <w:rPr>
        <w:rFonts w:cs="Times New Roman" w:hint="default"/>
      </w:rPr>
    </w:lvl>
    <w:lvl w:ilvl="7">
      <w:start w:val="1"/>
      <w:numFmt w:val="lowerLetter"/>
      <w:lvlText w:val="%8."/>
      <w:lvlJc w:val="left"/>
      <w:pPr>
        <w:tabs>
          <w:tab w:val="num" w:pos="720"/>
        </w:tabs>
        <w:ind w:left="720"/>
      </w:pPr>
      <w:rPr>
        <w:rFonts w:cs="Times New Roman" w:hint="default"/>
      </w:rPr>
    </w:lvl>
    <w:lvl w:ilvl="8">
      <w:start w:val="1"/>
      <w:numFmt w:val="upperLetter"/>
      <w:lvlText w:val="%9."/>
      <w:lvlJc w:val="left"/>
      <w:pPr>
        <w:tabs>
          <w:tab w:val="num" w:pos="720"/>
        </w:tabs>
        <w:ind w:left="720"/>
      </w:pPr>
      <w:rPr>
        <w:rFonts w:cs="Times New Roman" w:hint="default"/>
      </w:rPr>
    </w:lvl>
  </w:abstractNum>
  <w:abstractNum w:abstractNumId="7" w15:restartNumberingAfterBreak="0">
    <w:nsid w:val="00EB5ACA"/>
    <w:multiLevelType w:val="hybridMultilevel"/>
    <w:tmpl w:val="1B82C0C8"/>
    <w:lvl w:ilvl="0" w:tplc="FFFFFFFF">
      <w:start w:val="1"/>
      <w:numFmt w:val="decimal"/>
      <w:lvlText w:val="%1."/>
      <w:lvlJc w:val="left"/>
      <w:pPr>
        <w:ind w:left="720" w:hanging="360"/>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A86C90"/>
    <w:multiLevelType w:val="multilevel"/>
    <w:tmpl w:val="1EB0953C"/>
    <w:name w:val="SchH"/>
    <w:lvl w:ilvl="0">
      <w:start w:val="1"/>
      <w:numFmt w:val="decimal"/>
      <w:pStyle w:val="SchH1"/>
      <w:suff w:val="nothing"/>
      <w:lvlText w:val="Schedule %1"/>
      <w:lvlJc w:val="left"/>
      <w:pPr>
        <w:ind w:left="0" w:firstLine="0"/>
      </w:pPr>
      <w:rPr>
        <w:strike w:val="0"/>
        <w:dstrike w:val="0"/>
        <w:sz w:val="22"/>
      </w:rPr>
    </w:lvl>
    <w:lvl w:ilvl="1">
      <w:start w:val="1"/>
      <w:numFmt w:val="upperRoman"/>
      <w:pStyle w:val="SchH2"/>
      <w:suff w:val="nothing"/>
      <w:lvlText w:val="Part %2"/>
      <w:lvlJc w:val="left"/>
      <w:pPr>
        <w:ind w:left="0" w:firstLine="0"/>
      </w:pPr>
      <w:rPr>
        <w:strike w:val="0"/>
        <w:dstrike w:val="0"/>
        <w:sz w:val="22"/>
      </w:rPr>
    </w:lvl>
    <w:lvl w:ilvl="2">
      <w:start w:val="1"/>
      <w:numFmt w:val="decimal"/>
      <w:pStyle w:val="SchH3"/>
      <w:lvlText w:val="%3."/>
      <w:lvlJc w:val="left"/>
      <w:pPr>
        <w:ind w:left="720" w:hanging="720"/>
      </w:pPr>
      <w:rPr>
        <w:strike w:val="0"/>
        <w:dstrike w:val="0"/>
        <w:sz w:val="22"/>
      </w:rPr>
    </w:lvl>
    <w:lvl w:ilvl="3">
      <w:start w:val="1"/>
      <w:numFmt w:val="decimal"/>
      <w:pStyle w:val="SchH4"/>
      <w:lvlText w:val="%3.%4"/>
      <w:lvlJc w:val="left"/>
      <w:pPr>
        <w:ind w:left="720" w:hanging="720"/>
      </w:pPr>
      <w:rPr>
        <w:strike w:val="0"/>
        <w:dstrike w:val="0"/>
        <w:sz w:val="22"/>
      </w:rPr>
    </w:lvl>
    <w:lvl w:ilvl="4">
      <w:start w:val="1"/>
      <w:numFmt w:val="lowerLetter"/>
      <w:pStyle w:val="SchH5"/>
      <w:lvlText w:val="(%5)"/>
      <w:lvlJc w:val="left"/>
      <w:pPr>
        <w:ind w:left="1440" w:hanging="720"/>
      </w:pPr>
      <w:rPr>
        <w:strike w:val="0"/>
        <w:dstrike w:val="0"/>
        <w:sz w:val="22"/>
      </w:rPr>
    </w:lvl>
    <w:lvl w:ilvl="5">
      <w:start w:val="1"/>
      <w:numFmt w:val="lowerRoman"/>
      <w:pStyle w:val="SchH6"/>
      <w:lvlText w:val="(%6)"/>
      <w:lvlJc w:val="left"/>
      <w:pPr>
        <w:ind w:left="2160" w:hanging="720"/>
      </w:pPr>
      <w:rPr>
        <w:strike w:val="0"/>
        <w:dstrike w:val="0"/>
        <w:sz w:val="22"/>
      </w:rPr>
    </w:lvl>
    <w:lvl w:ilvl="6">
      <w:start w:val="1"/>
      <w:numFmt w:val="upperLetter"/>
      <w:pStyle w:val="SchH7"/>
      <w:lvlText w:val="(%7)"/>
      <w:lvlJc w:val="left"/>
      <w:pPr>
        <w:ind w:left="2880" w:hanging="720"/>
      </w:pPr>
      <w:rPr>
        <w:strike w:val="0"/>
        <w:dstrike w:val="0"/>
        <w:sz w:val="22"/>
      </w:rPr>
    </w:lvl>
    <w:lvl w:ilvl="7">
      <w:start w:val="1"/>
      <w:numFmt w:val="decimal"/>
      <w:pStyle w:val="SchH8"/>
      <w:lvlText w:val="(%8)"/>
      <w:lvlJc w:val="left"/>
      <w:pPr>
        <w:ind w:left="3600" w:hanging="720"/>
      </w:pPr>
      <w:rPr>
        <w:i w:val="0"/>
        <w:caps w:val="0"/>
        <w:strike w:val="0"/>
        <w:dstrike w:val="0"/>
        <w:vanish w:val="0"/>
        <w:sz w:val="22"/>
        <w:u w:val="none"/>
        <w:effect w:val="none"/>
        <w:vertAlign w:val="baseline"/>
      </w:rPr>
    </w:lvl>
    <w:lvl w:ilvl="8">
      <w:start w:val="1"/>
      <w:numFmt w:val="upperRoman"/>
      <w:pStyle w:val="SchH9"/>
      <w:lvlText w:val="(%9)"/>
      <w:lvlJc w:val="left"/>
      <w:pPr>
        <w:ind w:left="4320" w:hanging="720"/>
      </w:pPr>
      <w:rPr>
        <w:strike w:val="0"/>
        <w:dstrike w:val="0"/>
        <w:sz w:val="22"/>
      </w:rPr>
    </w:lvl>
  </w:abstractNum>
  <w:abstractNum w:abstractNumId="9" w15:restartNumberingAfterBreak="0">
    <w:nsid w:val="096C1985"/>
    <w:multiLevelType w:val="multilevel"/>
    <w:tmpl w:val="F38A9D40"/>
    <w:styleLink w:val="BMSchedules"/>
    <w:lvl w:ilvl="0">
      <w:start w:val="1"/>
      <w:numFmt w:val="none"/>
      <w:pStyle w:val="SchH10"/>
      <w:suff w:val="nothing"/>
      <w:lvlText w:val="%1"/>
      <w:lvlJc w:val="left"/>
      <w:pPr>
        <w:ind w:left="0" w:firstLine="0"/>
      </w:pPr>
      <w:rPr>
        <w:rFonts w:hint="default"/>
      </w:rPr>
    </w:lvl>
    <w:lvl w:ilvl="1">
      <w:start w:val="1"/>
      <w:numFmt w:val="decimal"/>
      <w:pStyle w:val="SchH20"/>
      <w:lvlText w:val="%1%2."/>
      <w:lvlJc w:val="left"/>
      <w:pPr>
        <w:tabs>
          <w:tab w:val="num" w:pos="709"/>
        </w:tabs>
        <w:ind w:left="709" w:hanging="709"/>
      </w:pPr>
      <w:rPr>
        <w:rFonts w:hint="default"/>
      </w:rPr>
    </w:lvl>
    <w:lvl w:ilvl="2">
      <w:start w:val="1"/>
      <w:numFmt w:val="decimal"/>
      <w:pStyle w:val="SchH30"/>
      <w:lvlText w:val="%2.%3"/>
      <w:lvlJc w:val="left"/>
      <w:pPr>
        <w:tabs>
          <w:tab w:val="num" w:pos="709"/>
        </w:tabs>
        <w:ind w:left="709" w:hanging="709"/>
      </w:pPr>
      <w:rPr>
        <w:rFonts w:hint="default"/>
      </w:rPr>
    </w:lvl>
    <w:lvl w:ilvl="3">
      <w:start w:val="1"/>
      <w:numFmt w:val="lowerLetter"/>
      <w:pStyle w:val="SchH40"/>
      <w:lvlText w:val="(%4)"/>
      <w:lvlJc w:val="left"/>
      <w:pPr>
        <w:tabs>
          <w:tab w:val="num" w:pos="1418"/>
        </w:tabs>
        <w:ind w:left="1418" w:hanging="709"/>
      </w:pPr>
      <w:rPr>
        <w:rFonts w:hint="default"/>
      </w:rPr>
    </w:lvl>
    <w:lvl w:ilvl="4">
      <w:start w:val="1"/>
      <w:numFmt w:val="lowerRoman"/>
      <w:pStyle w:val="SchH50"/>
      <w:lvlText w:val="(%5)"/>
      <w:lvlJc w:val="left"/>
      <w:pPr>
        <w:tabs>
          <w:tab w:val="num" w:pos="2126"/>
        </w:tabs>
        <w:ind w:left="2126" w:hanging="708"/>
      </w:pPr>
      <w:rPr>
        <w:rFonts w:hint="default"/>
      </w:rPr>
    </w:lvl>
    <w:lvl w:ilvl="5">
      <w:start w:val="1"/>
      <w:numFmt w:val="upperLetter"/>
      <w:pStyle w:val="SchH60"/>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09B22CA1"/>
    <w:multiLevelType w:val="hybridMultilevel"/>
    <w:tmpl w:val="7B6AFDB6"/>
    <w:lvl w:ilvl="0" w:tplc="FFFFFFFF">
      <w:start w:val="1"/>
      <w:numFmt w:val="upp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0CAC64F4"/>
    <w:multiLevelType w:val="hybridMultilevel"/>
    <w:tmpl w:val="F3580ECA"/>
    <w:lvl w:ilvl="0" w:tplc="FFFFFFFF">
      <w:start w:val="1"/>
      <w:numFmt w:val="upperRoman"/>
      <w:lvlText w:val="%1."/>
      <w:lvlJc w:val="left"/>
      <w:pPr>
        <w:ind w:left="720" w:hanging="360"/>
      </w:pPr>
      <w:rPr>
        <w:rFonts w:hint="default"/>
      </w:rPr>
    </w:lvl>
    <w:lvl w:ilvl="1" w:tplc="FFFFFFFF">
      <w:start w:val="1"/>
      <w:numFmt w:val="lowerRoman"/>
      <w:lvlText w:val="(%2)"/>
      <w:lvlJc w:val="left"/>
      <w:pPr>
        <w:ind w:left="1810" w:hanging="7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5A0600"/>
    <w:multiLevelType w:val="hybridMultilevel"/>
    <w:tmpl w:val="E94A4B54"/>
    <w:styleLink w:val="ArticleSection"/>
    <w:lvl w:ilvl="0" w:tplc="3F26289C">
      <w:start w:val="1"/>
      <w:numFmt w:val="lowerRoman"/>
      <w:lvlText w:val="%1."/>
      <w:lvlJc w:val="right"/>
      <w:pPr>
        <w:ind w:left="720" w:hanging="360"/>
      </w:pPr>
      <w:rPr>
        <w:i w:val="0"/>
        <w:iCs/>
      </w:rPr>
    </w:lvl>
    <w:lvl w:ilvl="1" w:tplc="4CD4D7F6" w:tentative="1">
      <w:start w:val="1"/>
      <w:numFmt w:val="lowerLetter"/>
      <w:lvlText w:val="%2."/>
      <w:lvlJc w:val="left"/>
      <w:pPr>
        <w:ind w:left="1440" w:hanging="360"/>
      </w:pPr>
    </w:lvl>
    <w:lvl w:ilvl="2" w:tplc="9E3E6064" w:tentative="1">
      <w:start w:val="1"/>
      <w:numFmt w:val="lowerRoman"/>
      <w:lvlText w:val="%3."/>
      <w:lvlJc w:val="right"/>
      <w:pPr>
        <w:ind w:left="2160" w:hanging="180"/>
      </w:pPr>
    </w:lvl>
    <w:lvl w:ilvl="3" w:tplc="5A0E322E" w:tentative="1">
      <w:start w:val="1"/>
      <w:numFmt w:val="decimal"/>
      <w:lvlText w:val="%4."/>
      <w:lvlJc w:val="left"/>
      <w:pPr>
        <w:ind w:left="2880" w:hanging="360"/>
      </w:pPr>
    </w:lvl>
    <w:lvl w:ilvl="4" w:tplc="54F8469A" w:tentative="1">
      <w:start w:val="1"/>
      <w:numFmt w:val="lowerLetter"/>
      <w:lvlText w:val="%5."/>
      <w:lvlJc w:val="left"/>
      <w:pPr>
        <w:ind w:left="3600" w:hanging="360"/>
      </w:pPr>
    </w:lvl>
    <w:lvl w:ilvl="5" w:tplc="D7F0CF2E" w:tentative="1">
      <w:start w:val="1"/>
      <w:numFmt w:val="lowerRoman"/>
      <w:lvlText w:val="%6."/>
      <w:lvlJc w:val="right"/>
      <w:pPr>
        <w:ind w:left="4320" w:hanging="180"/>
      </w:pPr>
    </w:lvl>
    <w:lvl w:ilvl="6" w:tplc="A9243B84" w:tentative="1">
      <w:start w:val="1"/>
      <w:numFmt w:val="decimal"/>
      <w:lvlText w:val="%7."/>
      <w:lvlJc w:val="left"/>
      <w:pPr>
        <w:ind w:left="5040" w:hanging="360"/>
      </w:pPr>
    </w:lvl>
    <w:lvl w:ilvl="7" w:tplc="C4B84FE6" w:tentative="1">
      <w:start w:val="1"/>
      <w:numFmt w:val="lowerLetter"/>
      <w:lvlText w:val="%8."/>
      <w:lvlJc w:val="left"/>
      <w:pPr>
        <w:ind w:left="5760" w:hanging="360"/>
      </w:pPr>
    </w:lvl>
    <w:lvl w:ilvl="8" w:tplc="A21EC0A0" w:tentative="1">
      <w:start w:val="1"/>
      <w:numFmt w:val="lowerRoman"/>
      <w:lvlText w:val="%9."/>
      <w:lvlJc w:val="right"/>
      <w:pPr>
        <w:ind w:left="6480" w:hanging="180"/>
      </w:pPr>
    </w:lvl>
  </w:abstractNum>
  <w:abstractNum w:abstractNumId="13" w15:restartNumberingAfterBreak="0">
    <w:nsid w:val="122423AC"/>
    <w:multiLevelType w:val="hybridMultilevel"/>
    <w:tmpl w:val="F3580ECA"/>
    <w:lvl w:ilvl="0" w:tplc="FFFFFFFF">
      <w:start w:val="1"/>
      <w:numFmt w:val="upperRoman"/>
      <w:lvlText w:val="%1."/>
      <w:lvlJc w:val="left"/>
      <w:pPr>
        <w:ind w:left="720" w:hanging="360"/>
      </w:pPr>
      <w:rPr>
        <w:rFonts w:hint="default"/>
      </w:rPr>
    </w:lvl>
    <w:lvl w:ilvl="1" w:tplc="FFFFFFFF">
      <w:start w:val="1"/>
      <w:numFmt w:val="lowerRoman"/>
      <w:lvlText w:val="(%2)"/>
      <w:lvlJc w:val="left"/>
      <w:pPr>
        <w:ind w:left="1810" w:hanging="7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A94572"/>
    <w:multiLevelType w:val="multilevel"/>
    <w:tmpl w:val="821846C0"/>
    <w:name w:val="List Numbering"/>
    <w:lvl w:ilvl="0">
      <w:start w:val="1"/>
      <w:numFmt w:val="decimal"/>
      <w:pStyle w:val="ListNumbering1"/>
      <w:lvlText w:val="%1."/>
      <w:lvlJc w:val="left"/>
      <w:pPr>
        <w:ind w:left="720" w:hanging="720"/>
      </w:pPr>
      <w:rPr>
        <w:strike w:val="0"/>
        <w:dstrike w:val="0"/>
      </w:rPr>
    </w:lvl>
    <w:lvl w:ilvl="1">
      <w:start w:val="1"/>
      <w:numFmt w:val="lowerLetter"/>
      <w:pStyle w:val="ListNumbering2"/>
      <w:lvlText w:val="(%2)"/>
      <w:lvlJc w:val="left"/>
      <w:pPr>
        <w:ind w:left="1440" w:hanging="720"/>
      </w:pPr>
      <w:rPr>
        <w:strike w:val="0"/>
        <w:dstrike w:val="0"/>
      </w:rPr>
    </w:lvl>
    <w:lvl w:ilvl="2">
      <w:start w:val="1"/>
      <w:numFmt w:val="lowerRoman"/>
      <w:pStyle w:val="ListNumbering3"/>
      <w:lvlText w:val="(%3)"/>
      <w:lvlJc w:val="left"/>
      <w:pPr>
        <w:ind w:left="2160" w:hanging="720"/>
      </w:pPr>
      <w:rPr>
        <w:strike w:val="0"/>
        <w:dstrike w:val="0"/>
      </w:rPr>
    </w:lvl>
    <w:lvl w:ilvl="3">
      <w:start w:val="1"/>
      <w:numFmt w:val="upperLetter"/>
      <w:pStyle w:val="ListNumbering4"/>
      <w:lvlText w:val="(%4)"/>
      <w:lvlJc w:val="left"/>
      <w:pPr>
        <w:ind w:left="2880" w:hanging="720"/>
      </w:pPr>
      <w:rPr>
        <w:strike w:val="0"/>
        <w:dstrike w:val="0"/>
      </w:rPr>
    </w:lvl>
    <w:lvl w:ilvl="4">
      <w:start w:val="1"/>
      <w:numFmt w:val="none"/>
      <w:pStyle w:val="ListNumbering5"/>
      <w:suff w:val="nothing"/>
      <w:lvlText w:val=""/>
      <w:lvlJc w:val="left"/>
      <w:pPr>
        <w:ind w:left="0" w:firstLine="0"/>
      </w:pPr>
      <w:rPr>
        <w:strike w:val="0"/>
        <w:dstrike w:val="0"/>
      </w:rPr>
    </w:lvl>
    <w:lvl w:ilvl="5">
      <w:start w:val="1"/>
      <w:numFmt w:val="none"/>
      <w:pStyle w:val="ListNumbering6"/>
      <w:suff w:val="nothing"/>
      <w:lvlText w:val=""/>
      <w:lvlJc w:val="left"/>
      <w:pPr>
        <w:ind w:left="0" w:firstLine="0"/>
      </w:pPr>
      <w:rPr>
        <w:strike w:val="0"/>
        <w:dstrike w:val="0"/>
      </w:rPr>
    </w:lvl>
    <w:lvl w:ilvl="6">
      <w:start w:val="1"/>
      <w:numFmt w:val="none"/>
      <w:pStyle w:val="ListNumbering7"/>
      <w:suff w:val="nothing"/>
      <w:lvlText w:val=""/>
      <w:lvlJc w:val="left"/>
      <w:pPr>
        <w:ind w:left="0" w:firstLine="0"/>
      </w:pPr>
      <w:rPr>
        <w:strike w:val="0"/>
        <w:dstrike w:val="0"/>
      </w:rPr>
    </w:lvl>
    <w:lvl w:ilvl="7">
      <w:start w:val="1"/>
      <w:numFmt w:val="none"/>
      <w:pStyle w:val="ListNumbering8"/>
      <w:suff w:val="nothing"/>
      <w:lvlText w:val=""/>
      <w:lvlJc w:val="left"/>
      <w:pPr>
        <w:ind w:left="0" w:firstLine="0"/>
      </w:pPr>
      <w:rPr>
        <w:strike w:val="0"/>
        <w:dstrike w:val="0"/>
      </w:rPr>
    </w:lvl>
    <w:lvl w:ilvl="8">
      <w:start w:val="1"/>
      <w:numFmt w:val="none"/>
      <w:pStyle w:val="ListNumbering9"/>
      <w:suff w:val="nothing"/>
      <w:lvlText w:val=""/>
      <w:lvlJc w:val="left"/>
      <w:pPr>
        <w:ind w:left="0" w:firstLine="0"/>
      </w:pPr>
      <w:rPr>
        <w:strike w:val="0"/>
        <w:dstrike w:val="0"/>
      </w:rPr>
    </w:lvl>
  </w:abstractNum>
  <w:abstractNum w:abstractNumId="15" w15:restartNumberingAfterBreak="0">
    <w:nsid w:val="16B66BDC"/>
    <w:multiLevelType w:val="multilevel"/>
    <w:tmpl w:val="55B8E28E"/>
    <w:name w:val="Annexure"/>
    <w:lvl w:ilvl="0">
      <w:start w:val="1"/>
      <w:numFmt w:val="decimal"/>
      <w:pStyle w:val="Annexure1"/>
      <w:suff w:val="nothing"/>
      <w:lvlText w:val="Annexure %1"/>
      <w:lvlJc w:val="left"/>
      <w:pPr>
        <w:ind w:left="0" w:firstLine="0"/>
      </w:pPr>
      <w:rPr>
        <w:strike w:val="0"/>
        <w:dstrike w:val="0"/>
      </w:rPr>
    </w:lvl>
    <w:lvl w:ilvl="1">
      <w:start w:val="1"/>
      <w:numFmt w:val="upperRoman"/>
      <w:pStyle w:val="Annexure2"/>
      <w:suff w:val="nothing"/>
      <w:lvlText w:val="Part %2"/>
      <w:lvlJc w:val="left"/>
      <w:pPr>
        <w:ind w:left="0" w:firstLine="0"/>
      </w:pPr>
      <w:rPr>
        <w:b/>
        <w:strike w:val="0"/>
        <w:dstrike w:val="0"/>
      </w:rPr>
    </w:lvl>
    <w:lvl w:ilvl="2">
      <w:start w:val="1"/>
      <w:numFmt w:val="decimal"/>
      <w:pStyle w:val="Annexure3"/>
      <w:lvlText w:val="%3."/>
      <w:lvlJc w:val="left"/>
      <w:pPr>
        <w:ind w:left="720" w:hanging="720"/>
      </w:pPr>
      <w:rPr>
        <w:strike w:val="0"/>
        <w:dstrike w:val="0"/>
      </w:rPr>
    </w:lvl>
    <w:lvl w:ilvl="3">
      <w:start w:val="1"/>
      <w:numFmt w:val="decimal"/>
      <w:pStyle w:val="Annexure4"/>
      <w:lvlText w:val="%3.%4"/>
      <w:lvlJc w:val="left"/>
      <w:pPr>
        <w:ind w:left="720" w:hanging="720"/>
      </w:pPr>
      <w:rPr>
        <w:strike w:val="0"/>
        <w:dstrike w:val="0"/>
      </w:rPr>
    </w:lvl>
    <w:lvl w:ilvl="4">
      <w:start w:val="1"/>
      <w:numFmt w:val="lowerLetter"/>
      <w:pStyle w:val="Annexure5"/>
      <w:lvlText w:val="(%5)"/>
      <w:lvlJc w:val="left"/>
      <w:pPr>
        <w:ind w:left="1440" w:hanging="720"/>
      </w:pPr>
      <w:rPr>
        <w:strike w:val="0"/>
        <w:dstrike w:val="0"/>
      </w:rPr>
    </w:lvl>
    <w:lvl w:ilvl="5">
      <w:start w:val="1"/>
      <w:numFmt w:val="lowerRoman"/>
      <w:pStyle w:val="Annexure6"/>
      <w:lvlText w:val="(%6)"/>
      <w:lvlJc w:val="left"/>
      <w:pPr>
        <w:ind w:left="2160" w:hanging="720"/>
      </w:pPr>
      <w:rPr>
        <w:strike w:val="0"/>
        <w:dstrike w:val="0"/>
      </w:rPr>
    </w:lvl>
    <w:lvl w:ilvl="6">
      <w:start w:val="1"/>
      <w:numFmt w:val="upperLetter"/>
      <w:pStyle w:val="Annexure7"/>
      <w:lvlText w:val="(%7)"/>
      <w:lvlJc w:val="left"/>
      <w:pPr>
        <w:ind w:left="2880" w:hanging="720"/>
      </w:pPr>
      <w:rPr>
        <w:strike w:val="0"/>
        <w:dstrike w:val="0"/>
      </w:rPr>
    </w:lvl>
    <w:lvl w:ilvl="7">
      <w:start w:val="1"/>
      <w:numFmt w:val="decimal"/>
      <w:pStyle w:val="Annexure8"/>
      <w:lvlText w:val="(%8)"/>
      <w:lvlJc w:val="left"/>
      <w:pPr>
        <w:ind w:left="3600" w:hanging="720"/>
      </w:pPr>
      <w:rPr>
        <w:strike w:val="0"/>
        <w:dstrike w:val="0"/>
      </w:rPr>
    </w:lvl>
    <w:lvl w:ilvl="8">
      <w:start w:val="1"/>
      <w:numFmt w:val="upperRoman"/>
      <w:pStyle w:val="Annexure9"/>
      <w:lvlText w:val="(%9)"/>
      <w:lvlJc w:val="left"/>
      <w:pPr>
        <w:ind w:left="4320" w:hanging="720"/>
      </w:pPr>
      <w:rPr>
        <w:strike w:val="0"/>
        <w:dstrike w:val="0"/>
      </w:rPr>
    </w:lvl>
  </w:abstractNum>
  <w:abstractNum w:abstractNumId="16" w15:restartNumberingAfterBreak="0">
    <w:nsid w:val="1CA93839"/>
    <w:multiLevelType w:val="multilevel"/>
    <w:tmpl w:val="6804C458"/>
    <w:lvl w:ilvl="0">
      <w:start w:val="1"/>
      <w:numFmt w:val="decimal"/>
      <w:lvlText w:val="%1."/>
      <w:lvlJc w:val="left"/>
      <w:pPr>
        <w:ind w:left="720" w:hanging="720"/>
      </w:pPr>
      <w:rPr>
        <w:rFonts w:hint="default"/>
        <w:b/>
        <w:i w:val="0"/>
        <w:sz w:val="22"/>
      </w:rPr>
    </w:lvl>
    <w:lvl w:ilvl="1">
      <w:start w:val="1"/>
      <w:numFmt w:val="decimal"/>
      <w:lvlText w:val="%1.%2."/>
      <w:lvlJc w:val="left"/>
      <w:pPr>
        <w:ind w:left="720" w:hanging="720"/>
      </w:pPr>
      <w:rPr>
        <w:rFonts w:hint="default"/>
        <w:b w:val="0"/>
        <w:i w:val="0"/>
        <w:sz w:val="22"/>
      </w:rPr>
    </w:lvl>
    <w:lvl w:ilvl="2">
      <w:start w:val="1"/>
      <w:numFmt w:val="decimal"/>
      <w:lvlText w:val="%1.%2.%3."/>
      <w:lvlJc w:val="left"/>
      <w:pPr>
        <w:ind w:left="720" w:hanging="720"/>
      </w:pPr>
      <w:rPr>
        <w:rFonts w:hint="default"/>
        <w:b w:val="0"/>
        <w:i w:val="0"/>
        <w:sz w:val="22"/>
      </w:rPr>
    </w:lvl>
    <w:lvl w:ilvl="3">
      <w:start w:val="1"/>
      <w:numFmt w:val="lowerLetter"/>
      <w:lvlText w:val="(%4)"/>
      <w:lvlJc w:val="left"/>
      <w:pPr>
        <w:ind w:left="1440" w:hanging="720"/>
      </w:pPr>
      <w:rPr>
        <w:rFonts w:hint="default"/>
        <w:b w:val="0"/>
        <w:i w:val="0"/>
        <w:sz w:val="22"/>
      </w:rPr>
    </w:lvl>
    <w:lvl w:ilvl="4">
      <w:start w:val="1"/>
      <w:numFmt w:val="upperRoman"/>
      <w:lvlText w:val="%5."/>
      <w:lvlJc w:val="left"/>
      <w:pPr>
        <w:ind w:left="720" w:firstLine="0"/>
      </w:pPr>
      <w:rPr>
        <w:rFonts w:hint="default"/>
        <w:b w:val="0"/>
        <w:i w:val="0"/>
        <w:sz w:val="22"/>
      </w:rPr>
    </w:lvl>
    <w:lvl w:ilvl="5">
      <w:start w:val="1"/>
      <w:numFmt w:val="lowerRoman"/>
      <w:lvlText w:val="(%6)"/>
      <w:lvlJc w:val="left"/>
      <w:pPr>
        <w:ind w:left="720" w:firstLine="0"/>
      </w:pPr>
      <w:rPr>
        <w:rFonts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62426B"/>
    <w:multiLevelType w:val="multilevel"/>
    <w:tmpl w:val="CBD6525C"/>
    <w:name w:val="Definition"/>
    <w:lvl w:ilvl="0">
      <w:start w:val="1"/>
      <w:numFmt w:val="none"/>
      <w:pStyle w:val="Definition1"/>
      <w:suff w:val="nothing"/>
      <w:lvlText w:val="%1"/>
      <w:lvlJc w:val="left"/>
      <w:pPr>
        <w:ind w:left="720" w:firstLine="0"/>
      </w:pPr>
      <w:rPr>
        <w:strike w:val="0"/>
        <w:dstrike w:val="0"/>
        <w:sz w:val="22"/>
      </w:rPr>
    </w:lvl>
    <w:lvl w:ilvl="1">
      <w:start w:val="1"/>
      <w:numFmt w:val="lowerLetter"/>
      <w:pStyle w:val="Definition2"/>
      <w:lvlText w:val="(%2)"/>
      <w:lvlJc w:val="left"/>
      <w:pPr>
        <w:ind w:left="1440" w:hanging="720"/>
      </w:pPr>
      <w:rPr>
        <w:strike w:val="0"/>
        <w:dstrike w:val="0"/>
        <w:sz w:val="22"/>
      </w:rPr>
    </w:lvl>
    <w:lvl w:ilvl="2">
      <w:start w:val="1"/>
      <w:numFmt w:val="lowerRoman"/>
      <w:pStyle w:val="Definition3"/>
      <w:lvlText w:val="(%3)"/>
      <w:lvlJc w:val="left"/>
      <w:pPr>
        <w:ind w:left="2160" w:hanging="720"/>
      </w:pPr>
      <w:rPr>
        <w:strike w:val="0"/>
        <w:dstrike w:val="0"/>
        <w:sz w:val="22"/>
      </w:rPr>
    </w:lvl>
    <w:lvl w:ilvl="3">
      <w:start w:val="1"/>
      <w:numFmt w:val="upperLetter"/>
      <w:pStyle w:val="Definition4"/>
      <w:lvlText w:val="(%4)"/>
      <w:lvlJc w:val="left"/>
      <w:pPr>
        <w:ind w:left="2880" w:hanging="720"/>
      </w:pPr>
      <w:rPr>
        <w:strike w:val="0"/>
        <w:dstrike w:val="0"/>
        <w:sz w:val="22"/>
      </w:rPr>
    </w:lvl>
    <w:lvl w:ilvl="4">
      <w:start w:val="1"/>
      <w:numFmt w:val="none"/>
      <w:pStyle w:val="Definition5"/>
      <w:suff w:val="nothing"/>
      <w:lvlText w:val=""/>
      <w:lvlJc w:val="left"/>
      <w:pPr>
        <w:ind w:left="0" w:firstLine="0"/>
      </w:pPr>
      <w:rPr>
        <w:strike w:val="0"/>
        <w:dstrike w:val="0"/>
        <w:sz w:val="22"/>
      </w:rPr>
    </w:lvl>
    <w:lvl w:ilvl="5">
      <w:start w:val="1"/>
      <w:numFmt w:val="none"/>
      <w:pStyle w:val="Definition6"/>
      <w:suff w:val="nothing"/>
      <w:lvlText w:val=""/>
      <w:lvlJc w:val="left"/>
      <w:pPr>
        <w:ind w:left="0" w:firstLine="0"/>
      </w:pPr>
      <w:rPr>
        <w:strike w:val="0"/>
        <w:dstrike w:val="0"/>
        <w:sz w:val="22"/>
      </w:rPr>
    </w:lvl>
    <w:lvl w:ilvl="6">
      <w:start w:val="1"/>
      <w:numFmt w:val="none"/>
      <w:pStyle w:val="Definition7"/>
      <w:suff w:val="nothing"/>
      <w:lvlText w:val=""/>
      <w:lvlJc w:val="left"/>
      <w:pPr>
        <w:ind w:left="0" w:firstLine="0"/>
      </w:pPr>
      <w:rPr>
        <w:strike w:val="0"/>
        <w:dstrike w:val="0"/>
        <w:sz w:val="22"/>
      </w:rPr>
    </w:lvl>
    <w:lvl w:ilvl="7">
      <w:start w:val="1"/>
      <w:numFmt w:val="none"/>
      <w:pStyle w:val="Definition8"/>
      <w:suff w:val="nothing"/>
      <w:lvlText w:val=""/>
      <w:lvlJc w:val="left"/>
      <w:pPr>
        <w:ind w:left="0" w:firstLine="0"/>
      </w:pPr>
      <w:rPr>
        <w:strike w:val="0"/>
        <w:dstrike w:val="0"/>
        <w:sz w:val="22"/>
      </w:rPr>
    </w:lvl>
    <w:lvl w:ilvl="8">
      <w:start w:val="1"/>
      <w:numFmt w:val="none"/>
      <w:pStyle w:val="Definition9"/>
      <w:suff w:val="nothing"/>
      <w:lvlText w:val=""/>
      <w:lvlJc w:val="left"/>
      <w:pPr>
        <w:ind w:left="0" w:firstLine="0"/>
      </w:pPr>
      <w:rPr>
        <w:strike w:val="0"/>
        <w:dstrike w:val="0"/>
        <w:sz w:val="22"/>
      </w:rPr>
    </w:lvl>
  </w:abstractNum>
  <w:abstractNum w:abstractNumId="18" w15:restartNumberingAfterBreak="0">
    <w:nsid w:val="1E8221F7"/>
    <w:multiLevelType w:val="hybridMultilevel"/>
    <w:tmpl w:val="96DAA784"/>
    <w:lvl w:ilvl="0" w:tplc="25EC4A78">
      <w:start w:val="1"/>
      <w:numFmt w:val="decimal"/>
      <w:pStyle w:val="PrecedentCoverTableText-Numbered"/>
      <w:lvlText w:val="%1."/>
      <w:lvlJc w:val="left"/>
      <w:pPr>
        <w:ind w:left="720" w:hanging="360"/>
      </w:pPr>
      <w:rPr>
        <w:rFonts w:hint="default"/>
        <w:b/>
        <w:i w:val="0"/>
        <w:color w:val="A71930" w:themeColor="accent1"/>
      </w:rPr>
    </w:lvl>
    <w:lvl w:ilvl="1" w:tplc="6ADC04DA" w:tentative="1">
      <w:start w:val="1"/>
      <w:numFmt w:val="lowerLetter"/>
      <w:lvlText w:val="%2."/>
      <w:lvlJc w:val="left"/>
      <w:pPr>
        <w:ind w:left="1440" w:hanging="360"/>
      </w:pPr>
    </w:lvl>
    <w:lvl w:ilvl="2" w:tplc="87262390" w:tentative="1">
      <w:start w:val="1"/>
      <w:numFmt w:val="lowerRoman"/>
      <w:lvlText w:val="%3."/>
      <w:lvlJc w:val="right"/>
      <w:pPr>
        <w:ind w:left="2160" w:hanging="180"/>
      </w:pPr>
    </w:lvl>
    <w:lvl w:ilvl="3" w:tplc="ACEC5AA4" w:tentative="1">
      <w:start w:val="1"/>
      <w:numFmt w:val="decimal"/>
      <w:lvlText w:val="%4."/>
      <w:lvlJc w:val="left"/>
      <w:pPr>
        <w:ind w:left="2880" w:hanging="360"/>
      </w:pPr>
    </w:lvl>
    <w:lvl w:ilvl="4" w:tplc="BDD071D8" w:tentative="1">
      <w:start w:val="1"/>
      <w:numFmt w:val="lowerLetter"/>
      <w:lvlText w:val="%5."/>
      <w:lvlJc w:val="left"/>
      <w:pPr>
        <w:ind w:left="3600" w:hanging="360"/>
      </w:pPr>
    </w:lvl>
    <w:lvl w:ilvl="5" w:tplc="C744F85A" w:tentative="1">
      <w:start w:val="1"/>
      <w:numFmt w:val="lowerRoman"/>
      <w:lvlText w:val="%6."/>
      <w:lvlJc w:val="right"/>
      <w:pPr>
        <w:ind w:left="4320" w:hanging="180"/>
      </w:pPr>
    </w:lvl>
    <w:lvl w:ilvl="6" w:tplc="456A88DE" w:tentative="1">
      <w:start w:val="1"/>
      <w:numFmt w:val="decimal"/>
      <w:lvlText w:val="%7."/>
      <w:lvlJc w:val="left"/>
      <w:pPr>
        <w:ind w:left="5040" w:hanging="360"/>
      </w:pPr>
    </w:lvl>
    <w:lvl w:ilvl="7" w:tplc="40A0CB86" w:tentative="1">
      <w:start w:val="1"/>
      <w:numFmt w:val="lowerLetter"/>
      <w:lvlText w:val="%8."/>
      <w:lvlJc w:val="left"/>
      <w:pPr>
        <w:ind w:left="5760" w:hanging="360"/>
      </w:pPr>
    </w:lvl>
    <w:lvl w:ilvl="8" w:tplc="73364F02" w:tentative="1">
      <w:start w:val="1"/>
      <w:numFmt w:val="lowerRoman"/>
      <w:lvlText w:val="%9."/>
      <w:lvlJc w:val="right"/>
      <w:pPr>
        <w:ind w:left="6480" w:hanging="180"/>
      </w:pPr>
    </w:lvl>
  </w:abstractNum>
  <w:abstractNum w:abstractNumId="19" w15:restartNumberingAfterBreak="0">
    <w:nsid w:val="21BE28D7"/>
    <w:multiLevelType w:val="hybridMultilevel"/>
    <w:tmpl w:val="F3B6362C"/>
    <w:lvl w:ilvl="0" w:tplc="56243AF6">
      <w:start w:val="1"/>
      <w:numFmt w:val="upperLetter"/>
      <w:pStyle w:val="Recital"/>
      <w:lvlText w:val="%1"/>
      <w:lvlJc w:val="left"/>
      <w:pPr>
        <w:tabs>
          <w:tab w:val="num" w:pos="709"/>
        </w:tabs>
        <w:ind w:left="709" w:hanging="709"/>
      </w:pPr>
      <w:rPr>
        <w:rFonts w:hint="default"/>
      </w:rPr>
    </w:lvl>
    <w:lvl w:ilvl="1" w:tplc="56CC2868" w:tentative="1">
      <w:start w:val="1"/>
      <w:numFmt w:val="lowerLetter"/>
      <w:lvlText w:val="%2."/>
      <w:lvlJc w:val="left"/>
      <w:pPr>
        <w:tabs>
          <w:tab w:val="num" w:pos="1440"/>
        </w:tabs>
        <w:ind w:left="1440" w:hanging="360"/>
      </w:pPr>
    </w:lvl>
    <w:lvl w:ilvl="2" w:tplc="A336EFDE" w:tentative="1">
      <w:start w:val="1"/>
      <w:numFmt w:val="lowerRoman"/>
      <w:lvlText w:val="%3."/>
      <w:lvlJc w:val="right"/>
      <w:pPr>
        <w:tabs>
          <w:tab w:val="num" w:pos="2160"/>
        </w:tabs>
        <w:ind w:left="2160" w:hanging="180"/>
      </w:pPr>
    </w:lvl>
    <w:lvl w:ilvl="3" w:tplc="B316ED64" w:tentative="1">
      <w:start w:val="1"/>
      <w:numFmt w:val="decimal"/>
      <w:lvlText w:val="%4."/>
      <w:lvlJc w:val="left"/>
      <w:pPr>
        <w:tabs>
          <w:tab w:val="num" w:pos="2880"/>
        </w:tabs>
        <w:ind w:left="2880" w:hanging="360"/>
      </w:pPr>
    </w:lvl>
    <w:lvl w:ilvl="4" w:tplc="9F946B4C" w:tentative="1">
      <w:start w:val="1"/>
      <w:numFmt w:val="lowerLetter"/>
      <w:lvlText w:val="%5."/>
      <w:lvlJc w:val="left"/>
      <w:pPr>
        <w:tabs>
          <w:tab w:val="num" w:pos="3600"/>
        </w:tabs>
        <w:ind w:left="3600" w:hanging="360"/>
      </w:pPr>
    </w:lvl>
    <w:lvl w:ilvl="5" w:tplc="9F5615F4" w:tentative="1">
      <w:start w:val="1"/>
      <w:numFmt w:val="lowerRoman"/>
      <w:lvlText w:val="%6."/>
      <w:lvlJc w:val="right"/>
      <w:pPr>
        <w:tabs>
          <w:tab w:val="num" w:pos="4320"/>
        </w:tabs>
        <w:ind w:left="4320" w:hanging="180"/>
      </w:pPr>
    </w:lvl>
    <w:lvl w:ilvl="6" w:tplc="9762FE32" w:tentative="1">
      <w:start w:val="1"/>
      <w:numFmt w:val="decimal"/>
      <w:lvlText w:val="%7."/>
      <w:lvlJc w:val="left"/>
      <w:pPr>
        <w:tabs>
          <w:tab w:val="num" w:pos="5040"/>
        </w:tabs>
        <w:ind w:left="5040" w:hanging="360"/>
      </w:pPr>
    </w:lvl>
    <w:lvl w:ilvl="7" w:tplc="6C3002BE" w:tentative="1">
      <w:start w:val="1"/>
      <w:numFmt w:val="lowerLetter"/>
      <w:lvlText w:val="%8."/>
      <w:lvlJc w:val="left"/>
      <w:pPr>
        <w:tabs>
          <w:tab w:val="num" w:pos="5760"/>
        </w:tabs>
        <w:ind w:left="5760" w:hanging="360"/>
      </w:pPr>
    </w:lvl>
    <w:lvl w:ilvl="8" w:tplc="7354FF58" w:tentative="1">
      <w:start w:val="1"/>
      <w:numFmt w:val="lowerRoman"/>
      <w:lvlText w:val="%9."/>
      <w:lvlJc w:val="right"/>
      <w:pPr>
        <w:tabs>
          <w:tab w:val="num" w:pos="6480"/>
        </w:tabs>
        <w:ind w:left="6480" w:hanging="180"/>
      </w:pPr>
    </w:lvl>
  </w:abstractNum>
  <w:abstractNum w:abstractNumId="20" w15:restartNumberingAfterBreak="0">
    <w:nsid w:val="22DA4E9A"/>
    <w:multiLevelType w:val="multilevel"/>
    <w:tmpl w:val="6804C458"/>
    <w:lvl w:ilvl="0">
      <w:start w:val="1"/>
      <w:numFmt w:val="decimal"/>
      <w:lvlText w:val="%1."/>
      <w:lvlJc w:val="left"/>
      <w:pPr>
        <w:ind w:left="720" w:hanging="720"/>
      </w:pPr>
      <w:rPr>
        <w:rFonts w:hint="default"/>
        <w:b/>
        <w:i w:val="0"/>
        <w:sz w:val="22"/>
      </w:rPr>
    </w:lvl>
    <w:lvl w:ilvl="1">
      <w:start w:val="1"/>
      <w:numFmt w:val="decimal"/>
      <w:lvlText w:val="%1.%2."/>
      <w:lvlJc w:val="left"/>
      <w:pPr>
        <w:ind w:left="720" w:hanging="720"/>
      </w:pPr>
      <w:rPr>
        <w:rFonts w:hint="default"/>
        <w:b w:val="0"/>
        <w:i w:val="0"/>
        <w:sz w:val="22"/>
      </w:rPr>
    </w:lvl>
    <w:lvl w:ilvl="2">
      <w:start w:val="1"/>
      <w:numFmt w:val="decimal"/>
      <w:lvlText w:val="%1.%2.%3."/>
      <w:lvlJc w:val="left"/>
      <w:pPr>
        <w:ind w:left="720" w:hanging="720"/>
      </w:pPr>
      <w:rPr>
        <w:rFonts w:hint="default"/>
        <w:b w:val="0"/>
        <w:i w:val="0"/>
        <w:sz w:val="22"/>
      </w:rPr>
    </w:lvl>
    <w:lvl w:ilvl="3">
      <w:start w:val="1"/>
      <w:numFmt w:val="lowerLetter"/>
      <w:lvlText w:val="(%4)"/>
      <w:lvlJc w:val="left"/>
      <w:pPr>
        <w:ind w:left="1440" w:hanging="720"/>
      </w:pPr>
      <w:rPr>
        <w:rFonts w:hint="default"/>
        <w:b w:val="0"/>
        <w:i w:val="0"/>
        <w:sz w:val="22"/>
      </w:rPr>
    </w:lvl>
    <w:lvl w:ilvl="4">
      <w:start w:val="1"/>
      <w:numFmt w:val="upperRoman"/>
      <w:lvlText w:val="%5."/>
      <w:lvlJc w:val="left"/>
      <w:pPr>
        <w:ind w:left="720" w:firstLine="0"/>
      </w:pPr>
      <w:rPr>
        <w:rFonts w:hint="default"/>
        <w:b w:val="0"/>
        <w:i w:val="0"/>
        <w:sz w:val="22"/>
      </w:rPr>
    </w:lvl>
    <w:lvl w:ilvl="5">
      <w:start w:val="1"/>
      <w:numFmt w:val="lowerRoman"/>
      <w:lvlText w:val="(%6)"/>
      <w:lvlJc w:val="left"/>
      <w:pPr>
        <w:ind w:left="720" w:firstLine="0"/>
      </w:pPr>
      <w:rPr>
        <w:rFonts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4230607"/>
    <w:multiLevelType w:val="multilevel"/>
    <w:tmpl w:val="0809001F"/>
    <w:styleLink w:val="111111"/>
    <w:lvl w:ilvl="0">
      <w:start w:val="1"/>
      <w:numFmt w:val="decimal"/>
      <w:lvlText w:val="%1."/>
      <w:lvlJc w:val="left"/>
      <w:pPr>
        <w:tabs>
          <w:tab w:val="num" w:pos="360"/>
        </w:tabs>
        <w:ind w:left="360" w:hanging="360"/>
      </w:pPr>
      <w:rPr>
        <w:rFonts w:ascii="Georgia" w:hAnsi="Georgi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A349FF"/>
    <w:multiLevelType w:val="hybridMultilevel"/>
    <w:tmpl w:val="7B6AFDB6"/>
    <w:lvl w:ilvl="0" w:tplc="FFFFFFFF">
      <w:start w:val="1"/>
      <w:numFmt w:val="upp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7010CEF"/>
    <w:multiLevelType w:val="multilevel"/>
    <w:tmpl w:val="204C8D46"/>
    <w:styleLink w:val="1ai"/>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9014F41"/>
    <w:multiLevelType w:val="hybridMultilevel"/>
    <w:tmpl w:val="7B6AFDB6"/>
    <w:lvl w:ilvl="0" w:tplc="9B42E2BA">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C7119FC"/>
    <w:multiLevelType w:val="hybridMultilevel"/>
    <w:tmpl w:val="2622600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2E35514F"/>
    <w:multiLevelType w:val="hybridMultilevel"/>
    <w:tmpl w:val="1B82C0C8"/>
    <w:lvl w:ilvl="0" w:tplc="FFFFFFFF">
      <w:start w:val="1"/>
      <w:numFmt w:val="decimal"/>
      <w:lvlText w:val="%1."/>
      <w:lvlJc w:val="left"/>
      <w:pPr>
        <w:ind w:left="720" w:hanging="360"/>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1C7A27"/>
    <w:multiLevelType w:val="hybridMultilevel"/>
    <w:tmpl w:val="06924C16"/>
    <w:lvl w:ilvl="0" w:tplc="6F440D70">
      <w:start w:val="1"/>
      <w:numFmt w:val="bullet"/>
      <w:pStyle w:val="Bullet2"/>
      <w:lvlText w:val=""/>
      <w:lvlJc w:val="left"/>
      <w:pPr>
        <w:tabs>
          <w:tab w:val="num" w:pos="357"/>
        </w:tabs>
        <w:ind w:left="357" w:hanging="357"/>
      </w:pPr>
      <w:rPr>
        <w:rFonts w:ascii="Symbol" w:hAnsi="Symbol" w:hint="default"/>
      </w:rPr>
    </w:lvl>
    <w:lvl w:ilvl="1" w:tplc="EC82C550" w:tentative="1">
      <w:start w:val="1"/>
      <w:numFmt w:val="bullet"/>
      <w:lvlText w:val="o"/>
      <w:lvlJc w:val="left"/>
      <w:pPr>
        <w:tabs>
          <w:tab w:val="num" w:pos="1440"/>
        </w:tabs>
        <w:ind w:left="1440" w:hanging="360"/>
      </w:pPr>
      <w:rPr>
        <w:rFonts w:ascii="Courier New" w:hAnsi="Courier New" w:cs="Courier New" w:hint="default"/>
      </w:rPr>
    </w:lvl>
    <w:lvl w:ilvl="2" w:tplc="49D01C2A" w:tentative="1">
      <w:start w:val="1"/>
      <w:numFmt w:val="bullet"/>
      <w:lvlText w:val=""/>
      <w:lvlJc w:val="left"/>
      <w:pPr>
        <w:tabs>
          <w:tab w:val="num" w:pos="2160"/>
        </w:tabs>
        <w:ind w:left="2160" w:hanging="360"/>
      </w:pPr>
      <w:rPr>
        <w:rFonts w:ascii="Wingdings" w:hAnsi="Wingdings" w:hint="default"/>
      </w:rPr>
    </w:lvl>
    <w:lvl w:ilvl="3" w:tplc="D81E992A" w:tentative="1">
      <w:start w:val="1"/>
      <w:numFmt w:val="bullet"/>
      <w:lvlText w:val=""/>
      <w:lvlJc w:val="left"/>
      <w:pPr>
        <w:tabs>
          <w:tab w:val="num" w:pos="2880"/>
        </w:tabs>
        <w:ind w:left="2880" w:hanging="360"/>
      </w:pPr>
      <w:rPr>
        <w:rFonts w:ascii="Symbol" w:hAnsi="Symbol" w:hint="default"/>
      </w:rPr>
    </w:lvl>
    <w:lvl w:ilvl="4" w:tplc="7AA46E54" w:tentative="1">
      <w:start w:val="1"/>
      <w:numFmt w:val="bullet"/>
      <w:lvlText w:val="o"/>
      <w:lvlJc w:val="left"/>
      <w:pPr>
        <w:tabs>
          <w:tab w:val="num" w:pos="3600"/>
        </w:tabs>
        <w:ind w:left="3600" w:hanging="360"/>
      </w:pPr>
      <w:rPr>
        <w:rFonts w:ascii="Courier New" w:hAnsi="Courier New" w:cs="Courier New" w:hint="default"/>
      </w:rPr>
    </w:lvl>
    <w:lvl w:ilvl="5" w:tplc="05F4B7DA" w:tentative="1">
      <w:start w:val="1"/>
      <w:numFmt w:val="bullet"/>
      <w:lvlText w:val=""/>
      <w:lvlJc w:val="left"/>
      <w:pPr>
        <w:tabs>
          <w:tab w:val="num" w:pos="4320"/>
        </w:tabs>
        <w:ind w:left="4320" w:hanging="360"/>
      </w:pPr>
      <w:rPr>
        <w:rFonts w:ascii="Wingdings" w:hAnsi="Wingdings" w:hint="default"/>
      </w:rPr>
    </w:lvl>
    <w:lvl w:ilvl="6" w:tplc="BF04799E" w:tentative="1">
      <w:start w:val="1"/>
      <w:numFmt w:val="bullet"/>
      <w:lvlText w:val=""/>
      <w:lvlJc w:val="left"/>
      <w:pPr>
        <w:tabs>
          <w:tab w:val="num" w:pos="5040"/>
        </w:tabs>
        <w:ind w:left="5040" w:hanging="360"/>
      </w:pPr>
      <w:rPr>
        <w:rFonts w:ascii="Symbol" w:hAnsi="Symbol" w:hint="default"/>
      </w:rPr>
    </w:lvl>
    <w:lvl w:ilvl="7" w:tplc="1FA2150C" w:tentative="1">
      <w:start w:val="1"/>
      <w:numFmt w:val="bullet"/>
      <w:lvlText w:val="o"/>
      <w:lvlJc w:val="left"/>
      <w:pPr>
        <w:tabs>
          <w:tab w:val="num" w:pos="5760"/>
        </w:tabs>
        <w:ind w:left="5760" w:hanging="360"/>
      </w:pPr>
      <w:rPr>
        <w:rFonts w:ascii="Courier New" w:hAnsi="Courier New" w:cs="Courier New" w:hint="default"/>
      </w:rPr>
    </w:lvl>
    <w:lvl w:ilvl="8" w:tplc="E772867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451C4C"/>
    <w:multiLevelType w:val="multilevel"/>
    <w:tmpl w:val="6DE2DBE6"/>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34E91CBD"/>
    <w:multiLevelType w:val="hybridMultilevel"/>
    <w:tmpl w:val="B98E1D8C"/>
    <w:styleLink w:val="1111110"/>
    <w:lvl w:ilvl="0" w:tplc="C86A3396">
      <w:start w:val="1"/>
      <w:numFmt w:val="lowerRoman"/>
      <w:lvlText w:val="%1."/>
      <w:lvlJc w:val="right"/>
      <w:pPr>
        <w:ind w:left="720" w:hanging="360"/>
      </w:pPr>
      <w:rPr>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8E86A98"/>
    <w:multiLevelType w:val="hybridMultilevel"/>
    <w:tmpl w:val="F17822BE"/>
    <w:styleLink w:val="BMIndents"/>
    <w:lvl w:ilvl="0" w:tplc="041D0019">
      <w:start w:val="1"/>
      <w:numFmt w:val="lowerLetter"/>
      <w:lvlText w:val="%1."/>
      <w:lvlJc w:val="left"/>
      <w:pPr>
        <w:ind w:left="928" w:hanging="360"/>
      </w:pPr>
    </w:lvl>
    <w:lvl w:ilvl="1" w:tplc="041D0019">
      <w:start w:val="1"/>
      <w:numFmt w:val="lowerLetter"/>
      <w:lvlText w:val="%2."/>
      <w:lvlJc w:val="left"/>
      <w:pPr>
        <w:ind w:left="1648" w:hanging="360"/>
      </w:pPr>
    </w:lvl>
    <w:lvl w:ilvl="2" w:tplc="041D001B">
      <w:start w:val="1"/>
      <w:numFmt w:val="lowerRoman"/>
      <w:lvlText w:val="%3."/>
      <w:lvlJc w:val="right"/>
      <w:pPr>
        <w:ind w:left="2368" w:hanging="180"/>
      </w:pPr>
    </w:lvl>
    <w:lvl w:ilvl="3" w:tplc="041D000F">
      <w:start w:val="1"/>
      <w:numFmt w:val="decimal"/>
      <w:lvlText w:val="%4."/>
      <w:lvlJc w:val="left"/>
      <w:pPr>
        <w:ind w:left="3088" w:hanging="360"/>
      </w:pPr>
    </w:lvl>
    <w:lvl w:ilvl="4" w:tplc="041D0019">
      <w:start w:val="1"/>
      <w:numFmt w:val="lowerLetter"/>
      <w:lvlText w:val="%5."/>
      <w:lvlJc w:val="left"/>
      <w:pPr>
        <w:ind w:left="3808" w:hanging="360"/>
      </w:pPr>
    </w:lvl>
    <w:lvl w:ilvl="5" w:tplc="041D001B">
      <w:start w:val="1"/>
      <w:numFmt w:val="lowerRoman"/>
      <w:lvlText w:val="%6."/>
      <w:lvlJc w:val="right"/>
      <w:pPr>
        <w:ind w:left="4528" w:hanging="180"/>
      </w:pPr>
    </w:lvl>
    <w:lvl w:ilvl="6" w:tplc="041D000F">
      <w:start w:val="1"/>
      <w:numFmt w:val="decimal"/>
      <w:lvlText w:val="%7."/>
      <w:lvlJc w:val="left"/>
      <w:pPr>
        <w:ind w:left="5248" w:hanging="360"/>
      </w:pPr>
    </w:lvl>
    <w:lvl w:ilvl="7" w:tplc="041D0019">
      <w:start w:val="1"/>
      <w:numFmt w:val="lowerLetter"/>
      <w:lvlText w:val="%8."/>
      <w:lvlJc w:val="left"/>
      <w:pPr>
        <w:ind w:left="5968" w:hanging="360"/>
      </w:pPr>
    </w:lvl>
    <w:lvl w:ilvl="8" w:tplc="041D001B">
      <w:start w:val="1"/>
      <w:numFmt w:val="lowerRoman"/>
      <w:lvlText w:val="%9."/>
      <w:lvlJc w:val="right"/>
      <w:pPr>
        <w:ind w:left="6688" w:hanging="180"/>
      </w:pPr>
    </w:lvl>
  </w:abstractNum>
  <w:abstractNum w:abstractNumId="31" w15:restartNumberingAfterBreak="0">
    <w:nsid w:val="3F1077B3"/>
    <w:multiLevelType w:val="multilevel"/>
    <w:tmpl w:val="6804C458"/>
    <w:lvl w:ilvl="0">
      <w:start w:val="1"/>
      <w:numFmt w:val="decimal"/>
      <w:lvlText w:val="%1."/>
      <w:lvlJc w:val="left"/>
      <w:pPr>
        <w:ind w:left="720" w:hanging="720"/>
      </w:pPr>
      <w:rPr>
        <w:rFonts w:hint="default"/>
        <w:b/>
        <w:i w:val="0"/>
        <w:sz w:val="22"/>
      </w:rPr>
    </w:lvl>
    <w:lvl w:ilvl="1">
      <w:start w:val="1"/>
      <w:numFmt w:val="decimal"/>
      <w:lvlText w:val="%1.%2."/>
      <w:lvlJc w:val="left"/>
      <w:pPr>
        <w:ind w:left="720" w:hanging="720"/>
      </w:pPr>
      <w:rPr>
        <w:rFonts w:hint="default"/>
        <w:b w:val="0"/>
        <w:i w:val="0"/>
        <w:sz w:val="22"/>
      </w:rPr>
    </w:lvl>
    <w:lvl w:ilvl="2">
      <w:start w:val="1"/>
      <w:numFmt w:val="decimal"/>
      <w:lvlText w:val="%1.%2.%3."/>
      <w:lvlJc w:val="left"/>
      <w:pPr>
        <w:ind w:left="720" w:hanging="720"/>
      </w:pPr>
      <w:rPr>
        <w:rFonts w:hint="default"/>
        <w:b w:val="0"/>
        <w:i w:val="0"/>
        <w:sz w:val="22"/>
      </w:rPr>
    </w:lvl>
    <w:lvl w:ilvl="3">
      <w:start w:val="1"/>
      <w:numFmt w:val="lowerLetter"/>
      <w:lvlText w:val="(%4)"/>
      <w:lvlJc w:val="left"/>
      <w:pPr>
        <w:ind w:left="1440" w:hanging="720"/>
      </w:pPr>
      <w:rPr>
        <w:rFonts w:hint="default"/>
        <w:b w:val="0"/>
        <w:i w:val="0"/>
        <w:sz w:val="22"/>
      </w:rPr>
    </w:lvl>
    <w:lvl w:ilvl="4">
      <w:start w:val="1"/>
      <w:numFmt w:val="upperRoman"/>
      <w:lvlText w:val="%5."/>
      <w:lvlJc w:val="left"/>
      <w:pPr>
        <w:ind w:left="720" w:firstLine="0"/>
      </w:pPr>
      <w:rPr>
        <w:rFonts w:hint="default"/>
        <w:b w:val="0"/>
        <w:i w:val="0"/>
        <w:sz w:val="22"/>
      </w:rPr>
    </w:lvl>
    <w:lvl w:ilvl="5">
      <w:start w:val="1"/>
      <w:numFmt w:val="lowerRoman"/>
      <w:lvlText w:val="(%6)"/>
      <w:lvlJc w:val="left"/>
      <w:pPr>
        <w:ind w:left="720" w:firstLine="0"/>
      </w:pPr>
      <w:rPr>
        <w:rFonts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AA1A3A"/>
    <w:multiLevelType w:val="multilevel"/>
    <w:tmpl w:val="B0181FB4"/>
    <w:name w:val="Exhibit"/>
    <w:lvl w:ilvl="0">
      <w:start w:val="1"/>
      <w:numFmt w:val="decimal"/>
      <w:pStyle w:val="Exhibit1"/>
      <w:suff w:val="nothing"/>
      <w:lvlText w:val="Exhibit %1"/>
      <w:lvlJc w:val="left"/>
      <w:pPr>
        <w:ind w:left="0" w:firstLine="0"/>
      </w:pPr>
      <w:rPr>
        <w:strike w:val="0"/>
        <w:dstrike w:val="0"/>
      </w:rPr>
    </w:lvl>
    <w:lvl w:ilvl="1">
      <w:start w:val="1"/>
      <w:numFmt w:val="upperRoman"/>
      <w:pStyle w:val="Exhibit2"/>
      <w:suff w:val="nothing"/>
      <w:lvlText w:val="Part %2"/>
      <w:lvlJc w:val="left"/>
      <w:pPr>
        <w:ind w:left="0" w:firstLine="0"/>
      </w:pPr>
      <w:rPr>
        <w:strike w:val="0"/>
        <w:dstrike w:val="0"/>
      </w:rPr>
    </w:lvl>
    <w:lvl w:ilvl="2">
      <w:start w:val="1"/>
      <w:numFmt w:val="decimal"/>
      <w:pStyle w:val="Exhibit3"/>
      <w:lvlText w:val="%3."/>
      <w:lvlJc w:val="left"/>
      <w:pPr>
        <w:ind w:left="720" w:hanging="720"/>
      </w:pPr>
      <w:rPr>
        <w:b/>
        <w:strike w:val="0"/>
        <w:dstrike w:val="0"/>
      </w:rPr>
    </w:lvl>
    <w:lvl w:ilvl="3">
      <w:start w:val="1"/>
      <w:numFmt w:val="decimal"/>
      <w:pStyle w:val="Exhibit4"/>
      <w:lvlText w:val="%3.%4"/>
      <w:lvlJc w:val="left"/>
      <w:pPr>
        <w:ind w:left="720" w:hanging="720"/>
      </w:pPr>
      <w:rPr>
        <w:strike w:val="0"/>
        <w:dstrike w:val="0"/>
      </w:rPr>
    </w:lvl>
    <w:lvl w:ilvl="4">
      <w:start w:val="1"/>
      <w:numFmt w:val="lowerLetter"/>
      <w:pStyle w:val="Exhibit5"/>
      <w:lvlText w:val="(%5)"/>
      <w:lvlJc w:val="left"/>
      <w:pPr>
        <w:ind w:left="1440" w:hanging="720"/>
      </w:pPr>
      <w:rPr>
        <w:strike w:val="0"/>
        <w:dstrike w:val="0"/>
      </w:rPr>
    </w:lvl>
    <w:lvl w:ilvl="5">
      <w:start w:val="1"/>
      <w:numFmt w:val="lowerRoman"/>
      <w:pStyle w:val="Exhibit6"/>
      <w:lvlText w:val="(%6)"/>
      <w:lvlJc w:val="left"/>
      <w:pPr>
        <w:ind w:left="2160" w:hanging="720"/>
      </w:pPr>
      <w:rPr>
        <w:strike w:val="0"/>
        <w:dstrike w:val="0"/>
      </w:rPr>
    </w:lvl>
    <w:lvl w:ilvl="6">
      <w:start w:val="1"/>
      <w:numFmt w:val="upperLetter"/>
      <w:pStyle w:val="Exhibit7"/>
      <w:lvlText w:val="(%7)"/>
      <w:lvlJc w:val="left"/>
      <w:pPr>
        <w:ind w:left="2880" w:hanging="720"/>
      </w:pPr>
      <w:rPr>
        <w:strike w:val="0"/>
        <w:dstrike w:val="0"/>
      </w:rPr>
    </w:lvl>
    <w:lvl w:ilvl="7">
      <w:start w:val="1"/>
      <w:numFmt w:val="decimal"/>
      <w:pStyle w:val="Exhibit8"/>
      <w:lvlText w:val="(%8)"/>
      <w:lvlJc w:val="left"/>
      <w:pPr>
        <w:ind w:left="3600" w:hanging="720"/>
      </w:pPr>
      <w:rPr>
        <w:strike w:val="0"/>
        <w:dstrike w:val="0"/>
      </w:rPr>
    </w:lvl>
    <w:lvl w:ilvl="8">
      <w:start w:val="1"/>
      <w:numFmt w:val="upperRoman"/>
      <w:pStyle w:val="Exhibit9"/>
      <w:lvlText w:val="(%9)"/>
      <w:lvlJc w:val="left"/>
      <w:pPr>
        <w:ind w:left="4320" w:hanging="720"/>
      </w:pPr>
      <w:rPr>
        <w:strike w:val="0"/>
        <w:dstrike w:val="0"/>
      </w:rPr>
    </w:lvl>
  </w:abstractNum>
  <w:abstractNum w:abstractNumId="33" w15:restartNumberingAfterBreak="0">
    <w:nsid w:val="3FB9547C"/>
    <w:multiLevelType w:val="hybridMultilevel"/>
    <w:tmpl w:val="1B82C0C8"/>
    <w:lvl w:ilvl="0" w:tplc="FFFFFFFF">
      <w:start w:val="1"/>
      <w:numFmt w:val="decimal"/>
      <w:lvlText w:val="%1."/>
      <w:lvlJc w:val="left"/>
      <w:pPr>
        <w:ind w:left="720" w:hanging="360"/>
      </w:pPr>
      <w:rPr>
        <w:rFonts w:ascii="Times New Roman" w:hAnsi="Times New Roman" w:cs="Times New Roman"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43431990"/>
    <w:multiLevelType w:val="singleLevel"/>
    <w:tmpl w:val="7C540144"/>
    <w:lvl w:ilvl="0">
      <w:start w:val="1"/>
      <w:numFmt w:val="decimal"/>
      <w:pStyle w:val="Parties"/>
      <w:lvlText w:val="(%1)"/>
      <w:lvlJc w:val="left"/>
      <w:pPr>
        <w:tabs>
          <w:tab w:val="num" w:pos="680"/>
        </w:tabs>
        <w:ind w:left="680" w:hanging="680"/>
      </w:pPr>
      <w:rPr>
        <w:rFonts w:ascii="Arial" w:hAnsi="Arial" w:cs="Times New Roman" w:hint="default"/>
        <w:b/>
        <w:i w:val="0"/>
        <w:sz w:val="20"/>
      </w:rPr>
    </w:lvl>
  </w:abstractNum>
  <w:abstractNum w:abstractNumId="36" w15:restartNumberingAfterBreak="0">
    <w:nsid w:val="452F5BE6"/>
    <w:multiLevelType w:val="hybridMultilevel"/>
    <w:tmpl w:val="7B6AFDB6"/>
    <w:lvl w:ilvl="0" w:tplc="9B42E2BA">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6C35A24"/>
    <w:multiLevelType w:val="hybridMultilevel"/>
    <w:tmpl w:val="7B6AFDB6"/>
    <w:lvl w:ilvl="0" w:tplc="FFFFFFFF">
      <w:start w:val="1"/>
      <w:numFmt w:val="upp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4706064C"/>
    <w:multiLevelType w:val="hybridMultilevel"/>
    <w:tmpl w:val="F3580ECA"/>
    <w:lvl w:ilvl="0" w:tplc="FFFFFFFF">
      <w:start w:val="1"/>
      <w:numFmt w:val="upperRoman"/>
      <w:lvlText w:val="%1."/>
      <w:lvlJc w:val="left"/>
      <w:pPr>
        <w:ind w:left="720" w:hanging="360"/>
      </w:pPr>
      <w:rPr>
        <w:rFonts w:hint="default"/>
      </w:rPr>
    </w:lvl>
    <w:lvl w:ilvl="1" w:tplc="FFFFFFFF">
      <w:start w:val="1"/>
      <w:numFmt w:val="lowerRoman"/>
      <w:lvlText w:val="(%2)"/>
      <w:lvlJc w:val="left"/>
      <w:pPr>
        <w:ind w:left="1810" w:hanging="7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54324E"/>
    <w:multiLevelType w:val="hybridMultilevel"/>
    <w:tmpl w:val="186A18FE"/>
    <w:lvl w:ilvl="0" w:tplc="2F56647C">
      <w:start w:val="1"/>
      <w:numFmt w:val="upperLetter"/>
      <w:pStyle w:val="ListBACKGROUNDA"/>
      <w:lvlText w:val="%1."/>
      <w:lvlJc w:val="left"/>
      <w:pPr>
        <w:tabs>
          <w:tab w:val="num" w:pos="1009"/>
        </w:tabs>
        <w:ind w:left="1009" w:hanging="1009"/>
      </w:pPr>
      <w:rPr>
        <w:rFonts w:hint="default"/>
      </w:rPr>
    </w:lvl>
    <w:lvl w:ilvl="1" w:tplc="558C42D0" w:tentative="1">
      <w:start w:val="1"/>
      <w:numFmt w:val="lowerLetter"/>
      <w:lvlText w:val="%2."/>
      <w:lvlJc w:val="left"/>
      <w:pPr>
        <w:tabs>
          <w:tab w:val="num" w:pos="1440"/>
        </w:tabs>
        <w:ind w:left="1440" w:hanging="360"/>
      </w:pPr>
    </w:lvl>
    <w:lvl w:ilvl="2" w:tplc="716A4A08" w:tentative="1">
      <w:start w:val="1"/>
      <w:numFmt w:val="lowerRoman"/>
      <w:lvlText w:val="%3."/>
      <w:lvlJc w:val="right"/>
      <w:pPr>
        <w:tabs>
          <w:tab w:val="num" w:pos="2160"/>
        </w:tabs>
        <w:ind w:left="2160" w:hanging="180"/>
      </w:pPr>
    </w:lvl>
    <w:lvl w:ilvl="3" w:tplc="AAB46DC4" w:tentative="1">
      <w:start w:val="1"/>
      <w:numFmt w:val="decimal"/>
      <w:lvlText w:val="%4."/>
      <w:lvlJc w:val="left"/>
      <w:pPr>
        <w:tabs>
          <w:tab w:val="num" w:pos="2880"/>
        </w:tabs>
        <w:ind w:left="2880" w:hanging="360"/>
      </w:pPr>
    </w:lvl>
    <w:lvl w:ilvl="4" w:tplc="52CA8958" w:tentative="1">
      <w:start w:val="1"/>
      <w:numFmt w:val="lowerLetter"/>
      <w:lvlText w:val="%5."/>
      <w:lvlJc w:val="left"/>
      <w:pPr>
        <w:tabs>
          <w:tab w:val="num" w:pos="3600"/>
        </w:tabs>
        <w:ind w:left="3600" w:hanging="360"/>
      </w:pPr>
    </w:lvl>
    <w:lvl w:ilvl="5" w:tplc="6974E0D8" w:tentative="1">
      <w:start w:val="1"/>
      <w:numFmt w:val="lowerRoman"/>
      <w:lvlText w:val="%6."/>
      <w:lvlJc w:val="right"/>
      <w:pPr>
        <w:tabs>
          <w:tab w:val="num" w:pos="4320"/>
        </w:tabs>
        <w:ind w:left="4320" w:hanging="180"/>
      </w:pPr>
    </w:lvl>
    <w:lvl w:ilvl="6" w:tplc="706AEC60" w:tentative="1">
      <w:start w:val="1"/>
      <w:numFmt w:val="decimal"/>
      <w:lvlText w:val="%7."/>
      <w:lvlJc w:val="left"/>
      <w:pPr>
        <w:tabs>
          <w:tab w:val="num" w:pos="5040"/>
        </w:tabs>
        <w:ind w:left="5040" w:hanging="360"/>
      </w:pPr>
    </w:lvl>
    <w:lvl w:ilvl="7" w:tplc="9E522796" w:tentative="1">
      <w:start w:val="1"/>
      <w:numFmt w:val="lowerLetter"/>
      <w:lvlText w:val="%8."/>
      <w:lvlJc w:val="left"/>
      <w:pPr>
        <w:tabs>
          <w:tab w:val="num" w:pos="5760"/>
        </w:tabs>
        <w:ind w:left="5760" w:hanging="360"/>
      </w:pPr>
    </w:lvl>
    <w:lvl w:ilvl="8" w:tplc="0AE4351E" w:tentative="1">
      <w:start w:val="1"/>
      <w:numFmt w:val="lowerRoman"/>
      <w:lvlText w:val="%9."/>
      <w:lvlJc w:val="right"/>
      <w:pPr>
        <w:tabs>
          <w:tab w:val="num" w:pos="6480"/>
        </w:tabs>
        <w:ind w:left="6480" w:hanging="180"/>
      </w:pPr>
    </w:lvl>
  </w:abstractNum>
  <w:abstractNum w:abstractNumId="40" w15:restartNumberingAfterBreak="0">
    <w:nsid w:val="48953B76"/>
    <w:multiLevelType w:val="multilevel"/>
    <w:tmpl w:val="CB5C1A90"/>
    <w:name w:val="BBScheduleList"/>
    <w:lvl w:ilvl="0">
      <w:start w:val="1"/>
      <w:numFmt w:val="none"/>
      <w:pStyle w:val="BBScheduleTitle"/>
      <w:suff w:val="nothing"/>
      <w:lvlText w:val=""/>
      <w:lvlJc w:val="left"/>
      <w:pPr>
        <w:ind w:left="0" w:firstLine="0"/>
      </w:pPr>
      <w:rPr>
        <w:rFonts w:hint="default"/>
      </w:rPr>
    </w:lvl>
    <w:lvl w:ilvl="1">
      <w:start w:val="1"/>
      <w:numFmt w:val="decimal"/>
      <w:pStyle w:val="BBScheduleHeading1"/>
      <w:lvlText w:val="%2."/>
      <w:lvlJc w:val="left"/>
      <w:pPr>
        <w:tabs>
          <w:tab w:val="num" w:pos="720"/>
        </w:tabs>
        <w:ind w:left="720" w:hanging="720"/>
      </w:pPr>
      <w:rPr>
        <w:rFonts w:hint="default"/>
        <w:b w:val="0"/>
        <w:i w:val="0"/>
      </w:rPr>
    </w:lvl>
    <w:lvl w:ilvl="2">
      <w:start w:val="1"/>
      <w:numFmt w:val="decimal"/>
      <w:pStyle w:val="BBScheduleHeading2"/>
      <w:lvlText w:val="%2.%3"/>
      <w:lvlJc w:val="left"/>
      <w:pPr>
        <w:tabs>
          <w:tab w:val="num" w:pos="720"/>
        </w:tabs>
        <w:ind w:left="720" w:hanging="720"/>
      </w:pPr>
      <w:rPr>
        <w:rFonts w:hint="default"/>
        <w:b w:val="0"/>
        <w:i w:val="0"/>
      </w:rPr>
    </w:lvl>
    <w:lvl w:ilvl="3">
      <w:start w:val="1"/>
      <w:numFmt w:val="lowerLetter"/>
      <w:pStyle w:val="BBSchedule3"/>
      <w:lvlText w:val="(%4)"/>
      <w:lvlJc w:val="left"/>
      <w:pPr>
        <w:tabs>
          <w:tab w:val="num" w:pos="1440"/>
        </w:tabs>
        <w:ind w:left="1440" w:hanging="720"/>
      </w:pPr>
      <w:rPr>
        <w:rFonts w:hint="default"/>
        <w:b w:val="0"/>
        <w:i w:val="0"/>
      </w:rPr>
    </w:lvl>
    <w:lvl w:ilvl="4">
      <w:start w:val="1"/>
      <w:numFmt w:val="lowerRoman"/>
      <w:pStyle w:val="BBSchedule4"/>
      <w:lvlText w:val="(%5)"/>
      <w:lvlJc w:val="left"/>
      <w:pPr>
        <w:tabs>
          <w:tab w:val="num" w:pos="2160"/>
        </w:tabs>
        <w:ind w:left="2160" w:hanging="720"/>
      </w:pPr>
      <w:rPr>
        <w:rFonts w:hint="default"/>
        <w:b w:val="0"/>
        <w:i w:val="0"/>
      </w:rPr>
    </w:lvl>
    <w:lvl w:ilvl="5">
      <w:start w:val="1"/>
      <w:numFmt w:val="upperLetter"/>
      <w:pStyle w:val="BBSchedule5"/>
      <w:lvlText w:val="(%6)"/>
      <w:lvlJc w:val="left"/>
      <w:pPr>
        <w:tabs>
          <w:tab w:val="num" w:pos="2880"/>
        </w:tabs>
        <w:ind w:left="2880" w:hanging="720"/>
      </w:pPr>
      <w:rPr>
        <w:rFonts w:hint="default"/>
        <w:b w:val="0"/>
        <w:i w:val="0"/>
      </w:rPr>
    </w:lvl>
    <w:lvl w:ilvl="6">
      <w:start w:val="1"/>
      <w:numFmt w:val="upperRoman"/>
      <w:pStyle w:val="BBSchedule6"/>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DC365FC"/>
    <w:multiLevelType w:val="multilevel"/>
    <w:tmpl w:val="B7466C04"/>
    <w:name w:val="Bullet (12pt After)"/>
    <w:lvl w:ilvl="0">
      <w:start w:val="1"/>
      <w:numFmt w:val="bullet"/>
      <w:pStyle w:val="Bullet12ptAfter1"/>
      <w:lvlText w:val=""/>
      <w:lvlJc w:val="left"/>
      <w:pPr>
        <w:ind w:left="720" w:hanging="720"/>
      </w:pPr>
      <w:rPr>
        <w:rFonts w:ascii="Symbol" w:hAnsi="Symbol" w:hint="default"/>
        <w:strike w:val="0"/>
        <w:dstrike w:val="0"/>
      </w:rPr>
    </w:lvl>
    <w:lvl w:ilvl="1">
      <w:start w:val="1"/>
      <w:numFmt w:val="bullet"/>
      <w:pStyle w:val="Bullet12ptAfter2"/>
      <w:lvlText w:val=""/>
      <w:lvlJc w:val="left"/>
      <w:pPr>
        <w:ind w:left="1440" w:hanging="720"/>
      </w:pPr>
      <w:rPr>
        <w:rFonts w:ascii="Symbol" w:hAnsi="Symbol" w:hint="default"/>
        <w:strike w:val="0"/>
        <w:dstrike w:val="0"/>
      </w:rPr>
    </w:lvl>
    <w:lvl w:ilvl="2">
      <w:start w:val="1"/>
      <w:numFmt w:val="bullet"/>
      <w:pStyle w:val="Bullet12ptAfter3"/>
      <w:lvlText w:val=""/>
      <w:lvlJc w:val="left"/>
      <w:pPr>
        <w:ind w:left="2160" w:hanging="720"/>
      </w:pPr>
      <w:rPr>
        <w:rFonts w:ascii="Symbol" w:hAnsi="Symbol" w:hint="default"/>
        <w:strike w:val="0"/>
        <w:dstrike w:val="0"/>
      </w:rPr>
    </w:lvl>
    <w:lvl w:ilvl="3">
      <w:start w:val="1"/>
      <w:numFmt w:val="bullet"/>
      <w:pStyle w:val="Bullet12ptAfter4"/>
      <w:lvlText w:val=""/>
      <w:lvlJc w:val="left"/>
      <w:pPr>
        <w:ind w:left="2880" w:hanging="720"/>
      </w:pPr>
      <w:rPr>
        <w:rFonts w:ascii="Symbol" w:hAnsi="Symbol" w:hint="default"/>
        <w:strike w:val="0"/>
        <w:dstrike w:val="0"/>
      </w:rPr>
    </w:lvl>
    <w:lvl w:ilvl="4">
      <w:start w:val="1"/>
      <w:numFmt w:val="bullet"/>
      <w:pStyle w:val="Bullet12ptAfter5"/>
      <w:lvlText w:val=""/>
      <w:lvlJc w:val="left"/>
      <w:pPr>
        <w:ind w:left="3600" w:hanging="720"/>
      </w:pPr>
      <w:rPr>
        <w:rFonts w:ascii="Symbol" w:hAnsi="Symbol" w:hint="default"/>
        <w:strike w:val="0"/>
        <w:dstrike w:val="0"/>
      </w:rPr>
    </w:lvl>
    <w:lvl w:ilvl="5">
      <w:start w:val="1"/>
      <w:numFmt w:val="bullet"/>
      <w:pStyle w:val="Bullet12ptAfter6"/>
      <w:lvlText w:val=""/>
      <w:lvlJc w:val="left"/>
      <w:pPr>
        <w:ind w:left="4320" w:hanging="720"/>
      </w:pPr>
      <w:rPr>
        <w:rFonts w:ascii="Symbol" w:hAnsi="Symbol" w:hint="default"/>
        <w:strike w:val="0"/>
        <w:dstrike w:val="0"/>
      </w:rPr>
    </w:lvl>
    <w:lvl w:ilvl="6">
      <w:start w:val="1"/>
      <w:numFmt w:val="none"/>
      <w:pStyle w:val="Bullet12ptAfter7"/>
      <w:suff w:val="nothing"/>
      <w:lvlText w:val=""/>
      <w:lvlJc w:val="left"/>
      <w:pPr>
        <w:ind w:left="360" w:firstLine="0"/>
      </w:pPr>
      <w:rPr>
        <w:strike w:val="0"/>
        <w:dstrike w:val="0"/>
      </w:rPr>
    </w:lvl>
    <w:lvl w:ilvl="7">
      <w:start w:val="1"/>
      <w:numFmt w:val="none"/>
      <w:pStyle w:val="Bullet12ptAfter8"/>
      <w:suff w:val="nothing"/>
      <w:lvlText w:val=""/>
      <w:lvlJc w:val="left"/>
      <w:pPr>
        <w:ind w:left="360" w:firstLine="0"/>
      </w:pPr>
      <w:rPr>
        <w:strike w:val="0"/>
        <w:dstrike w:val="0"/>
      </w:rPr>
    </w:lvl>
    <w:lvl w:ilvl="8">
      <w:start w:val="1"/>
      <w:numFmt w:val="none"/>
      <w:pStyle w:val="Bullet12ptAfter9"/>
      <w:suff w:val="nothing"/>
      <w:lvlText w:val=""/>
      <w:lvlJc w:val="left"/>
      <w:pPr>
        <w:ind w:left="360" w:firstLine="0"/>
      </w:pPr>
      <w:rPr>
        <w:strike w:val="0"/>
        <w:dstrike w:val="0"/>
      </w:rPr>
    </w:lvl>
  </w:abstractNum>
  <w:abstractNum w:abstractNumId="42" w15:restartNumberingAfterBreak="0">
    <w:nsid w:val="5123008F"/>
    <w:multiLevelType w:val="multilevel"/>
    <w:tmpl w:val="5F0CD808"/>
    <w:name w:val="Section"/>
    <w:lvl w:ilvl="0">
      <w:start w:val="1"/>
      <w:numFmt w:val="decimal"/>
      <w:pStyle w:val="Section"/>
      <w:lvlText w:val="Section %1"/>
      <w:lvlJc w:val="left"/>
      <w:pPr>
        <w:ind w:left="1080" w:hanging="1080"/>
      </w:pPr>
      <w:rPr>
        <w:rFonts w:hint="default"/>
      </w:rPr>
    </w:lvl>
    <w:lvl w:ilvl="1">
      <w:start w:val="1"/>
      <w:numFmt w:val="lowerLetter"/>
      <w:lvlText w:val="%2."/>
      <w:lvlJc w:val="left"/>
      <w:pPr>
        <w:ind w:left="6469" w:hanging="360"/>
      </w:pPr>
      <w:rPr>
        <w:rFonts w:hint="default"/>
      </w:rPr>
    </w:lvl>
    <w:lvl w:ilvl="2">
      <w:start w:val="1"/>
      <w:numFmt w:val="lowerRoman"/>
      <w:lvlText w:val="%3."/>
      <w:lvlJc w:val="right"/>
      <w:pPr>
        <w:ind w:left="7189" w:hanging="180"/>
      </w:pPr>
      <w:rPr>
        <w:rFonts w:hint="default"/>
      </w:rPr>
    </w:lvl>
    <w:lvl w:ilvl="3">
      <w:start w:val="1"/>
      <w:numFmt w:val="decimal"/>
      <w:lvlText w:val="%4."/>
      <w:lvlJc w:val="left"/>
      <w:pPr>
        <w:ind w:left="7909" w:hanging="360"/>
      </w:pPr>
      <w:rPr>
        <w:rFonts w:hint="default"/>
      </w:rPr>
    </w:lvl>
    <w:lvl w:ilvl="4">
      <w:start w:val="1"/>
      <w:numFmt w:val="lowerLetter"/>
      <w:lvlText w:val="%5."/>
      <w:lvlJc w:val="left"/>
      <w:pPr>
        <w:ind w:left="8629" w:hanging="360"/>
      </w:pPr>
      <w:rPr>
        <w:rFonts w:hint="default"/>
      </w:rPr>
    </w:lvl>
    <w:lvl w:ilvl="5">
      <w:start w:val="1"/>
      <w:numFmt w:val="lowerRoman"/>
      <w:lvlText w:val="%6."/>
      <w:lvlJc w:val="right"/>
      <w:pPr>
        <w:ind w:left="9349" w:hanging="180"/>
      </w:pPr>
      <w:rPr>
        <w:rFonts w:hint="default"/>
      </w:rPr>
    </w:lvl>
    <w:lvl w:ilvl="6">
      <w:start w:val="1"/>
      <w:numFmt w:val="decimal"/>
      <w:lvlText w:val="%7."/>
      <w:lvlJc w:val="left"/>
      <w:pPr>
        <w:ind w:left="10069" w:hanging="360"/>
      </w:pPr>
      <w:rPr>
        <w:rFonts w:hint="default"/>
      </w:rPr>
    </w:lvl>
    <w:lvl w:ilvl="7">
      <w:start w:val="1"/>
      <w:numFmt w:val="lowerLetter"/>
      <w:lvlText w:val="%8."/>
      <w:lvlJc w:val="left"/>
      <w:pPr>
        <w:ind w:left="10789" w:hanging="360"/>
      </w:pPr>
      <w:rPr>
        <w:rFonts w:hint="default"/>
      </w:rPr>
    </w:lvl>
    <w:lvl w:ilvl="8">
      <w:start w:val="1"/>
      <w:numFmt w:val="lowerRoman"/>
      <w:lvlText w:val="%9."/>
      <w:lvlJc w:val="right"/>
      <w:pPr>
        <w:ind w:left="11509" w:hanging="180"/>
      </w:pPr>
      <w:rPr>
        <w:rFonts w:hint="default"/>
      </w:rPr>
    </w:lvl>
  </w:abstractNum>
  <w:abstractNum w:abstractNumId="43"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4" w15:restartNumberingAfterBreak="0">
    <w:nsid w:val="531A4C9C"/>
    <w:multiLevelType w:val="hybridMultilevel"/>
    <w:tmpl w:val="5F56CAAC"/>
    <w:lvl w:ilvl="0" w:tplc="6DF267DE">
      <w:start w:val="1"/>
      <w:numFmt w:val="upperLetter"/>
      <w:pStyle w:val="NormalABC"/>
      <w:lvlText w:val="%1."/>
      <w:lvlJc w:val="left"/>
      <w:pPr>
        <w:tabs>
          <w:tab w:val="num" w:pos="1134"/>
        </w:tabs>
        <w:ind w:left="1134" w:hanging="1134"/>
      </w:pPr>
      <w:rPr>
        <w:rFonts w:cs="Times New Roman" w:hint="default"/>
      </w:rPr>
    </w:lvl>
    <w:lvl w:ilvl="1" w:tplc="23143EB0" w:tentative="1">
      <w:start w:val="1"/>
      <w:numFmt w:val="lowerLetter"/>
      <w:lvlText w:val="%2."/>
      <w:lvlJc w:val="left"/>
      <w:pPr>
        <w:tabs>
          <w:tab w:val="num" w:pos="1440"/>
        </w:tabs>
        <w:ind w:left="1440" w:hanging="360"/>
      </w:pPr>
      <w:rPr>
        <w:rFonts w:cs="Times New Roman"/>
      </w:rPr>
    </w:lvl>
    <w:lvl w:ilvl="2" w:tplc="51909516" w:tentative="1">
      <w:start w:val="1"/>
      <w:numFmt w:val="lowerRoman"/>
      <w:lvlText w:val="%3."/>
      <w:lvlJc w:val="right"/>
      <w:pPr>
        <w:tabs>
          <w:tab w:val="num" w:pos="2160"/>
        </w:tabs>
        <w:ind w:left="2160" w:hanging="180"/>
      </w:pPr>
      <w:rPr>
        <w:rFonts w:cs="Times New Roman"/>
      </w:rPr>
    </w:lvl>
    <w:lvl w:ilvl="3" w:tplc="133A0A20" w:tentative="1">
      <w:start w:val="1"/>
      <w:numFmt w:val="decimal"/>
      <w:lvlText w:val="%4."/>
      <w:lvlJc w:val="left"/>
      <w:pPr>
        <w:tabs>
          <w:tab w:val="num" w:pos="2880"/>
        </w:tabs>
        <w:ind w:left="2880" w:hanging="360"/>
      </w:pPr>
      <w:rPr>
        <w:rFonts w:cs="Times New Roman"/>
      </w:rPr>
    </w:lvl>
    <w:lvl w:ilvl="4" w:tplc="CE2C16C4" w:tentative="1">
      <w:start w:val="1"/>
      <w:numFmt w:val="lowerLetter"/>
      <w:lvlText w:val="%5."/>
      <w:lvlJc w:val="left"/>
      <w:pPr>
        <w:tabs>
          <w:tab w:val="num" w:pos="3600"/>
        </w:tabs>
        <w:ind w:left="3600" w:hanging="360"/>
      </w:pPr>
      <w:rPr>
        <w:rFonts w:cs="Times New Roman"/>
      </w:rPr>
    </w:lvl>
    <w:lvl w:ilvl="5" w:tplc="DC38D044" w:tentative="1">
      <w:start w:val="1"/>
      <w:numFmt w:val="lowerRoman"/>
      <w:lvlText w:val="%6."/>
      <w:lvlJc w:val="right"/>
      <w:pPr>
        <w:tabs>
          <w:tab w:val="num" w:pos="4320"/>
        </w:tabs>
        <w:ind w:left="4320" w:hanging="180"/>
      </w:pPr>
      <w:rPr>
        <w:rFonts w:cs="Times New Roman"/>
      </w:rPr>
    </w:lvl>
    <w:lvl w:ilvl="6" w:tplc="55C4D03E" w:tentative="1">
      <w:start w:val="1"/>
      <w:numFmt w:val="decimal"/>
      <w:lvlText w:val="%7."/>
      <w:lvlJc w:val="left"/>
      <w:pPr>
        <w:tabs>
          <w:tab w:val="num" w:pos="5040"/>
        </w:tabs>
        <w:ind w:left="5040" w:hanging="360"/>
      </w:pPr>
      <w:rPr>
        <w:rFonts w:cs="Times New Roman"/>
      </w:rPr>
    </w:lvl>
    <w:lvl w:ilvl="7" w:tplc="8CA2BBEC" w:tentative="1">
      <w:start w:val="1"/>
      <w:numFmt w:val="lowerLetter"/>
      <w:lvlText w:val="%8."/>
      <w:lvlJc w:val="left"/>
      <w:pPr>
        <w:tabs>
          <w:tab w:val="num" w:pos="5760"/>
        </w:tabs>
        <w:ind w:left="5760" w:hanging="360"/>
      </w:pPr>
      <w:rPr>
        <w:rFonts w:cs="Times New Roman"/>
      </w:rPr>
    </w:lvl>
    <w:lvl w:ilvl="8" w:tplc="C8DC230A" w:tentative="1">
      <w:start w:val="1"/>
      <w:numFmt w:val="lowerRoman"/>
      <w:lvlText w:val="%9."/>
      <w:lvlJc w:val="right"/>
      <w:pPr>
        <w:tabs>
          <w:tab w:val="num" w:pos="6480"/>
        </w:tabs>
        <w:ind w:left="6480" w:hanging="180"/>
      </w:pPr>
      <w:rPr>
        <w:rFonts w:cs="Times New Roman"/>
      </w:rPr>
    </w:lvl>
  </w:abstractNum>
  <w:abstractNum w:abstractNumId="45" w15:restartNumberingAfterBreak="0">
    <w:nsid w:val="579C3C72"/>
    <w:multiLevelType w:val="multilevel"/>
    <w:tmpl w:val="712E7C58"/>
    <w:name w:val="Bullet (0pt After)"/>
    <w:lvl w:ilvl="0">
      <w:start w:val="1"/>
      <w:numFmt w:val="bullet"/>
      <w:pStyle w:val="Bullet0ptAfter1"/>
      <w:lvlText w:val=""/>
      <w:lvlJc w:val="left"/>
      <w:pPr>
        <w:ind w:left="720" w:hanging="720"/>
      </w:pPr>
      <w:rPr>
        <w:rFonts w:ascii="Symbol" w:hAnsi="Symbol" w:hint="default"/>
        <w:strike w:val="0"/>
        <w:dstrike w:val="0"/>
      </w:rPr>
    </w:lvl>
    <w:lvl w:ilvl="1">
      <w:start w:val="1"/>
      <w:numFmt w:val="bullet"/>
      <w:pStyle w:val="Bullet0ptAfter2"/>
      <w:lvlText w:val=""/>
      <w:lvlJc w:val="left"/>
      <w:pPr>
        <w:ind w:left="1440" w:hanging="720"/>
      </w:pPr>
      <w:rPr>
        <w:rFonts w:ascii="Symbol" w:hAnsi="Symbol" w:hint="default"/>
        <w:strike w:val="0"/>
        <w:dstrike w:val="0"/>
      </w:rPr>
    </w:lvl>
    <w:lvl w:ilvl="2">
      <w:start w:val="1"/>
      <w:numFmt w:val="bullet"/>
      <w:pStyle w:val="Bullet0ptAfter3"/>
      <w:lvlText w:val=""/>
      <w:lvlJc w:val="left"/>
      <w:pPr>
        <w:ind w:left="2160" w:hanging="720"/>
      </w:pPr>
      <w:rPr>
        <w:rFonts w:ascii="Symbol" w:hAnsi="Symbol" w:hint="default"/>
        <w:strike w:val="0"/>
        <w:dstrike w:val="0"/>
      </w:rPr>
    </w:lvl>
    <w:lvl w:ilvl="3">
      <w:start w:val="1"/>
      <w:numFmt w:val="bullet"/>
      <w:pStyle w:val="Bullet0ptAfter4"/>
      <w:lvlText w:val=""/>
      <w:lvlJc w:val="left"/>
      <w:pPr>
        <w:ind w:left="2880" w:hanging="720"/>
      </w:pPr>
      <w:rPr>
        <w:rFonts w:ascii="Symbol" w:hAnsi="Symbol" w:hint="default"/>
        <w:strike w:val="0"/>
        <w:dstrike w:val="0"/>
      </w:rPr>
    </w:lvl>
    <w:lvl w:ilvl="4">
      <w:start w:val="1"/>
      <w:numFmt w:val="bullet"/>
      <w:pStyle w:val="Bullet0ptAfter5"/>
      <w:lvlText w:val=""/>
      <w:lvlJc w:val="left"/>
      <w:pPr>
        <w:ind w:left="3600" w:hanging="720"/>
      </w:pPr>
      <w:rPr>
        <w:rFonts w:ascii="Symbol" w:hAnsi="Symbol" w:hint="default"/>
        <w:strike w:val="0"/>
        <w:dstrike w:val="0"/>
      </w:rPr>
    </w:lvl>
    <w:lvl w:ilvl="5">
      <w:start w:val="1"/>
      <w:numFmt w:val="bullet"/>
      <w:pStyle w:val="Bullet0ptAfter6"/>
      <w:lvlText w:val=""/>
      <w:lvlJc w:val="left"/>
      <w:pPr>
        <w:ind w:left="4320" w:hanging="720"/>
      </w:pPr>
      <w:rPr>
        <w:rFonts w:ascii="Symbol" w:hAnsi="Symbol" w:hint="default"/>
        <w:strike w:val="0"/>
        <w:dstrike w:val="0"/>
      </w:rPr>
    </w:lvl>
    <w:lvl w:ilvl="6">
      <w:start w:val="1"/>
      <w:numFmt w:val="none"/>
      <w:pStyle w:val="Bullet0ptAfter7"/>
      <w:suff w:val="nothing"/>
      <w:lvlText w:val=""/>
      <w:lvlJc w:val="left"/>
      <w:pPr>
        <w:ind w:left="0" w:firstLine="0"/>
      </w:pPr>
      <w:rPr>
        <w:strike w:val="0"/>
        <w:dstrike w:val="0"/>
      </w:rPr>
    </w:lvl>
    <w:lvl w:ilvl="7">
      <w:start w:val="1"/>
      <w:numFmt w:val="none"/>
      <w:pStyle w:val="Bullet0ptAfter8"/>
      <w:suff w:val="nothing"/>
      <w:lvlText w:val=""/>
      <w:lvlJc w:val="left"/>
      <w:pPr>
        <w:ind w:left="0" w:firstLine="0"/>
      </w:pPr>
      <w:rPr>
        <w:strike w:val="0"/>
        <w:dstrike w:val="0"/>
      </w:rPr>
    </w:lvl>
    <w:lvl w:ilvl="8">
      <w:start w:val="1"/>
      <w:numFmt w:val="none"/>
      <w:pStyle w:val="Bullet0ptAfter9"/>
      <w:suff w:val="nothing"/>
      <w:lvlText w:val=""/>
      <w:lvlJc w:val="left"/>
      <w:pPr>
        <w:ind w:left="0" w:firstLine="0"/>
      </w:pPr>
      <w:rPr>
        <w:strike w:val="0"/>
        <w:dstrike w:val="0"/>
      </w:rPr>
    </w:lvl>
  </w:abstractNum>
  <w:abstractNum w:abstractNumId="46" w15:restartNumberingAfterBreak="0">
    <w:nsid w:val="58101515"/>
    <w:multiLevelType w:val="hybridMultilevel"/>
    <w:tmpl w:val="262260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A270D6"/>
    <w:multiLevelType w:val="singleLevel"/>
    <w:tmpl w:val="D2A453F2"/>
    <w:lvl w:ilvl="0">
      <w:start w:val="1"/>
      <w:numFmt w:val="upperLetter"/>
      <w:pStyle w:val="Recitals"/>
      <w:lvlText w:val="(%1)"/>
      <w:lvlJc w:val="left"/>
      <w:pPr>
        <w:tabs>
          <w:tab w:val="num" w:pos="680"/>
        </w:tabs>
        <w:ind w:left="680" w:hanging="680"/>
      </w:pPr>
      <w:rPr>
        <w:rFonts w:ascii="Times New Roman" w:hAnsi="Times New Roman" w:cs="Times New Roman" w:hint="default"/>
        <w:b w:val="0"/>
        <w:i w:val="0"/>
        <w:sz w:val="22"/>
        <w:szCs w:val="22"/>
      </w:rPr>
    </w:lvl>
  </w:abstractNum>
  <w:abstractNum w:abstractNumId="48" w15:restartNumberingAfterBreak="0">
    <w:nsid w:val="5D3867F6"/>
    <w:multiLevelType w:val="hybridMultilevel"/>
    <w:tmpl w:val="1BCEEF14"/>
    <w:lvl w:ilvl="0" w:tplc="0464C1D2">
      <w:start w:val="1"/>
      <w:numFmt w:val="bullet"/>
      <w:pStyle w:val="Bullet1"/>
      <w:lvlText w:val=""/>
      <w:lvlJc w:val="left"/>
      <w:pPr>
        <w:tabs>
          <w:tab w:val="num" w:pos="709"/>
        </w:tabs>
        <w:ind w:left="709" w:hanging="709"/>
      </w:pPr>
      <w:rPr>
        <w:rFonts w:ascii="Symbol" w:hAnsi="Symbol" w:hint="default"/>
      </w:rPr>
    </w:lvl>
    <w:lvl w:ilvl="1" w:tplc="220C6BB8" w:tentative="1">
      <w:start w:val="1"/>
      <w:numFmt w:val="bullet"/>
      <w:lvlText w:val="o"/>
      <w:lvlJc w:val="left"/>
      <w:pPr>
        <w:tabs>
          <w:tab w:val="num" w:pos="1440"/>
        </w:tabs>
        <w:ind w:left="1440" w:hanging="360"/>
      </w:pPr>
      <w:rPr>
        <w:rFonts w:ascii="Courier New" w:hAnsi="Courier New" w:cs="Courier New" w:hint="default"/>
      </w:rPr>
    </w:lvl>
    <w:lvl w:ilvl="2" w:tplc="D77646F0" w:tentative="1">
      <w:start w:val="1"/>
      <w:numFmt w:val="bullet"/>
      <w:lvlText w:val=""/>
      <w:lvlJc w:val="left"/>
      <w:pPr>
        <w:tabs>
          <w:tab w:val="num" w:pos="2160"/>
        </w:tabs>
        <w:ind w:left="2160" w:hanging="360"/>
      </w:pPr>
      <w:rPr>
        <w:rFonts w:ascii="Wingdings" w:hAnsi="Wingdings" w:hint="default"/>
      </w:rPr>
    </w:lvl>
    <w:lvl w:ilvl="3" w:tplc="B90A37A2" w:tentative="1">
      <w:start w:val="1"/>
      <w:numFmt w:val="bullet"/>
      <w:lvlText w:val=""/>
      <w:lvlJc w:val="left"/>
      <w:pPr>
        <w:tabs>
          <w:tab w:val="num" w:pos="2880"/>
        </w:tabs>
        <w:ind w:left="2880" w:hanging="360"/>
      </w:pPr>
      <w:rPr>
        <w:rFonts w:ascii="Symbol" w:hAnsi="Symbol" w:hint="default"/>
      </w:rPr>
    </w:lvl>
    <w:lvl w:ilvl="4" w:tplc="B4C4648A" w:tentative="1">
      <w:start w:val="1"/>
      <w:numFmt w:val="bullet"/>
      <w:lvlText w:val="o"/>
      <w:lvlJc w:val="left"/>
      <w:pPr>
        <w:tabs>
          <w:tab w:val="num" w:pos="3600"/>
        </w:tabs>
        <w:ind w:left="3600" w:hanging="360"/>
      </w:pPr>
      <w:rPr>
        <w:rFonts w:ascii="Courier New" w:hAnsi="Courier New" w:cs="Courier New" w:hint="default"/>
      </w:rPr>
    </w:lvl>
    <w:lvl w:ilvl="5" w:tplc="9C3071B6" w:tentative="1">
      <w:start w:val="1"/>
      <w:numFmt w:val="bullet"/>
      <w:lvlText w:val=""/>
      <w:lvlJc w:val="left"/>
      <w:pPr>
        <w:tabs>
          <w:tab w:val="num" w:pos="4320"/>
        </w:tabs>
        <w:ind w:left="4320" w:hanging="360"/>
      </w:pPr>
      <w:rPr>
        <w:rFonts w:ascii="Wingdings" w:hAnsi="Wingdings" w:hint="default"/>
      </w:rPr>
    </w:lvl>
    <w:lvl w:ilvl="6" w:tplc="DE643284" w:tentative="1">
      <w:start w:val="1"/>
      <w:numFmt w:val="bullet"/>
      <w:lvlText w:val=""/>
      <w:lvlJc w:val="left"/>
      <w:pPr>
        <w:tabs>
          <w:tab w:val="num" w:pos="5040"/>
        </w:tabs>
        <w:ind w:left="5040" w:hanging="360"/>
      </w:pPr>
      <w:rPr>
        <w:rFonts w:ascii="Symbol" w:hAnsi="Symbol" w:hint="default"/>
      </w:rPr>
    </w:lvl>
    <w:lvl w:ilvl="7" w:tplc="51209DAA" w:tentative="1">
      <w:start w:val="1"/>
      <w:numFmt w:val="bullet"/>
      <w:lvlText w:val="o"/>
      <w:lvlJc w:val="left"/>
      <w:pPr>
        <w:tabs>
          <w:tab w:val="num" w:pos="5760"/>
        </w:tabs>
        <w:ind w:left="5760" w:hanging="360"/>
      </w:pPr>
      <w:rPr>
        <w:rFonts w:ascii="Courier New" w:hAnsi="Courier New" w:cs="Courier New" w:hint="default"/>
      </w:rPr>
    </w:lvl>
    <w:lvl w:ilvl="8" w:tplc="2BE6690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A8338E"/>
    <w:multiLevelType w:val="hybridMultilevel"/>
    <w:tmpl w:val="F3580ECA"/>
    <w:lvl w:ilvl="0" w:tplc="9B42E2BA">
      <w:start w:val="1"/>
      <w:numFmt w:val="upperRoman"/>
      <w:lvlText w:val="%1."/>
      <w:lvlJc w:val="left"/>
      <w:pPr>
        <w:ind w:left="720" w:hanging="360"/>
      </w:pPr>
      <w:rPr>
        <w:rFonts w:hint="default"/>
      </w:rPr>
    </w:lvl>
    <w:lvl w:ilvl="1" w:tplc="D11C9CCC">
      <w:start w:val="1"/>
      <w:numFmt w:val="lowerRoman"/>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51" w15:restartNumberingAfterBreak="0">
    <w:nsid w:val="5FE65139"/>
    <w:multiLevelType w:val="multilevel"/>
    <w:tmpl w:val="3EDE571E"/>
    <w:name w:val="Table Number"/>
    <w:lvl w:ilvl="0">
      <w:start w:val="1"/>
      <w:numFmt w:val="decimal"/>
      <w:pStyle w:val="TableNumber1"/>
      <w:lvlText w:val="%1."/>
      <w:lvlJc w:val="left"/>
      <w:pPr>
        <w:ind w:left="360" w:hanging="360"/>
      </w:pPr>
      <w:rPr>
        <w:strike w:val="0"/>
        <w:dstrike w:val="0"/>
      </w:rPr>
    </w:lvl>
    <w:lvl w:ilvl="1">
      <w:start w:val="1"/>
      <w:numFmt w:val="decimal"/>
      <w:pStyle w:val="TableNumber2"/>
      <w:lvlText w:val="%1.%2"/>
      <w:lvlJc w:val="left"/>
      <w:pPr>
        <w:ind w:left="720" w:hanging="360"/>
      </w:pPr>
      <w:rPr>
        <w:strike w:val="0"/>
        <w:dstrike w:val="0"/>
      </w:rPr>
    </w:lvl>
    <w:lvl w:ilvl="2">
      <w:start w:val="1"/>
      <w:numFmt w:val="lowerLetter"/>
      <w:pStyle w:val="TableNumber3"/>
      <w:lvlText w:val="(%3)"/>
      <w:lvlJc w:val="left"/>
      <w:pPr>
        <w:ind w:left="1080" w:hanging="360"/>
      </w:pPr>
      <w:rPr>
        <w:strike w:val="0"/>
        <w:dstrike w:val="0"/>
      </w:rPr>
    </w:lvl>
    <w:lvl w:ilvl="3">
      <w:start w:val="1"/>
      <w:numFmt w:val="none"/>
      <w:pStyle w:val="TableNumber4"/>
      <w:suff w:val="nothing"/>
      <w:lvlText w:val=""/>
      <w:lvlJc w:val="left"/>
      <w:pPr>
        <w:ind w:left="0" w:firstLine="0"/>
      </w:pPr>
      <w:rPr>
        <w:strike w:val="0"/>
        <w:dstrike w:val="0"/>
      </w:rPr>
    </w:lvl>
    <w:lvl w:ilvl="4">
      <w:start w:val="1"/>
      <w:numFmt w:val="none"/>
      <w:pStyle w:val="TableNumber5"/>
      <w:suff w:val="nothing"/>
      <w:lvlText w:val=""/>
      <w:lvlJc w:val="left"/>
      <w:pPr>
        <w:ind w:left="0" w:firstLine="0"/>
      </w:pPr>
      <w:rPr>
        <w:strike w:val="0"/>
        <w:dstrike w:val="0"/>
      </w:rPr>
    </w:lvl>
    <w:lvl w:ilvl="5">
      <w:start w:val="1"/>
      <w:numFmt w:val="none"/>
      <w:pStyle w:val="TableNumber6"/>
      <w:suff w:val="nothing"/>
      <w:lvlText w:val=""/>
      <w:lvlJc w:val="left"/>
      <w:pPr>
        <w:ind w:left="0" w:firstLine="0"/>
      </w:pPr>
      <w:rPr>
        <w:strike w:val="0"/>
        <w:dstrike w:val="0"/>
      </w:rPr>
    </w:lvl>
    <w:lvl w:ilvl="6">
      <w:start w:val="1"/>
      <w:numFmt w:val="none"/>
      <w:pStyle w:val="TableNumber7"/>
      <w:suff w:val="nothing"/>
      <w:lvlText w:val=""/>
      <w:lvlJc w:val="left"/>
      <w:pPr>
        <w:ind w:left="0" w:firstLine="0"/>
      </w:pPr>
      <w:rPr>
        <w:strike w:val="0"/>
        <w:dstrike w:val="0"/>
      </w:rPr>
    </w:lvl>
    <w:lvl w:ilvl="7">
      <w:start w:val="1"/>
      <w:numFmt w:val="none"/>
      <w:pStyle w:val="TableNumber8"/>
      <w:suff w:val="nothing"/>
      <w:lvlText w:val=""/>
      <w:lvlJc w:val="left"/>
      <w:pPr>
        <w:ind w:left="0" w:firstLine="0"/>
      </w:pPr>
      <w:rPr>
        <w:strike w:val="0"/>
        <w:dstrike w:val="0"/>
      </w:rPr>
    </w:lvl>
    <w:lvl w:ilvl="8">
      <w:start w:val="1"/>
      <w:numFmt w:val="none"/>
      <w:pStyle w:val="TableNumber9"/>
      <w:suff w:val="nothing"/>
      <w:lvlText w:val=""/>
      <w:lvlJc w:val="left"/>
      <w:pPr>
        <w:ind w:left="0" w:firstLine="0"/>
      </w:pPr>
      <w:rPr>
        <w:strike w:val="0"/>
        <w:dstrike w:val="0"/>
      </w:rPr>
    </w:lvl>
  </w:abstractNum>
  <w:abstractNum w:abstractNumId="52" w15:restartNumberingAfterBreak="0">
    <w:nsid w:val="66F873FE"/>
    <w:multiLevelType w:val="multilevel"/>
    <w:tmpl w:val="453C6B26"/>
    <w:name w:val="Parties/Recitals"/>
    <w:lvl w:ilvl="0">
      <w:start w:val="1"/>
      <w:numFmt w:val="decimal"/>
      <w:pStyle w:val="PartiesRecitals1"/>
      <w:lvlText w:val="(%1)"/>
      <w:lvlJc w:val="left"/>
      <w:pPr>
        <w:ind w:left="720" w:hanging="720"/>
      </w:pPr>
      <w:rPr>
        <w:strike w:val="0"/>
        <w:dstrike w:val="0"/>
        <w:sz w:val="22"/>
      </w:rPr>
    </w:lvl>
    <w:lvl w:ilvl="1">
      <w:start w:val="1"/>
      <w:numFmt w:val="upperLetter"/>
      <w:lvlRestart w:val="0"/>
      <w:pStyle w:val="PartiesRecitals2"/>
      <w:lvlText w:val="%2."/>
      <w:lvlJc w:val="left"/>
      <w:pPr>
        <w:ind w:left="720" w:hanging="720"/>
      </w:pPr>
      <w:rPr>
        <w:strike w:val="0"/>
        <w:dstrike w:val="0"/>
        <w:sz w:val="22"/>
      </w:rPr>
    </w:lvl>
    <w:lvl w:ilvl="2">
      <w:start w:val="1"/>
      <w:numFmt w:val="none"/>
      <w:pStyle w:val="PartiesRecitals3"/>
      <w:suff w:val="nothing"/>
      <w:lvlText w:val="%3"/>
      <w:lvlJc w:val="left"/>
      <w:pPr>
        <w:ind w:left="0" w:firstLine="0"/>
      </w:pPr>
      <w:rPr>
        <w:strike w:val="0"/>
        <w:dstrike w:val="0"/>
        <w:sz w:val="22"/>
      </w:rPr>
    </w:lvl>
    <w:lvl w:ilvl="3">
      <w:start w:val="1"/>
      <w:numFmt w:val="none"/>
      <w:pStyle w:val="PartiesRecitals4"/>
      <w:suff w:val="nothing"/>
      <w:lvlText w:val=""/>
      <w:lvlJc w:val="left"/>
      <w:pPr>
        <w:ind w:left="0" w:firstLine="0"/>
      </w:pPr>
      <w:rPr>
        <w:strike w:val="0"/>
        <w:dstrike w:val="0"/>
        <w:sz w:val="22"/>
      </w:rPr>
    </w:lvl>
    <w:lvl w:ilvl="4">
      <w:start w:val="1"/>
      <w:numFmt w:val="none"/>
      <w:pStyle w:val="PartiesRecitals5"/>
      <w:suff w:val="nothing"/>
      <w:lvlText w:val=""/>
      <w:lvlJc w:val="left"/>
      <w:pPr>
        <w:ind w:left="0" w:firstLine="0"/>
      </w:pPr>
      <w:rPr>
        <w:strike w:val="0"/>
        <w:dstrike w:val="0"/>
        <w:sz w:val="22"/>
      </w:rPr>
    </w:lvl>
    <w:lvl w:ilvl="5">
      <w:start w:val="1"/>
      <w:numFmt w:val="none"/>
      <w:pStyle w:val="PartiesRecitals6"/>
      <w:suff w:val="nothing"/>
      <w:lvlText w:val=""/>
      <w:lvlJc w:val="left"/>
      <w:pPr>
        <w:ind w:left="0" w:firstLine="0"/>
      </w:pPr>
      <w:rPr>
        <w:strike w:val="0"/>
        <w:dstrike w:val="0"/>
        <w:sz w:val="22"/>
      </w:rPr>
    </w:lvl>
    <w:lvl w:ilvl="6">
      <w:start w:val="1"/>
      <w:numFmt w:val="none"/>
      <w:pStyle w:val="PartiesRecitals7"/>
      <w:suff w:val="nothing"/>
      <w:lvlText w:val=""/>
      <w:lvlJc w:val="left"/>
      <w:pPr>
        <w:ind w:left="0" w:firstLine="0"/>
      </w:pPr>
      <w:rPr>
        <w:strike w:val="0"/>
        <w:dstrike w:val="0"/>
        <w:sz w:val="22"/>
      </w:rPr>
    </w:lvl>
    <w:lvl w:ilvl="7">
      <w:start w:val="1"/>
      <w:numFmt w:val="none"/>
      <w:pStyle w:val="PartiesRecitals8"/>
      <w:suff w:val="nothing"/>
      <w:lvlText w:val=""/>
      <w:lvlJc w:val="left"/>
      <w:pPr>
        <w:ind w:left="0" w:firstLine="0"/>
      </w:pPr>
      <w:rPr>
        <w:strike w:val="0"/>
        <w:dstrike w:val="0"/>
        <w:sz w:val="22"/>
      </w:rPr>
    </w:lvl>
    <w:lvl w:ilvl="8">
      <w:start w:val="1"/>
      <w:numFmt w:val="none"/>
      <w:pStyle w:val="PartiesRecitals9"/>
      <w:suff w:val="nothing"/>
      <w:lvlText w:val=""/>
      <w:lvlJc w:val="left"/>
      <w:pPr>
        <w:ind w:left="0" w:firstLine="0"/>
      </w:pPr>
      <w:rPr>
        <w:strike w:val="0"/>
        <w:dstrike w:val="0"/>
        <w:sz w:val="22"/>
      </w:rPr>
    </w:lvl>
  </w:abstractNum>
  <w:abstractNum w:abstractNumId="53" w15:restartNumberingAfterBreak="0">
    <w:nsid w:val="68B23FF6"/>
    <w:multiLevelType w:val="multilevel"/>
    <w:tmpl w:val="0809001D"/>
    <w:styleLink w:val="1ai0"/>
    <w:lvl w:ilvl="0">
      <w:start w:val="1"/>
      <w:numFmt w:val="decimal"/>
      <w:lvlText w:val="%1)"/>
      <w:lvlJc w:val="left"/>
      <w:pPr>
        <w:tabs>
          <w:tab w:val="num" w:pos="360"/>
        </w:tabs>
        <w:ind w:left="360" w:hanging="360"/>
      </w:pPr>
      <w:rPr>
        <w:rFonts w:ascii="Georgia" w:hAnsi="Georgi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B6682F"/>
    <w:multiLevelType w:val="multilevel"/>
    <w:tmpl w:val="B8B6C762"/>
    <w:name w:val="Heading"/>
    <w:lvl w:ilvl="0">
      <w:start w:val="1"/>
      <w:numFmt w:val="decimal"/>
      <w:lvlText w:val="%1."/>
      <w:lvlJc w:val="left"/>
      <w:pPr>
        <w:ind w:left="720" w:hanging="720"/>
      </w:pPr>
      <w:rPr>
        <w:strike w:val="0"/>
        <w:dstrike w:val="0"/>
        <w:sz w:val="22"/>
      </w:rPr>
    </w:lvl>
    <w:lvl w:ilvl="1">
      <w:start w:val="1"/>
      <w:numFmt w:val="decimal"/>
      <w:lvlText w:val="%1.%2"/>
      <w:lvlJc w:val="left"/>
      <w:pPr>
        <w:ind w:left="720" w:hanging="720"/>
      </w:pPr>
      <w:rPr>
        <w:strike w:val="0"/>
        <w:dstrike w:val="0"/>
        <w:sz w:val="22"/>
      </w:rPr>
    </w:lvl>
    <w:lvl w:ilvl="2">
      <w:start w:val="1"/>
      <w:numFmt w:val="lowerLetter"/>
      <w:lvlText w:val="(%3)"/>
      <w:lvlJc w:val="left"/>
      <w:pPr>
        <w:ind w:left="1440" w:hanging="720"/>
      </w:pPr>
      <w:rPr>
        <w:strike w:val="0"/>
        <w:dstrike w:val="0"/>
        <w:sz w:val="22"/>
      </w:rPr>
    </w:lvl>
    <w:lvl w:ilvl="3">
      <w:start w:val="1"/>
      <w:numFmt w:val="lowerRoman"/>
      <w:lvlText w:val="(%4)"/>
      <w:lvlJc w:val="left"/>
      <w:pPr>
        <w:ind w:left="2160" w:hanging="720"/>
      </w:pPr>
      <w:rPr>
        <w:strike w:val="0"/>
        <w:dstrike w:val="0"/>
        <w:sz w:val="22"/>
      </w:rPr>
    </w:lvl>
    <w:lvl w:ilvl="4">
      <w:start w:val="1"/>
      <w:numFmt w:val="upperLetter"/>
      <w:lvlText w:val="(%5)"/>
      <w:lvlJc w:val="left"/>
      <w:pPr>
        <w:ind w:left="2880" w:hanging="720"/>
      </w:pPr>
      <w:rPr>
        <w:strike w:val="0"/>
        <w:dstrike w:val="0"/>
        <w:sz w:val="22"/>
      </w:rPr>
    </w:lvl>
    <w:lvl w:ilvl="5">
      <w:start w:val="1"/>
      <w:numFmt w:val="decimal"/>
      <w:lvlText w:val="(%6)"/>
      <w:lvlJc w:val="left"/>
      <w:pPr>
        <w:ind w:left="3600" w:hanging="720"/>
      </w:pPr>
      <w:rPr>
        <w:strike w:val="0"/>
        <w:dstrike w:val="0"/>
        <w:sz w:val="22"/>
      </w:rPr>
    </w:lvl>
    <w:lvl w:ilvl="6">
      <w:start w:val="1"/>
      <w:numFmt w:val="upperRoman"/>
      <w:lvlText w:val="(%7)"/>
      <w:lvlJc w:val="left"/>
      <w:pPr>
        <w:ind w:left="4320" w:hanging="720"/>
      </w:pPr>
      <w:rPr>
        <w:strike w:val="0"/>
        <w:dstrike w:val="0"/>
        <w:sz w:val="22"/>
      </w:rPr>
    </w:lvl>
    <w:lvl w:ilvl="7">
      <w:start w:val="1"/>
      <w:numFmt w:val="none"/>
      <w:suff w:val="nothing"/>
      <w:lvlText w:val="%8"/>
      <w:lvlJc w:val="left"/>
      <w:pPr>
        <w:ind w:left="3600" w:hanging="720"/>
      </w:pPr>
      <w:rPr>
        <w:i w:val="0"/>
        <w:caps w:val="0"/>
        <w:strike w:val="0"/>
        <w:dstrike w:val="0"/>
        <w:vanish w:val="0"/>
        <w:sz w:val="22"/>
        <w:u w:val="none"/>
        <w:effect w:val="none"/>
        <w:vertAlign w:val="baseline"/>
      </w:rPr>
    </w:lvl>
    <w:lvl w:ilvl="8">
      <w:start w:val="1"/>
      <w:numFmt w:val="none"/>
      <w:suff w:val="nothing"/>
      <w:lvlText w:val="%9"/>
      <w:lvlJc w:val="left"/>
      <w:pPr>
        <w:ind w:left="4320" w:hanging="720"/>
      </w:pPr>
      <w:rPr>
        <w:strike w:val="0"/>
        <w:dstrike w:val="0"/>
        <w:sz w:val="22"/>
      </w:rPr>
    </w:lvl>
  </w:abstractNum>
  <w:abstractNum w:abstractNumId="55" w15:restartNumberingAfterBreak="0">
    <w:nsid w:val="6CAA1187"/>
    <w:multiLevelType w:val="hybridMultilevel"/>
    <w:tmpl w:val="F3580ECA"/>
    <w:lvl w:ilvl="0" w:tplc="9B42E2BA">
      <w:start w:val="1"/>
      <w:numFmt w:val="upperRoman"/>
      <w:lvlText w:val="%1."/>
      <w:lvlJc w:val="left"/>
      <w:pPr>
        <w:ind w:left="720" w:hanging="360"/>
      </w:pPr>
      <w:rPr>
        <w:rFonts w:hint="default"/>
      </w:rPr>
    </w:lvl>
    <w:lvl w:ilvl="1" w:tplc="D11C9CCC">
      <w:start w:val="1"/>
      <w:numFmt w:val="lowerRoman"/>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3B6434"/>
    <w:multiLevelType w:val="multilevel"/>
    <w:tmpl w:val="90882D9A"/>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Roman"/>
      <w:pStyle w:val="Level4"/>
      <w:lvlText w:val="(%4)"/>
      <w:lvlJc w:val="left"/>
      <w:pPr>
        <w:tabs>
          <w:tab w:val="num" w:pos="2098"/>
        </w:tabs>
        <w:ind w:left="2098" w:hanging="680"/>
      </w:pPr>
      <w:rPr>
        <w:rFonts w:ascii="Times New Roman" w:hAnsi="Times New Roman" w:cs="Times New Roman" w:hint="default"/>
        <w:b w:val="0"/>
        <w:i w:val="0"/>
        <w:sz w:val="22"/>
        <w:szCs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57" w15:restartNumberingAfterBreak="0">
    <w:nsid w:val="703E52A0"/>
    <w:multiLevelType w:val="hybridMultilevel"/>
    <w:tmpl w:val="7B6AFDB6"/>
    <w:lvl w:ilvl="0" w:tplc="FFFFFFFF">
      <w:start w:val="1"/>
      <w:numFmt w:val="upp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8" w15:restartNumberingAfterBreak="0">
    <w:nsid w:val="70C93035"/>
    <w:multiLevelType w:val="hybridMultilevel"/>
    <w:tmpl w:val="9A72B286"/>
    <w:name w:val="Box Note Bullet"/>
    <w:lvl w:ilvl="0" w:tplc="4E2EC6B8">
      <w:start w:val="1"/>
      <w:numFmt w:val="bullet"/>
      <w:pStyle w:val="BoxNoteBullet"/>
      <w:lvlText w:val=""/>
      <w:lvlJc w:val="left"/>
      <w:pPr>
        <w:ind w:left="720" w:hanging="360"/>
      </w:pPr>
      <w:rPr>
        <w:rFonts w:ascii="Wingdings" w:hAnsi="Wingdings" w:hint="default"/>
        <w:color w:val="A7193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4074D3"/>
    <w:multiLevelType w:val="hybridMultilevel"/>
    <w:tmpl w:val="262260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910EFB"/>
    <w:multiLevelType w:val="multilevel"/>
    <w:tmpl w:val="10BC8254"/>
    <w:name w:val="bilaga"/>
    <w:lvl w:ilvl="0">
      <w:start w:val="1"/>
      <w:numFmt w:val="decimal"/>
      <w:pStyle w:val="Schedule"/>
      <w:suff w:val="space"/>
      <w:lvlText w:val="Schedule %1"/>
      <w:lvlJc w:val="left"/>
      <w:rPr>
        <w:rFonts w:hint="default"/>
      </w:rPr>
    </w:lvl>
    <w:lvl w:ilvl="1">
      <w:start w:val="1"/>
      <w:numFmt w:val="none"/>
      <w:pStyle w:val="ScheduleHeadingToC"/>
      <w:lvlText w:val=""/>
      <w:lvlJc w:val="left"/>
      <w:pPr>
        <w:tabs>
          <w:tab w:val="num" w:pos="0"/>
        </w:tabs>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A58598E"/>
    <w:multiLevelType w:val="multilevel"/>
    <w:tmpl w:val="08090023"/>
    <w:styleLink w:val="ArticleSection0"/>
    <w:lvl w:ilvl="0">
      <w:start w:val="1"/>
      <w:numFmt w:val="upperRoman"/>
      <w:lvlText w:val="Article %1."/>
      <w:lvlJc w:val="left"/>
      <w:pPr>
        <w:tabs>
          <w:tab w:val="num" w:pos="1440"/>
        </w:tabs>
        <w:ind w:left="0" w:firstLine="0"/>
      </w:pPr>
      <w:rPr>
        <w:rFonts w:ascii="Georgia" w:hAnsi="Georgi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15:restartNumberingAfterBreak="0">
    <w:nsid w:val="7CD67A0D"/>
    <w:multiLevelType w:val="multilevel"/>
    <w:tmpl w:val="46FEEDF8"/>
    <w:lvl w:ilvl="0">
      <w:start w:val="1"/>
      <w:numFmt w:val="decimal"/>
      <w:pStyle w:val="nRubrik1"/>
      <w:lvlText w:val="%1"/>
      <w:lvlJc w:val="left"/>
      <w:pPr>
        <w:tabs>
          <w:tab w:val="num" w:pos="1020"/>
        </w:tabs>
        <w:ind w:left="1020" w:hanging="1020"/>
      </w:pPr>
      <w:rPr>
        <w:rFonts w:ascii="Arial" w:hAnsi="Arial" w:cs="Arial" w:hint="default"/>
        <w:b/>
        <w:i w:val="0"/>
        <w:sz w:val="20"/>
        <w:szCs w:val="20"/>
      </w:rPr>
    </w:lvl>
    <w:lvl w:ilvl="1">
      <w:start w:val="1"/>
      <w:numFmt w:val="decimal"/>
      <w:pStyle w:val="nRubrik2"/>
      <w:lvlText w:val="%1.%2"/>
      <w:lvlJc w:val="left"/>
      <w:pPr>
        <w:tabs>
          <w:tab w:val="num" w:pos="1020"/>
        </w:tabs>
        <w:ind w:left="1020" w:hanging="1020"/>
      </w:pPr>
      <w:rPr>
        <w:rFonts w:ascii="Arial" w:hAnsi="Arial" w:cs="Arial" w:hint="default"/>
        <w:b/>
        <w:i w:val="0"/>
        <w:sz w:val="22"/>
      </w:rPr>
    </w:lvl>
    <w:lvl w:ilvl="2">
      <w:start w:val="1"/>
      <w:numFmt w:val="decimal"/>
      <w:pStyle w:val="nRubrik3"/>
      <w:lvlText w:val="%1.%2.%3"/>
      <w:lvlJc w:val="left"/>
      <w:pPr>
        <w:tabs>
          <w:tab w:val="num" w:pos="1020"/>
        </w:tabs>
        <w:ind w:left="1020" w:hanging="1020"/>
      </w:pPr>
      <w:rPr>
        <w:rFonts w:ascii="Arial" w:hAnsi="Arial" w:cs="Arial" w:hint="default"/>
        <w:b w:val="0"/>
        <w:i/>
        <w:strike w:val="0"/>
        <w:dstrike w:val="0"/>
        <w:sz w:val="22"/>
        <w:u w:val="none"/>
        <w:effect w:val="none"/>
      </w:rPr>
    </w:lvl>
    <w:lvl w:ilvl="3">
      <w:start w:val="1"/>
      <w:numFmt w:val="decimal"/>
      <w:pStyle w:val="nRubrik4"/>
      <w:lvlText w:val="%1.%2.%3.%4"/>
      <w:lvlJc w:val="left"/>
      <w:pPr>
        <w:tabs>
          <w:tab w:val="num" w:pos="1020"/>
        </w:tabs>
        <w:ind w:left="1020" w:hanging="1020"/>
      </w:pPr>
      <w:rPr>
        <w:rFonts w:ascii="Arial" w:hAnsi="Arial" w:cs="Arial" w:hint="default"/>
        <w:b w:val="0"/>
        <w:i w:val="0"/>
        <w:sz w:val="22"/>
      </w:r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63" w15:restartNumberingAfterBreak="0">
    <w:nsid w:val="7D520640"/>
    <w:multiLevelType w:val="multilevel"/>
    <w:tmpl w:val="06C04B8C"/>
    <w:name w:val="Table Bullet"/>
    <w:lvl w:ilvl="0">
      <w:start w:val="1"/>
      <w:numFmt w:val="bullet"/>
      <w:pStyle w:val="TableBullet1"/>
      <w:lvlText w:val=""/>
      <w:lvlJc w:val="left"/>
      <w:pPr>
        <w:ind w:left="360" w:hanging="360"/>
      </w:pPr>
      <w:rPr>
        <w:rFonts w:ascii="Symbol" w:hAnsi="Symbol" w:hint="default"/>
        <w:b w:val="0"/>
        <w:i w:val="0"/>
        <w:strike w:val="0"/>
        <w:dstrike w:val="0"/>
        <w:color w:val="auto"/>
        <w:sz w:val="22"/>
      </w:rPr>
    </w:lvl>
    <w:lvl w:ilvl="1">
      <w:start w:val="1"/>
      <w:numFmt w:val="bullet"/>
      <w:pStyle w:val="TableBullet2"/>
      <w:lvlText w:val=""/>
      <w:lvlJc w:val="left"/>
      <w:pPr>
        <w:ind w:left="720" w:hanging="360"/>
      </w:pPr>
      <w:rPr>
        <w:rFonts w:ascii="Symbol" w:hAnsi="Symbol" w:hint="default"/>
        <w:strike w:val="0"/>
        <w:dstrike w:val="0"/>
      </w:rPr>
    </w:lvl>
    <w:lvl w:ilvl="2">
      <w:start w:val="1"/>
      <w:numFmt w:val="bullet"/>
      <w:pStyle w:val="TableBullet3"/>
      <w:lvlText w:val=""/>
      <w:lvlJc w:val="left"/>
      <w:pPr>
        <w:ind w:left="1080" w:hanging="360"/>
      </w:pPr>
      <w:rPr>
        <w:rFonts w:ascii="Symbol" w:hAnsi="Symbol" w:hint="default"/>
        <w:strike w:val="0"/>
        <w:dstrike w:val="0"/>
      </w:rPr>
    </w:lvl>
    <w:lvl w:ilvl="3">
      <w:start w:val="1"/>
      <w:numFmt w:val="none"/>
      <w:pStyle w:val="TableBullet4"/>
      <w:suff w:val="nothing"/>
      <w:lvlText w:val=""/>
      <w:lvlJc w:val="left"/>
      <w:pPr>
        <w:ind w:left="0" w:firstLine="0"/>
      </w:pPr>
      <w:rPr>
        <w:strike w:val="0"/>
        <w:dstrike w:val="0"/>
      </w:rPr>
    </w:lvl>
    <w:lvl w:ilvl="4">
      <w:start w:val="1"/>
      <w:numFmt w:val="none"/>
      <w:pStyle w:val="TableBullet5"/>
      <w:suff w:val="nothing"/>
      <w:lvlText w:val=""/>
      <w:lvlJc w:val="left"/>
      <w:pPr>
        <w:ind w:left="0" w:firstLine="0"/>
      </w:pPr>
      <w:rPr>
        <w:strike w:val="0"/>
        <w:dstrike w:val="0"/>
      </w:rPr>
    </w:lvl>
    <w:lvl w:ilvl="5">
      <w:start w:val="1"/>
      <w:numFmt w:val="none"/>
      <w:pStyle w:val="TableBullet6"/>
      <w:suff w:val="nothing"/>
      <w:lvlText w:val=""/>
      <w:lvlJc w:val="left"/>
      <w:pPr>
        <w:ind w:left="0" w:firstLine="0"/>
      </w:pPr>
      <w:rPr>
        <w:strike w:val="0"/>
        <w:dstrike w:val="0"/>
      </w:rPr>
    </w:lvl>
    <w:lvl w:ilvl="6">
      <w:start w:val="1"/>
      <w:numFmt w:val="none"/>
      <w:pStyle w:val="TableBullet7"/>
      <w:suff w:val="nothing"/>
      <w:lvlText w:val=""/>
      <w:lvlJc w:val="left"/>
      <w:pPr>
        <w:ind w:left="0" w:firstLine="0"/>
      </w:pPr>
      <w:rPr>
        <w:strike w:val="0"/>
        <w:dstrike w:val="0"/>
      </w:rPr>
    </w:lvl>
    <w:lvl w:ilvl="7">
      <w:start w:val="1"/>
      <w:numFmt w:val="none"/>
      <w:pStyle w:val="TableBullet8"/>
      <w:suff w:val="nothing"/>
      <w:lvlText w:val=""/>
      <w:lvlJc w:val="left"/>
      <w:pPr>
        <w:ind w:left="0" w:firstLine="0"/>
      </w:pPr>
      <w:rPr>
        <w:strike w:val="0"/>
        <w:dstrike w:val="0"/>
      </w:rPr>
    </w:lvl>
    <w:lvl w:ilvl="8">
      <w:start w:val="1"/>
      <w:numFmt w:val="none"/>
      <w:pStyle w:val="TableBullet9"/>
      <w:suff w:val="nothing"/>
      <w:lvlText w:val=""/>
      <w:lvlJc w:val="left"/>
      <w:pPr>
        <w:ind w:left="0" w:firstLine="0"/>
      </w:pPr>
      <w:rPr>
        <w:strike w:val="0"/>
        <w:dstrike w:val="0"/>
      </w:rPr>
    </w:lvl>
  </w:abstractNum>
  <w:abstractNum w:abstractNumId="64" w15:restartNumberingAfterBreak="0">
    <w:nsid w:val="7F49585E"/>
    <w:multiLevelType w:val="multilevel"/>
    <w:tmpl w:val="FB50D40E"/>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2279"/>
        </w:tabs>
        <w:ind w:left="2279" w:hanging="720"/>
      </w:pPr>
      <w:rPr>
        <w:rFonts w:hint="default"/>
        <w:b w:val="0"/>
        <w:i w:val="0"/>
      </w:rPr>
    </w:lvl>
    <w:lvl w:ilvl="2">
      <w:start w:val="1"/>
      <w:numFmt w:val="decimal"/>
      <w:pStyle w:val="BBHeading3"/>
      <w:lvlText w:val="%1.%2.%3"/>
      <w:lvlJc w:val="left"/>
      <w:pPr>
        <w:tabs>
          <w:tab w:val="num" w:pos="1895"/>
        </w:tabs>
        <w:ind w:left="1895"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1787"/>
        </w:tabs>
        <w:ind w:left="1787" w:hanging="1077"/>
      </w:pPr>
      <w:rPr>
        <w:rFonts w:hint="default"/>
        <w:b w:val="0"/>
        <w:i w:val="0"/>
        <w:lang w:val="en-GB"/>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2023433151">
    <w:abstractNumId w:val="48"/>
  </w:num>
  <w:num w:numId="2" w16cid:durableId="2026007570">
    <w:abstractNumId w:val="27"/>
  </w:num>
  <w:num w:numId="3" w16cid:durableId="1128821984">
    <w:abstractNumId w:val="28"/>
  </w:num>
  <w:num w:numId="4" w16cid:durableId="1213273731">
    <w:abstractNumId w:val="34"/>
  </w:num>
  <w:num w:numId="5" w16cid:durableId="313996376">
    <w:abstractNumId w:val="9"/>
  </w:num>
  <w:num w:numId="6" w16cid:durableId="981736885">
    <w:abstractNumId w:val="43"/>
  </w:num>
  <w:num w:numId="7" w16cid:durableId="6543787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364753">
    <w:abstractNumId w:val="44"/>
  </w:num>
  <w:num w:numId="9" w16cid:durableId="1995255335">
    <w:abstractNumId w:val="56"/>
  </w:num>
  <w:num w:numId="10" w16cid:durableId="1861241836">
    <w:abstractNumId w:val="35"/>
  </w:num>
  <w:num w:numId="11" w16cid:durableId="2124955597">
    <w:abstractNumId w:val="47"/>
  </w:num>
  <w:num w:numId="12" w16cid:durableId="431173635">
    <w:abstractNumId w:val="19"/>
  </w:num>
  <w:num w:numId="13" w16cid:durableId="1563175132">
    <w:abstractNumId w:val="50"/>
  </w:num>
  <w:num w:numId="14" w16cid:durableId="303705251">
    <w:abstractNumId w:val="64"/>
  </w:num>
  <w:num w:numId="15" w16cid:durableId="811942334">
    <w:abstractNumId w:val="39"/>
  </w:num>
  <w:num w:numId="16" w16cid:durableId="468135032">
    <w:abstractNumId w:val="5"/>
  </w:num>
  <w:num w:numId="17" w16cid:durableId="1404522278">
    <w:abstractNumId w:val="4"/>
  </w:num>
  <w:num w:numId="18" w16cid:durableId="754664905">
    <w:abstractNumId w:val="3"/>
  </w:num>
  <w:num w:numId="19" w16cid:durableId="2008244157">
    <w:abstractNumId w:val="2"/>
  </w:num>
  <w:num w:numId="20" w16cid:durableId="355347533">
    <w:abstractNumId w:val="1"/>
  </w:num>
  <w:num w:numId="21" w16cid:durableId="1098142488">
    <w:abstractNumId w:val="0"/>
  </w:num>
  <w:num w:numId="22" w16cid:durableId="1832938686">
    <w:abstractNumId w:val="40"/>
  </w:num>
  <w:num w:numId="23" w16cid:durableId="1585916118">
    <w:abstractNumId w:val="53"/>
  </w:num>
  <w:num w:numId="24" w16cid:durableId="670530116">
    <w:abstractNumId w:val="61"/>
  </w:num>
  <w:num w:numId="25" w16cid:durableId="2077430526">
    <w:abstractNumId w:val="21"/>
  </w:num>
  <w:num w:numId="26" w16cid:durableId="329674093">
    <w:abstractNumId w:val="60"/>
  </w:num>
  <w:num w:numId="27" w16cid:durableId="1443955761">
    <w:abstractNumId w:val="6"/>
  </w:num>
  <w:num w:numId="28" w16cid:durableId="1465460598">
    <w:abstractNumId w:val="18"/>
  </w:num>
  <w:num w:numId="29" w16cid:durableId="282031477">
    <w:abstractNumId w:val="23"/>
  </w:num>
  <w:num w:numId="30" w16cid:durableId="575167925">
    <w:abstractNumId w:val="12"/>
  </w:num>
  <w:num w:numId="31" w16cid:durableId="1429882651">
    <w:abstractNumId w:val="29"/>
  </w:num>
  <w:num w:numId="32" w16cid:durableId="1126504038">
    <w:abstractNumId w:val="30"/>
  </w:num>
  <w:num w:numId="33" w16cid:durableId="1538621159">
    <w:abstractNumId w:val="25"/>
  </w:num>
  <w:num w:numId="34" w16cid:durableId="966591215">
    <w:abstractNumId w:val="7"/>
  </w:num>
  <w:num w:numId="35" w16cid:durableId="241529793">
    <w:abstractNumId w:val="59"/>
  </w:num>
  <w:num w:numId="36" w16cid:durableId="56785720">
    <w:abstractNumId w:val="26"/>
  </w:num>
  <w:num w:numId="37" w16cid:durableId="1349671667">
    <w:abstractNumId w:val="33"/>
  </w:num>
  <w:num w:numId="38" w16cid:durableId="1760911327">
    <w:abstractNumId w:val="46"/>
  </w:num>
  <w:num w:numId="39" w16cid:durableId="148441746">
    <w:abstractNumId w:val="58"/>
  </w:num>
  <w:num w:numId="40" w16cid:durableId="2067097557">
    <w:abstractNumId w:val="51"/>
  </w:num>
  <w:num w:numId="41" w16cid:durableId="939412850">
    <w:abstractNumId w:val="63"/>
  </w:num>
  <w:num w:numId="42" w16cid:durableId="1523740366">
    <w:abstractNumId w:val="14"/>
  </w:num>
  <w:num w:numId="43" w16cid:durableId="1671253267">
    <w:abstractNumId w:val="41"/>
  </w:num>
  <w:num w:numId="44" w16cid:durableId="1549880305">
    <w:abstractNumId w:val="45"/>
  </w:num>
  <w:num w:numId="45" w16cid:durableId="1673070028">
    <w:abstractNumId w:val="42"/>
  </w:num>
  <w:num w:numId="46" w16cid:durableId="176387042">
    <w:abstractNumId w:val="17"/>
  </w:num>
  <w:num w:numId="47" w16cid:durableId="1937009510">
    <w:abstractNumId w:val="52"/>
  </w:num>
  <w:num w:numId="48" w16cid:durableId="763575240">
    <w:abstractNumId w:val="32"/>
  </w:num>
  <w:num w:numId="49" w16cid:durableId="473835257">
    <w:abstractNumId w:val="15"/>
  </w:num>
  <w:num w:numId="50" w16cid:durableId="160202352">
    <w:abstractNumId w:val="8"/>
  </w:num>
  <w:num w:numId="51" w16cid:durableId="896285948">
    <w:abstractNumId w:val="49"/>
  </w:num>
  <w:num w:numId="52" w16cid:durableId="1256094257">
    <w:abstractNumId w:val="24"/>
  </w:num>
  <w:num w:numId="53" w16cid:durableId="1340157404">
    <w:abstractNumId w:val="36"/>
  </w:num>
  <w:num w:numId="54" w16cid:durableId="373193147">
    <w:abstractNumId w:val="55"/>
  </w:num>
  <w:num w:numId="55" w16cid:durableId="1779912122">
    <w:abstractNumId w:val="20"/>
  </w:num>
  <w:num w:numId="56" w16cid:durableId="1390686601">
    <w:abstractNumId w:val="31"/>
  </w:num>
  <w:num w:numId="57" w16cid:durableId="812528864">
    <w:abstractNumId w:val="16"/>
  </w:num>
  <w:num w:numId="58" w16cid:durableId="1119833337">
    <w:abstractNumId w:val="11"/>
  </w:num>
  <w:num w:numId="59" w16cid:durableId="900822762">
    <w:abstractNumId w:val="38"/>
  </w:num>
  <w:num w:numId="60" w16cid:durableId="1938294057">
    <w:abstractNumId w:val="22"/>
  </w:num>
  <w:num w:numId="61" w16cid:durableId="1743286098">
    <w:abstractNumId w:val="37"/>
  </w:num>
  <w:num w:numId="62" w16cid:durableId="1003507018">
    <w:abstractNumId w:val="13"/>
  </w:num>
  <w:num w:numId="63" w16cid:durableId="1317879843">
    <w:abstractNumId w:val="10"/>
  </w:num>
  <w:num w:numId="64" w16cid:durableId="210267782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AA"/>
    <w:rsid w:val="000028BC"/>
    <w:rsid w:val="0000695E"/>
    <w:rsid w:val="0001435A"/>
    <w:rsid w:val="000167FF"/>
    <w:rsid w:val="000215FD"/>
    <w:rsid w:val="00025E6E"/>
    <w:rsid w:val="00026BF3"/>
    <w:rsid w:val="000323FC"/>
    <w:rsid w:val="000403FD"/>
    <w:rsid w:val="00040452"/>
    <w:rsid w:val="000421F2"/>
    <w:rsid w:val="000428BF"/>
    <w:rsid w:val="00042C4D"/>
    <w:rsid w:val="0004655C"/>
    <w:rsid w:val="00054D46"/>
    <w:rsid w:val="00057CD7"/>
    <w:rsid w:val="00060252"/>
    <w:rsid w:val="000610C6"/>
    <w:rsid w:val="000610FF"/>
    <w:rsid w:val="00065393"/>
    <w:rsid w:val="00074907"/>
    <w:rsid w:val="000769C7"/>
    <w:rsid w:val="00083CF5"/>
    <w:rsid w:val="00084A3C"/>
    <w:rsid w:val="00087D8E"/>
    <w:rsid w:val="0009269A"/>
    <w:rsid w:val="0009483C"/>
    <w:rsid w:val="000959D4"/>
    <w:rsid w:val="000A03ED"/>
    <w:rsid w:val="000A416E"/>
    <w:rsid w:val="000A5F17"/>
    <w:rsid w:val="000B0A78"/>
    <w:rsid w:val="000B3840"/>
    <w:rsid w:val="000B391A"/>
    <w:rsid w:val="000C1EBA"/>
    <w:rsid w:val="000C7015"/>
    <w:rsid w:val="000D607C"/>
    <w:rsid w:val="000D7887"/>
    <w:rsid w:val="000D7A70"/>
    <w:rsid w:val="000E4406"/>
    <w:rsid w:val="000F076F"/>
    <w:rsid w:val="000F1A68"/>
    <w:rsid w:val="000F3E47"/>
    <w:rsid w:val="000F5A53"/>
    <w:rsid w:val="000F74C0"/>
    <w:rsid w:val="00101F8B"/>
    <w:rsid w:val="00103389"/>
    <w:rsid w:val="00107284"/>
    <w:rsid w:val="00114A3A"/>
    <w:rsid w:val="00121574"/>
    <w:rsid w:val="00121A00"/>
    <w:rsid w:val="001250A6"/>
    <w:rsid w:val="001251A8"/>
    <w:rsid w:val="001332F7"/>
    <w:rsid w:val="001349D5"/>
    <w:rsid w:val="00136BD8"/>
    <w:rsid w:val="00145906"/>
    <w:rsid w:val="00145FF1"/>
    <w:rsid w:val="001466CC"/>
    <w:rsid w:val="001471B6"/>
    <w:rsid w:val="001502B0"/>
    <w:rsid w:val="00153282"/>
    <w:rsid w:val="0015372C"/>
    <w:rsid w:val="0015501F"/>
    <w:rsid w:val="0015661D"/>
    <w:rsid w:val="00156A39"/>
    <w:rsid w:val="00163E8D"/>
    <w:rsid w:val="00164521"/>
    <w:rsid w:val="001667F0"/>
    <w:rsid w:val="00166BCF"/>
    <w:rsid w:val="00166D10"/>
    <w:rsid w:val="00171F44"/>
    <w:rsid w:val="00172627"/>
    <w:rsid w:val="001727C1"/>
    <w:rsid w:val="00175641"/>
    <w:rsid w:val="00175FA1"/>
    <w:rsid w:val="001822FE"/>
    <w:rsid w:val="00183991"/>
    <w:rsid w:val="001854E4"/>
    <w:rsid w:val="00187928"/>
    <w:rsid w:val="001918E4"/>
    <w:rsid w:val="0019226F"/>
    <w:rsid w:val="00194EEA"/>
    <w:rsid w:val="001950D1"/>
    <w:rsid w:val="001951FA"/>
    <w:rsid w:val="001A030F"/>
    <w:rsid w:val="001A0B17"/>
    <w:rsid w:val="001A1DEB"/>
    <w:rsid w:val="001A47F9"/>
    <w:rsid w:val="001A7360"/>
    <w:rsid w:val="001B261E"/>
    <w:rsid w:val="001B38F2"/>
    <w:rsid w:val="001B67DC"/>
    <w:rsid w:val="001B793B"/>
    <w:rsid w:val="001C2015"/>
    <w:rsid w:val="001D1897"/>
    <w:rsid w:val="001D643B"/>
    <w:rsid w:val="001E344B"/>
    <w:rsid w:val="001E3A48"/>
    <w:rsid w:val="001E3D3E"/>
    <w:rsid w:val="001E568F"/>
    <w:rsid w:val="001E5795"/>
    <w:rsid w:val="001E58ED"/>
    <w:rsid w:val="001F1972"/>
    <w:rsid w:val="001F65F8"/>
    <w:rsid w:val="0020052D"/>
    <w:rsid w:val="0020309E"/>
    <w:rsid w:val="00203A04"/>
    <w:rsid w:val="00204685"/>
    <w:rsid w:val="00207B57"/>
    <w:rsid w:val="00211621"/>
    <w:rsid w:val="00213C3B"/>
    <w:rsid w:val="002146E2"/>
    <w:rsid w:val="0021480E"/>
    <w:rsid w:val="002148FD"/>
    <w:rsid w:val="002153B6"/>
    <w:rsid w:val="00216A8E"/>
    <w:rsid w:val="002209F6"/>
    <w:rsid w:val="00222BA8"/>
    <w:rsid w:val="00235723"/>
    <w:rsid w:val="002364D8"/>
    <w:rsid w:val="0023706D"/>
    <w:rsid w:val="0024538D"/>
    <w:rsid w:val="002472B7"/>
    <w:rsid w:val="002477D2"/>
    <w:rsid w:val="00247C82"/>
    <w:rsid w:val="00251D6C"/>
    <w:rsid w:val="00252BAF"/>
    <w:rsid w:val="00253161"/>
    <w:rsid w:val="00253D35"/>
    <w:rsid w:val="00254AFF"/>
    <w:rsid w:val="002608C2"/>
    <w:rsid w:val="00270D09"/>
    <w:rsid w:val="00273C72"/>
    <w:rsid w:val="00275DB1"/>
    <w:rsid w:val="002765D9"/>
    <w:rsid w:val="00276C6A"/>
    <w:rsid w:val="00280326"/>
    <w:rsid w:val="00281FC2"/>
    <w:rsid w:val="00282564"/>
    <w:rsid w:val="00282747"/>
    <w:rsid w:val="00285BE4"/>
    <w:rsid w:val="00286B75"/>
    <w:rsid w:val="00287283"/>
    <w:rsid w:val="00291E24"/>
    <w:rsid w:val="00292264"/>
    <w:rsid w:val="00293192"/>
    <w:rsid w:val="00293E29"/>
    <w:rsid w:val="00294B64"/>
    <w:rsid w:val="002960D1"/>
    <w:rsid w:val="0029755C"/>
    <w:rsid w:val="002A0465"/>
    <w:rsid w:val="002A4EC1"/>
    <w:rsid w:val="002B0391"/>
    <w:rsid w:val="002B08EB"/>
    <w:rsid w:val="002B6B8E"/>
    <w:rsid w:val="002C05D8"/>
    <w:rsid w:val="002C0BBB"/>
    <w:rsid w:val="002D0065"/>
    <w:rsid w:val="002D1B94"/>
    <w:rsid w:val="002D59E9"/>
    <w:rsid w:val="002D62D9"/>
    <w:rsid w:val="002D6B02"/>
    <w:rsid w:val="002D7258"/>
    <w:rsid w:val="002D786F"/>
    <w:rsid w:val="002E349C"/>
    <w:rsid w:val="002E494C"/>
    <w:rsid w:val="002E7394"/>
    <w:rsid w:val="002F08AC"/>
    <w:rsid w:val="002F172F"/>
    <w:rsid w:val="002F4440"/>
    <w:rsid w:val="00300AF8"/>
    <w:rsid w:val="00304271"/>
    <w:rsid w:val="0030478D"/>
    <w:rsid w:val="003047D0"/>
    <w:rsid w:val="00305227"/>
    <w:rsid w:val="00305FC6"/>
    <w:rsid w:val="00306A1D"/>
    <w:rsid w:val="0031044E"/>
    <w:rsid w:val="00311E9E"/>
    <w:rsid w:val="0031286A"/>
    <w:rsid w:val="00314634"/>
    <w:rsid w:val="0031706D"/>
    <w:rsid w:val="0031785B"/>
    <w:rsid w:val="00320C6A"/>
    <w:rsid w:val="003359D6"/>
    <w:rsid w:val="00337309"/>
    <w:rsid w:val="00342C2B"/>
    <w:rsid w:val="003459B2"/>
    <w:rsid w:val="00351118"/>
    <w:rsid w:val="003515B7"/>
    <w:rsid w:val="00354F94"/>
    <w:rsid w:val="00356C76"/>
    <w:rsid w:val="00361B31"/>
    <w:rsid w:val="00363BE1"/>
    <w:rsid w:val="00363ECA"/>
    <w:rsid w:val="00371809"/>
    <w:rsid w:val="00371CA1"/>
    <w:rsid w:val="00374361"/>
    <w:rsid w:val="00374570"/>
    <w:rsid w:val="003748E1"/>
    <w:rsid w:val="00374C24"/>
    <w:rsid w:val="00377779"/>
    <w:rsid w:val="00381138"/>
    <w:rsid w:val="00383A96"/>
    <w:rsid w:val="00384C9B"/>
    <w:rsid w:val="00390591"/>
    <w:rsid w:val="003907D5"/>
    <w:rsid w:val="0039134E"/>
    <w:rsid w:val="00392F15"/>
    <w:rsid w:val="003964FA"/>
    <w:rsid w:val="003A1A9B"/>
    <w:rsid w:val="003A3C31"/>
    <w:rsid w:val="003A3D77"/>
    <w:rsid w:val="003A713B"/>
    <w:rsid w:val="003A7A98"/>
    <w:rsid w:val="003B08DF"/>
    <w:rsid w:val="003B12B8"/>
    <w:rsid w:val="003C343D"/>
    <w:rsid w:val="003D358A"/>
    <w:rsid w:val="003D4788"/>
    <w:rsid w:val="003D4EB0"/>
    <w:rsid w:val="003D77BE"/>
    <w:rsid w:val="003D78E8"/>
    <w:rsid w:val="003E0393"/>
    <w:rsid w:val="003E0AD1"/>
    <w:rsid w:val="003E3233"/>
    <w:rsid w:val="003E44FD"/>
    <w:rsid w:val="003E4E26"/>
    <w:rsid w:val="003F07B0"/>
    <w:rsid w:val="003F0AB4"/>
    <w:rsid w:val="003F3015"/>
    <w:rsid w:val="003F3B40"/>
    <w:rsid w:val="00400BA5"/>
    <w:rsid w:val="0040181F"/>
    <w:rsid w:val="0041021C"/>
    <w:rsid w:val="004130AB"/>
    <w:rsid w:val="00422634"/>
    <w:rsid w:val="00425BCF"/>
    <w:rsid w:val="00437557"/>
    <w:rsid w:val="0043784D"/>
    <w:rsid w:val="004439AE"/>
    <w:rsid w:val="0044463C"/>
    <w:rsid w:val="00445D3F"/>
    <w:rsid w:val="0045767E"/>
    <w:rsid w:val="00460AF0"/>
    <w:rsid w:val="00462E59"/>
    <w:rsid w:val="004736A4"/>
    <w:rsid w:val="00487EE5"/>
    <w:rsid w:val="00492EE3"/>
    <w:rsid w:val="00493380"/>
    <w:rsid w:val="00493C27"/>
    <w:rsid w:val="00496B15"/>
    <w:rsid w:val="004A1869"/>
    <w:rsid w:val="004A24B9"/>
    <w:rsid w:val="004A39C0"/>
    <w:rsid w:val="004A40A9"/>
    <w:rsid w:val="004A6234"/>
    <w:rsid w:val="004A6A25"/>
    <w:rsid w:val="004B172D"/>
    <w:rsid w:val="004B2AEE"/>
    <w:rsid w:val="004B2C3C"/>
    <w:rsid w:val="004B34FA"/>
    <w:rsid w:val="004B4658"/>
    <w:rsid w:val="004B4FD6"/>
    <w:rsid w:val="004B663F"/>
    <w:rsid w:val="004B7EB4"/>
    <w:rsid w:val="004C2320"/>
    <w:rsid w:val="004C2623"/>
    <w:rsid w:val="004C2AD1"/>
    <w:rsid w:val="004C5C21"/>
    <w:rsid w:val="004D3BA9"/>
    <w:rsid w:val="004D4F1C"/>
    <w:rsid w:val="004D6FAF"/>
    <w:rsid w:val="004D760A"/>
    <w:rsid w:val="004D7F10"/>
    <w:rsid w:val="004D7FE8"/>
    <w:rsid w:val="004E05B9"/>
    <w:rsid w:val="004E05ED"/>
    <w:rsid w:val="004E0D0F"/>
    <w:rsid w:val="004E13D6"/>
    <w:rsid w:val="004E20C5"/>
    <w:rsid w:val="004E287C"/>
    <w:rsid w:val="004E2EEE"/>
    <w:rsid w:val="004E3FBD"/>
    <w:rsid w:val="004E411C"/>
    <w:rsid w:val="004E41D3"/>
    <w:rsid w:val="004F426E"/>
    <w:rsid w:val="004F5968"/>
    <w:rsid w:val="004F7FC3"/>
    <w:rsid w:val="005045E8"/>
    <w:rsid w:val="00505898"/>
    <w:rsid w:val="0051281D"/>
    <w:rsid w:val="00513700"/>
    <w:rsid w:val="00515796"/>
    <w:rsid w:val="00521AFF"/>
    <w:rsid w:val="005220E1"/>
    <w:rsid w:val="00522471"/>
    <w:rsid w:val="0052541E"/>
    <w:rsid w:val="00526604"/>
    <w:rsid w:val="00526C61"/>
    <w:rsid w:val="005317CA"/>
    <w:rsid w:val="00537C2C"/>
    <w:rsid w:val="005447C3"/>
    <w:rsid w:val="00545E05"/>
    <w:rsid w:val="005468F3"/>
    <w:rsid w:val="00557CB7"/>
    <w:rsid w:val="0056184D"/>
    <w:rsid w:val="005668F3"/>
    <w:rsid w:val="005678B2"/>
    <w:rsid w:val="00570971"/>
    <w:rsid w:val="00577167"/>
    <w:rsid w:val="00581481"/>
    <w:rsid w:val="00581F79"/>
    <w:rsid w:val="00584534"/>
    <w:rsid w:val="005846EB"/>
    <w:rsid w:val="00586799"/>
    <w:rsid w:val="00586F87"/>
    <w:rsid w:val="005915F1"/>
    <w:rsid w:val="00595395"/>
    <w:rsid w:val="005968E2"/>
    <w:rsid w:val="00596D9E"/>
    <w:rsid w:val="005A06FA"/>
    <w:rsid w:val="005A3627"/>
    <w:rsid w:val="005A3F31"/>
    <w:rsid w:val="005A5034"/>
    <w:rsid w:val="005A62D5"/>
    <w:rsid w:val="005A699D"/>
    <w:rsid w:val="005A768F"/>
    <w:rsid w:val="005B304C"/>
    <w:rsid w:val="005B31E6"/>
    <w:rsid w:val="005B4E58"/>
    <w:rsid w:val="005B568A"/>
    <w:rsid w:val="005B572B"/>
    <w:rsid w:val="005C0D22"/>
    <w:rsid w:val="005C449A"/>
    <w:rsid w:val="005C45A6"/>
    <w:rsid w:val="005C5DA4"/>
    <w:rsid w:val="005C5EB9"/>
    <w:rsid w:val="005C6344"/>
    <w:rsid w:val="005D08C2"/>
    <w:rsid w:val="005D4962"/>
    <w:rsid w:val="005D4976"/>
    <w:rsid w:val="005D5226"/>
    <w:rsid w:val="005E05BA"/>
    <w:rsid w:val="005E0605"/>
    <w:rsid w:val="005E5031"/>
    <w:rsid w:val="005E641D"/>
    <w:rsid w:val="005E7804"/>
    <w:rsid w:val="005F3F2C"/>
    <w:rsid w:val="0060346C"/>
    <w:rsid w:val="006042B8"/>
    <w:rsid w:val="00605AF0"/>
    <w:rsid w:val="006107E3"/>
    <w:rsid w:val="00620395"/>
    <w:rsid w:val="006222B1"/>
    <w:rsid w:val="0062440E"/>
    <w:rsid w:val="00625364"/>
    <w:rsid w:val="006255F9"/>
    <w:rsid w:val="00630730"/>
    <w:rsid w:val="006346F2"/>
    <w:rsid w:val="006350FE"/>
    <w:rsid w:val="006367AE"/>
    <w:rsid w:val="00637A62"/>
    <w:rsid w:val="00652F1D"/>
    <w:rsid w:val="00655224"/>
    <w:rsid w:val="006625B4"/>
    <w:rsid w:val="00665BF3"/>
    <w:rsid w:val="00671028"/>
    <w:rsid w:val="00676F08"/>
    <w:rsid w:val="00680290"/>
    <w:rsid w:val="0068193C"/>
    <w:rsid w:val="0068387A"/>
    <w:rsid w:val="0068469E"/>
    <w:rsid w:val="00696DB2"/>
    <w:rsid w:val="006971CE"/>
    <w:rsid w:val="006A6952"/>
    <w:rsid w:val="006B1763"/>
    <w:rsid w:val="006B2971"/>
    <w:rsid w:val="006B7D8D"/>
    <w:rsid w:val="006B7DE0"/>
    <w:rsid w:val="006C3078"/>
    <w:rsid w:val="006C672E"/>
    <w:rsid w:val="006C7BA1"/>
    <w:rsid w:val="006D5BEB"/>
    <w:rsid w:val="006D6812"/>
    <w:rsid w:val="006E2B36"/>
    <w:rsid w:val="006E52B1"/>
    <w:rsid w:val="006E7149"/>
    <w:rsid w:val="006F20AF"/>
    <w:rsid w:val="006F4816"/>
    <w:rsid w:val="00700C25"/>
    <w:rsid w:val="007062DC"/>
    <w:rsid w:val="0070640A"/>
    <w:rsid w:val="00706A14"/>
    <w:rsid w:val="00706F56"/>
    <w:rsid w:val="0071328E"/>
    <w:rsid w:val="00725DD2"/>
    <w:rsid w:val="0072688B"/>
    <w:rsid w:val="00731FEC"/>
    <w:rsid w:val="00736AF1"/>
    <w:rsid w:val="0073794C"/>
    <w:rsid w:val="0074235D"/>
    <w:rsid w:val="0074749D"/>
    <w:rsid w:val="00750B64"/>
    <w:rsid w:val="00754C5C"/>
    <w:rsid w:val="007563D1"/>
    <w:rsid w:val="00756DDA"/>
    <w:rsid w:val="00760CF4"/>
    <w:rsid w:val="007643CD"/>
    <w:rsid w:val="007666ED"/>
    <w:rsid w:val="00767736"/>
    <w:rsid w:val="00771A85"/>
    <w:rsid w:val="007733B6"/>
    <w:rsid w:val="0077604D"/>
    <w:rsid w:val="00777BC4"/>
    <w:rsid w:val="00780BCC"/>
    <w:rsid w:val="007814C7"/>
    <w:rsid w:val="00781CDE"/>
    <w:rsid w:val="007825AF"/>
    <w:rsid w:val="00782C35"/>
    <w:rsid w:val="00783CCF"/>
    <w:rsid w:val="007907A9"/>
    <w:rsid w:val="0079298A"/>
    <w:rsid w:val="00793168"/>
    <w:rsid w:val="00796FAA"/>
    <w:rsid w:val="007A003B"/>
    <w:rsid w:val="007A21E4"/>
    <w:rsid w:val="007A56B9"/>
    <w:rsid w:val="007A7D1C"/>
    <w:rsid w:val="007B7467"/>
    <w:rsid w:val="007B7614"/>
    <w:rsid w:val="007C00BD"/>
    <w:rsid w:val="007C1F0A"/>
    <w:rsid w:val="007C42E9"/>
    <w:rsid w:val="007C4B62"/>
    <w:rsid w:val="007C601D"/>
    <w:rsid w:val="007C615F"/>
    <w:rsid w:val="007C6F42"/>
    <w:rsid w:val="007D2C42"/>
    <w:rsid w:val="007D4319"/>
    <w:rsid w:val="007D4740"/>
    <w:rsid w:val="007D498F"/>
    <w:rsid w:val="007D7F53"/>
    <w:rsid w:val="007E1BFA"/>
    <w:rsid w:val="007E6536"/>
    <w:rsid w:val="007F108F"/>
    <w:rsid w:val="007F1571"/>
    <w:rsid w:val="007F1ABE"/>
    <w:rsid w:val="007F1DBA"/>
    <w:rsid w:val="007F470D"/>
    <w:rsid w:val="007F5E32"/>
    <w:rsid w:val="007F6E34"/>
    <w:rsid w:val="0080133A"/>
    <w:rsid w:val="0080190E"/>
    <w:rsid w:val="0081148E"/>
    <w:rsid w:val="0081200B"/>
    <w:rsid w:val="008131BA"/>
    <w:rsid w:val="00813367"/>
    <w:rsid w:val="00813561"/>
    <w:rsid w:val="00816F04"/>
    <w:rsid w:val="008232DA"/>
    <w:rsid w:val="00826666"/>
    <w:rsid w:val="00826AAA"/>
    <w:rsid w:val="008318D8"/>
    <w:rsid w:val="00835ED1"/>
    <w:rsid w:val="008370E6"/>
    <w:rsid w:val="00843F24"/>
    <w:rsid w:val="00844603"/>
    <w:rsid w:val="00846A99"/>
    <w:rsid w:val="008523D3"/>
    <w:rsid w:val="0085367E"/>
    <w:rsid w:val="00855EE0"/>
    <w:rsid w:val="008606B8"/>
    <w:rsid w:val="008662C7"/>
    <w:rsid w:val="00867990"/>
    <w:rsid w:val="008700CC"/>
    <w:rsid w:val="008732EC"/>
    <w:rsid w:val="008736B0"/>
    <w:rsid w:val="0087614F"/>
    <w:rsid w:val="008762F0"/>
    <w:rsid w:val="008771EB"/>
    <w:rsid w:val="0088149A"/>
    <w:rsid w:val="00882779"/>
    <w:rsid w:val="00882BC6"/>
    <w:rsid w:val="00886CB1"/>
    <w:rsid w:val="008945D5"/>
    <w:rsid w:val="008A04A3"/>
    <w:rsid w:val="008A58CD"/>
    <w:rsid w:val="008A69DC"/>
    <w:rsid w:val="008B1343"/>
    <w:rsid w:val="008B545F"/>
    <w:rsid w:val="008C3F57"/>
    <w:rsid w:val="008C6575"/>
    <w:rsid w:val="008C7D8A"/>
    <w:rsid w:val="008D1E36"/>
    <w:rsid w:val="008D27B8"/>
    <w:rsid w:val="008D27EA"/>
    <w:rsid w:val="008D550E"/>
    <w:rsid w:val="008E2E01"/>
    <w:rsid w:val="008F012C"/>
    <w:rsid w:val="008F1272"/>
    <w:rsid w:val="008F3662"/>
    <w:rsid w:val="008F79AA"/>
    <w:rsid w:val="008F7D0E"/>
    <w:rsid w:val="008F7F9C"/>
    <w:rsid w:val="008F7FE7"/>
    <w:rsid w:val="009026EF"/>
    <w:rsid w:val="00903328"/>
    <w:rsid w:val="009066AC"/>
    <w:rsid w:val="00914050"/>
    <w:rsid w:val="00915285"/>
    <w:rsid w:val="00920337"/>
    <w:rsid w:val="00922933"/>
    <w:rsid w:val="00922F42"/>
    <w:rsid w:val="00923E52"/>
    <w:rsid w:val="00931146"/>
    <w:rsid w:val="00931EA5"/>
    <w:rsid w:val="009333C7"/>
    <w:rsid w:val="009337F9"/>
    <w:rsid w:val="009338F1"/>
    <w:rsid w:val="0094600D"/>
    <w:rsid w:val="00951449"/>
    <w:rsid w:val="00960E24"/>
    <w:rsid w:val="009619E8"/>
    <w:rsid w:val="009647C4"/>
    <w:rsid w:val="00964EB2"/>
    <w:rsid w:val="00966997"/>
    <w:rsid w:val="00972FC5"/>
    <w:rsid w:val="009732F1"/>
    <w:rsid w:val="009762E4"/>
    <w:rsid w:val="00977408"/>
    <w:rsid w:val="00977858"/>
    <w:rsid w:val="009828D9"/>
    <w:rsid w:val="00995DDB"/>
    <w:rsid w:val="009B04C8"/>
    <w:rsid w:val="009B1B45"/>
    <w:rsid w:val="009B555B"/>
    <w:rsid w:val="009C032B"/>
    <w:rsid w:val="009C4299"/>
    <w:rsid w:val="009C5122"/>
    <w:rsid w:val="009C520A"/>
    <w:rsid w:val="009C5349"/>
    <w:rsid w:val="009C660B"/>
    <w:rsid w:val="009C7B00"/>
    <w:rsid w:val="009D0C2F"/>
    <w:rsid w:val="009D6E89"/>
    <w:rsid w:val="009D7353"/>
    <w:rsid w:val="009D7E8F"/>
    <w:rsid w:val="009E04C2"/>
    <w:rsid w:val="009E0F5F"/>
    <w:rsid w:val="009E1234"/>
    <w:rsid w:val="009E2E67"/>
    <w:rsid w:val="009E3D4D"/>
    <w:rsid w:val="009F08E6"/>
    <w:rsid w:val="009F1F67"/>
    <w:rsid w:val="009F2277"/>
    <w:rsid w:val="009F673B"/>
    <w:rsid w:val="009F6B9C"/>
    <w:rsid w:val="00A01436"/>
    <w:rsid w:val="00A0185B"/>
    <w:rsid w:val="00A0331D"/>
    <w:rsid w:val="00A11744"/>
    <w:rsid w:val="00A1376F"/>
    <w:rsid w:val="00A15BD9"/>
    <w:rsid w:val="00A21500"/>
    <w:rsid w:val="00A25EB8"/>
    <w:rsid w:val="00A262E1"/>
    <w:rsid w:val="00A2770D"/>
    <w:rsid w:val="00A309A4"/>
    <w:rsid w:val="00A31307"/>
    <w:rsid w:val="00A477DE"/>
    <w:rsid w:val="00A50600"/>
    <w:rsid w:val="00A5279D"/>
    <w:rsid w:val="00A52A18"/>
    <w:rsid w:val="00A531BA"/>
    <w:rsid w:val="00A54688"/>
    <w:rsid w:val="00A54AD3"/>
    <w:rsid w:val="00A5606D"/>
    <w:rsid w:val="00A579BA"/>
    <w:rsid w:val="00A57C87"/>
    <w:rsid w:val="00A61BDB"/>
    <w:rsid w:val="00A63A14"/>
    <w:rsid w:val="00A66606"/>
    <w:rsid w:val="00A675CB"/>
    <w:rsid w:val="00A73D84"/>
    <w:rsid w:val="00A76582"/>
    <w:rsid w:val="00A7787D"/>
    <w:rsid w:val="00A8369D"/>
    <w:rsid w:val="00A85F46"/>
    <w:rsid w:val="00A86AB5"/>
    <w:rsid w:val="00A86B55"/>
    <w:rsid w:val="00A86C22"/>
    <w:rsid w:val="00A8792C"/>
    <w:rsid w:val="00A907AF"/>
    <w:rsid w:val="00A93C9D"/>
    <w:rsid w:val="00A9503D"/>
    <w:rsid w:val="00A95C21"/>
    <w:rsid w:val="00A97F2C"/>
    <w:rsid w:val="00AA0F8D"/>
    <w:rsid w:val="00AA10F1"/>
    <w:rsid w:val="00AA12B6"/>
    <w:rsid w:val="00AA4336"/>
    <w:rsid w:val="00AA711C"/>
    <w:rsid w:val="00AB73E0"/>
    <w:rsid w:val="00AC056C"/>
    <w:rsid w:val="00AC4046"/>
    <w:rsid w:val="00AD3912"/>
    <w:rsid w:val="00AD4C31"/>
    <w:rsid w:val="00AD75BB"/>
    <w:rsid w:val="00AE15C1"/>
    <w:rsid w:val="00AE1FF3"/>
    <w:rsid w:val="00AE207B"/>
    <w:rsid w:val="00AE24E9"/>
    <w:rsid w:val="00AF0283"/>
    <w:rsid w:val="00AF18C2"/>
    <w:rsid w:val="00AF1D65"/>
    <w:rsid w:val="00AF1D81"/>
    <w:rsid w:val="00AF2128"/>
    <w:rsid w:val="00AF774C"/>
    <w:rsid w:val="00B005C4"/>
    <w:rsid w:val="00B0491F"/>
    <w:rsid w:val="00B071A2"/>
    <w:rsid w:val="00B12051"/>
    <w:rsid w:val="00B130D0"/>
    <w:rsid w:val="00B13FC7"/>
    <w:rsid w:val="00B1487E"/>
    <w:rsid w:val="00B14D74"/>
    <w:rsid w:val="00B17508"/>
    <w:rsid w:val="00B17D2D"/>
    <w:rsid w:val="00B17DAB"/>
    <w:rsid w:val="00B2025D"/>
    <w:rsid w:val="00B213A8"/>
    <w:rsid w:val="00B2211E"/>
    <w:rsid w:val="00B22D49"/>
    <w:rsid w:val="00B22F73"/>
    <w:rsid w:val="00B32A61"/>
    <w:rsid w:val="00B32B2E"/>
    <w:rsid w:val="00B33E2C"/>
    <w:rsid w:val="00B35754"/>
    <w:rsid w:val="00B37BBA"/>
    <w:rsid w:val="00B4149D"/>
    <w:rsid w:val="00B44ACC"/>
    <w:rsid w:val="00B45818"/>
    <w:rsid w:val="00B465B3"/>
    <w:rsid w:val="00B5066C"/>
    <w:rsid w:val="00B57399"/>
    <w:rsid w:val="00B602B2"/>
    <w:rsid w:val="00B61F72"/>
    <w:rsid w:val="00B62878"/>
    <w:rsid w:val="00B62DFD"/>
    <w:rsid w:val="00B630B6"/>
    <w:rsid w:val="00B63E38"/>
    <w:rsid w:val="00B63FD4"/>
    <w:rsid w:val="00B66786"/>
    <w:rsid w:val="00B66839"/>
    <w:rsid w:val="00B67B95"/>
    <w:rsid w:val="00B71CB9"/>
    <w:rsid w:val="00B81F8E"/>
    <w:rsid w:val="00B82535"/>
    <w:rsid w:val="00B836C6"/>
    <w:rsid w:val="00B838C6"/>
    <w:rsid w:val="00B8558B"/>
    <w:rsid w:val="00B861D0"/>
    <w:rsid w:val="00B9069A"/>
    <w:rsid w:val="00B92C42"/>
    <w:rsid w:val="00B93E56"/>
    <w:rsid w:val="00B9440C"/>
    <w:rsid w:val="00B97CF5"/>
    <w:rsid w:val="00BA3140"/>
    <w:rsid w:val="00BA31D9"/>
    <w:rsid w:val="00BB36CC"/>
    <w:rsid w:val="00BB49C5"/>
    <w:rsid w:val="00BB53C4"/>
    <w:rsid w:val="00BC0663"/>
    <w:rsid w:val="00BC1951"/>
    <w:rsid w:val="00BC315B"/>
    <w:rsid w:val="00BC4E74"/>
    <w:rsid w:val="00BD2277"/>
    <w:rsid w:val="00BD4846"/>
    <w:rsid w:val="00BD6BA1"/>
    <w:rsid w:val="00BD7049"/>
    <w:rsid w:val="00BE2336"/>
    <w:rsid w:val="00BE47DB"/>
    <w:rsid w:val="00BE576F"/>
    <w:rsid w:val="00BF39E8"/>
    <w:rsid w:val="00BF7D02"/>
    <w:rsid w:val="00C0169B"/>
    <w:rsid w:val="00C06C8B"/>
    <w:rsid w:val="00C07C47"/>
    <w:rsid w:val="00C16304"/>
    <w:rsid w:val="00C1668A"/>
    <w:rsid w:val="00C26029"/>
    <w:rsid w:val="00C26F7D"/>
    <w:rsid w:val="00C31D48"/>
    <w:rsid w:val="00C32C93"/>
    <w:rsid w:val="00C349C7"/>
    <w:rsid w:val="00C435D4"/>
    <w:rsid w:val="00C441A8"/>
    <w:rsid w:val="00C45D38"/>
    <w:rsid w:val="00C46283"/>
    <w:rsid w:val="00C512BD"/>
    <w:rsid w:val="00C526FE"/>
    <w:rsid w:val="00C5348A"/>
    <w:rsid w:val="00C53F0F"/>
    <w:rsid w:val="00C60918"/>
    <w:rsid w:val="00C60F44"/>
    <w:rsid w:val="00C739E3"/>
    <w:rsid w:val="00C746A2"/>
    <w:rsid w:val="00C769C0"/>
    <w:rsid w:val="00C80D67"/>
    <w:rsid w:val="00C821A2"/>
    <w:rsid w:val="00C828A9"/>
    <w:rsid w:val="00C83644"/>
    <w:rsid w:val="00C84999"/>
    <w:rsid w:val="00C87402"/>
    <w:rsid w:val="00C87D69"/>
    <w:rsid w:val="00C87DD6"/>
    <w:rsid w:val="00C91EAB"/>
    <w:rsid w:val="00C94E65"/>
    <w:rsid w:val="00CA57ED"/>
    <w:rsid w:val="00CA6D8D"/>
    <w:rsid w:val="00CA794B"/>
    <w:rsid w:val="00CB0E0B"/>
    <w:rsid w:val="00CB4020"/>
    <w:rsid w:val="00CB48E0"/>
    <w:rsid w:val="00CC279E"/>
    <w:rsid w:val="00CC5434"/>
    <w:rsid w:val="00CC6278"/>
    <w:rsid w:val="00CC713F"/>
    <w:rsid w:val="00CC7828"/>
    <w:rsid w:val="00CE0936"/>
    <w:rsid w:val="00CE0CFB"/>
    <w:rsid w:val="00CF30B4"/>
    <w:rsid w:val="00CF37E2"/>
    <w:rsid w:val="00CF4E90"/>
    <w:rsid w:val="00CF521D"/>
    <w:rsid w:val="00CF5F5D"/>
    <w:rsid w:val="00D01240"/>
    <w:rsid w:val="00D0376C"/>
    <w:rsid w:val="00D04C6D"/>
    <w:rsid w:val="00D04D7D"/>
    <w:rsid w:val="00D04D8D"/>
    <w:rsid w:val="00D11372"/>
    <w:rsid w:val="00D11D44"/>
    <w:rsid w:val="00D13AD9"/>
    <w:rsid w:val="00D2273D"/>
    <w:rsid w:val="00D2279F"/>
    <w:rsid w:val="00D23C67"/>
    <w:rsid w:val="00D27527"/>
    <w:rsid w:val="00D30D7A"/>
    <w:rsid w:val="00D33ACC"/>
    <w:rsid w:val="00D353BF"/>
    <w:rsid w:val="00D35862"/>
    <w:rsid w:val="00D36309"/>
    <w:rsid w:val="00D416CA"/>
    <w:rsid w:val="00D422CC"/>
    <w:rsid w:val="00D42D0A"/>
    <w:rsid w:val="00D44C01"/>
    <w:rsid w:val="00D44EB7"/>
    <w:rsid w:val="00D4554E"/>
    <w:rsid w:val="00D47368"/>
    <w:rsid w:val="00D525EC"/>
    <w:rsid w:val="00D528AD"/>
    <w:rsid w:val="00D53F1D"/>
    <w:rsid w:val="00D615D8"/>
    <w:rsid w:val="00D6162B"/>
    <w:rsid w:val="00D61981"/>
    <w:rsid w:val="00D61B67"/>
    <w:rsid w:val="00D645A4"/>
    <w:rsid w:val="00D71F11"/>
    <w:rsid w:val="00D72275"/>
    <w:rsid w:val="00D73C35"/>
    <w:rsid w:val="00D74336"/>
    <w:rsid w:val="00D744D8"/>
    <w:rsid w:val="00D76AF4"/>
    <w:rsid w:val="00D80A50"/>
    <w:rsid w:val="00D8229D"/>
    <w:rsid w:val="00D8461A"/>
    <w:rsid w:val="00D864F8"/>
    <w:rsid w:val="00D90F27"/>
    <w:rsid w:val="00D9169E"/>
    <w:rsid w:val="00D92C9E"/>
    <w:rsid w:val="00D94AC6"/>
    <w:rsid w:val="00D94FA7"/>
    <w:rsid w:val="00D954A1"/>
    <w:rsid w:val="00D97FDE"/>
    <w:rsid w:val="00DA0AE3"/>
    <w:rsid w:val="00DA136A"/>
    <w:rsid w:val="00DA1B68"/>
    <w:rsid w:val="00DA4BFD"/>
    <w:rsid w:val="00DA7C4F"/>
    <w:rsid w:val="00DB452E"/>
    <w:rsid w:val="00DB4BFD"/>
    <w:rsid w:val="00DC11E9"/>
    <w:rsid w:val="00DD0DF4"/>
    <w:rsid w:val="00DD5DCB"/>
    <w:rsid w:val="00DD74CC"/>
    <w:rsid w:val="00DD7D22"/>
    <w:rsid w:val="00DE30E5"/>
    <w:rsid w:val="00DE4F05"/>
    <w:rsid w:val="00DE5B8D"/>
    <w:rsid w:val="00DE661F"/>
    <w:rsid w:val="00DE7B06"/>
    <w:rsid w:val="00DF5F5D"/>
    <w:rsid w:val="00DF7731"/>
    <w:rsid w:val="00DF77B8"/>
    <w:rsid w:val="00E02992"/>
    <w:rsid w:val="00E046A0"/>
    <w:rsid w:val="00E049C2"/>
    <w:rsid w:val="00E053D0"/>
    <w:rsid w:val="00E0556E"/>
    <w:rsid w:val="00E05824"/>
    <w:rsid w:val="00E063C9"/>
    <w:rsid w:val="00E076DE"/>
    <w:rsid w:val="00E07AE5"/>
    <w:rsid w:val="00E141A7"/>
    <w:rsid w:val="00E2739F"/>
    <w:rsid w:val="00E30A3D"/>
    <w:rsid w:val="00E3778F"/>
    <w:rsid w:val="00E42888"/>
    <w:rsid w:val="00E42FF3"/>
    <w:rsid w:val="00E4317D"/>
    <w:rsid w:val="00E44068"/>
    <w:rsid w:val="00E46181"/>
    <w:rsid w:val="00E5001D"/>
    <w:rsid w:val="00E603CA"/>
    <w:rsid w:val="00E6157B"/>
    <w:rsid w:val="00E61A9F"/>
    <w:rsid w:val="00E64FEE"/>
    <w:rsid w:val="00E6759E"/>
    <w:rsid w:val="00E679D1"/>
    <w:rsid w:val="00E704AB"/>
    <w:rsid w:val="00E76199"/>
    <w:rsid w:val="00E810DD"/>
    <w:rsid w:val="00E84EAC"/>
    <w:rsid w:val="00E85475"/>
    <w:rsid w:val="00E8717B"/>
    <w:rsid w:val="00E87CD4"/>
    <w:rsid w:val="00E90ECA"/>
    <w:rsid w:val="00EA349E"/>
    <w:rsid w:val="00EA3EE7"/>
    <w:rsid w:val="00EA4EF2"/>
    <w:rsid w:val="00EA75F5"/>
    <w:rsid w:val="00EB0932"/>
    <w:rsid w:val="00EB378D"/>
    <w:rsid w:val="00EB383B"/>
    <w:rsid w:val="00EB4B23"/>
    <w:rsid w:val="00EB55F8"/>
    <w:rsid w:val="00EC3839"/>
    <w:rsid w:val="00EC545C"/>
    <w:rsid w:val="00ED077F"/>
    <w:rsid w:val="00ED07AE"/>
    <w:rsid w:val="00ED204F"/>
    <w:rsid w:val="00ED2359"/>
    <w:rsid w:val="00ED5902"/>
    <w:rsid w:val="00ED5F36"/>
    <w:rsid w:val="00ED64D3"/>
    <w:rsid w:val="00ED7A82"/>
    <w:rsid w:val="00EE396E"/>
    <w:rsid w:val="00EE4332"/>
    <w:rsid w:val="00EE47EE"/>
    <w:rsid w:val="00EE4B42"/>
    <w:rsid w:val="00EE567F"/>
    <w:rsid w:val="00EE58A1"/>
    <w:rsid w:val="00EE65C9"/>
    <w:rsid w:val="00EE6F1F"/>
    <w:rsid w:val="00EF0669"/>
    <w:rsid w:val="00EF2069"/>
    <w:rsid w:val="00EF43F9"/>
    <w:rsid w:val="00EF566F"/>
    <w:rsid w:val="00EF7BD6"/>
    <w:rsid w:val="00F00B4A"/>
    <w:rsid w:val="00F04392"/>
    <w:rsid w:val="00F0629F"/>
    <w:rsid w:val="00F1265F"/>
    <w:rsid w:val="00F13D30"/>
    <w:rsid w:val="00F156CE"/>
    <w:rsid w:val="00F20320"/>
    <w:rsid w:val="00F24919"/>
    <w:rsid w:val="00F25810"/>
    <w:rsid w:val="00F26153"/>
    <w:rsid w:val="00F2647A"/>
    <w:rsid w:val="00F2695C"/>
    <w:rsid w:val="00F3012E"/>
    <w:rsid w:val="00F33587"/>
    <w:rsid w:val="00F34973"/>
    <w:rsid w:val="00F43DC1"/>
    <w:rsid w:val="00F50CC7"/>
    <w:rsid w:val="00F5179C"/>
    <w:rsid w:val="00F557F3"/>
    <w:rsid w:val="00F5627B"/>
    <w:rsid w:val="00F614BB"/>
    <w:rsid w:val="00F65BD8"/>
    <w:rsid w:val="00F65E12"/>
    <w:rsid w:val="00F66802"/>
    <w:rsid w:val="00F668CF"/>
    <w:rsid w:val="00F66E06"/>
    <w:rsid w:val="00F679A6"/>
    <w:rsid w:val="00F70664"/>
    <w:rsid w:val="00F70A10"/>
    <w:rsid w:val="00F70C41"/>
    <w:rsid w:val="00F73A0E"/>
    <w:rsid w:val="00F75447"/>
    <w:rsid w:val="00F7747B"/>
    <w:rsid w:val="00F8366E"/>
    <w:rsid w:val="00F83BD5"/>
    <w:rsid w:val="00F848FE"/>
    <w:rsid w:val="00F91A8C"/>
    <w:rsid w:val="00F94462"/>
    <w:rsid w:val="00F97BE1"/>
    <w:rsid w:val="00FA08A0"/>
    <w:rsid w:val="00FA130A"/>
    <w:rsid w:val="00FA4006"/>
    <w:rsid w:val="00FA4210"/>
    <w:rsid w:val="00FA7D5A"/>
    <w:rsid w:val="00FB0F90"/>
    <w:rsid w:val="00FB523E"/>
    <w:rsid w:val="00FC130B"/>
    <w:rsid w:val="00FC1EB8"/>
    <w:rsid w:val="00FC3327"/>
    <w:rsid w:val="00FC38C6"/>
    <w:rsid w:val="00FC58CE"/>
    <w:rsid w:val="00FC5A69"/>
    <w:rsid w:val="00FC5C91"/>
    <w:rsid w:val="00FC69E4"/>
    <w:rsid w:val="00FC76C3"/>
    <w:rsid w:val="00FD0FFD"/>
    <w:rsid w:val="00FD158A"/>
    <w:rsid w:val="00FD1DD3"/>
    <w:rsid w:val="00FD2843"/>
    <w:rsid w:val="00FD3D0B"/>
    <w:rsid w:val="00FD7DF5"/>
    <w:rsid w:val="00FF4939"/>
    <w:rsid w:val="00FF576A"/>
    <w:rsid w:val="00FF5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DA7E5"/>
  <w15:docId w15:val="{D332C1E5-62F8-409E-A1E2-A8135631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en-AU" w:bidi="ar-SA"/>
      </w:rPr>
    </w:rPrDefault>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1A030F"/>
    <w:rPr>
      <w:sz w:val="22"/>
      <w:szCs w:val="24"/>
      <w:lang w:val="sv-SE" w:eastAsia="en-US"/>
    </w:rPr>
  </w:style>
  <w:style w:type="paragraph" w:styleId="Heading1">
    <w:name w:val="heading 1"/>
    <w:aliases w:val="Heading 1 Alt+1,rubrik - Alt+1"/>
    <w:basedOn w:val="Normal"/>
    <w:next w:val="BodyText"/>
    <w:link w:val="Heading1Char"/>
    <w:qFormat/>
    <w:rsid w:val="00746D76"/>
    <w:pPr>
      <w:keepNext/>
      <w:numPr>
        <w:numId w:val="3"/>
      </w:numPr>
      <w:spacing w:after="180" w:line="260" w:lineRule="atLeast"/>
      <w:outlineLvl w:val="0"/>
    </w:pPr>
    <w:rPr>
      <w:rFonts w:ascii="Arial" w:hAnsi="Arial"/>
      <w:b/>
      <w:szCs w:val="20"/>
      <w:lang w:val="en-GB"/>
    </w:rPr>
  </w:style>
  <w:style w:type="paragraph" w:styleId="Heading2">
    <w:name w:val="heading 2"/>
    <w:aliases w:val="Heading 2 Alt+2,stycke - Alt+2"/>
    <w:basedOn w:val="Normal"/>
    <w:next w:val="BodyText"/>
    <w:link w:val="Heading2Char"/>
    <w:qFormat/>
    <w:rsid w:val="00746D76"/>
    <w:pPr>
      <w:keepNext/>
      <w:numPr>
        <w:ilvl w:val="1"/>
        <w:numId w:val="3"/>
      </w:numPr>
      <w:spacing w:after="180" w:line="260" w:lineRule="atLeast"/>
      <w:outlineLvl w:val="1"/>
    </w:pPr>
    <w:rPr>
      <w:rFonts w:ascii="Arial" w:hAnsi="Arial"/>
      <w:b/>
      <w:szCs w:val="20"/>
      <w:lang w:val="en-GB"/>
    </w:rPr>
  </w:style>
  <w:style w:type="paragraph" w:styleId="Heading3">
    <w:name w:val="heading 3"/>
    <w:aliases w:val="Heading 3 Alt+3,stycke - Alt+3"/>
    <w:basedOn w:val="Normal"/>
    <w:link w:val="Heading3Char"/>
    <w:qFormat/>
    <w:rsid w:val="00746D76"/>
    <w:pPr>
      <w:numPr>
        <w:ilvl w:val="2"/>
        <w:numId w:val="3"/>
      </w:numPr>
      <w:spacing w:after="180" w:line="260" w:lineRule="atLeast"/>
      <w:outlineLvl w:val="2"/>
    </w:pPr>
    <w:rPr>
      <w:szCs w:val="20"/>
      <w:lang w:val="en-GB"/>
    </w:rPr>
  </w:style>
  <w:style w:type="paragraph" w:styleId="Heading4">
    <w:name w:val="heading 4"/>
    <w:aliases w:val="Heading 4 Alt+4"/>
    <w:basedOn w:val="Normal"/>
    <w:link w:val="Heading4Char"/>
    <w:qFormat/>
    <w:rsid w:val="00746D76"/>
    <w:pPr>
      <w:numPr>
        <w:ilvl w:val="3"/>
        <w:numId w:val="3"/>
      </w:numPr>
      <w:spacing w:after="180" w:line="260" w:lineRule="atLeast"/>
      <w:outlineLvl w:val="3"/>
    </w:pPr>
    <w:rPr>
      <w:szCs w:val="20"/>
      <w:lang w:val="en-GB"/>
    </w:rPr>
  </w:style>
  <w:style w:type="paragraph" w:styleId="Heading5">
    <w:name w:val="heading 5"/>
    <w:basedOn w:val="Normal"/>
    <w:link w:val="Heading5Char"/>
    <w:qFormat/>
    <w:rsid w:val="00746D76"/>
    <w:pPr>
      <w:numPr>
        <w:ilvl w:val="4"/>
        <w:numId w:val="3"/>
      </w:numPr>
      <w:spacing w:after="180" w:line="260" w:lineRule="atLeast"/>
      <w:outlineLvl w:val="4"/>
    </w:pPr>
    <w:rPr>
      <w:szCs w:val="20"/>
      <w:lang w:val="en-GB"/>
    </w:rPr>
  </w:style>
  <w:style w:type="paragraph" w:styleId="Heading6">
    <w:name w:val="heading 6"/>
    <w:basedOn w:val="Normal"/>
    <w:link w:val="Heading6Char"/>
    <w:qFormat/>
    <w:rsid w:val="00746D76"/>
    <w:pPr>
      <w:numPr>
        <w:ilvl w:val="5"/>
        <w:numId w:val="3"/>
      </w:numPr>
      <w:spacing w:after="180" w:line="260" w:lineRule="atLeast"/>
      <w:outlineLvl w:val="5"/>
    </w:pPr>
    <w:rPr>
      <w:szCs w:val="20"/>
      <w:lang w:val="en-GB"/>
    </w:rPr>
  </w:style>
  <w:style w:type="paragraph" w:styleId="Heading7">
    <w:name w:val="heading 7"/>
    <w:basedOn w:val="Normal"/>
    <w:next w:val="Normal"/>
    <w:link w:val="Heading7Char"/>
    <w:qFormat/>
    <w:rsid w:val="000F5A53"/>
    <w:pPr>
      <w:keepNext/>
      <w:tabs>
        <w:tab w:val="left" w:pos="2835"/>
        <w:tab w:val="left" w:pos="4536"/>
        <w:tab w:val="left" w:pos="6379"/>
      </w:tabs>
      <w:outlineLvl w:val="6"/>
    </w:pPr>
    <w:rPr>
      <w:u w:val="single"/>
      <w:lang w:val="en-GB"/>
    </w:rPr>
  </w:style>
  <w:style w:type="paragraph" w:styleId="Heading8">
    <w:name w:val="heading 8"/>
    <w:basedOn w:val="Normal"/>
    <w:next w:val="Normal"/>
    <w:link w:val="Heading8Char"/>
    <w:uiPriority w:val="98"/>
    <w:qFormat/>
    <w:rsid w:val="000F5A53"/>
    <w:pPr>
      <w:spacing w:after="240"/>
      <w:outlineLvl w:val="7"/>
    </w:pPr>
    <w:rPr>
      <w:rFonts w:eastAsia="Times New Roman"/>
      <w:sz w:val="24"/>
      <w:lang w:val="en-GB"/>
    </w:rPr>
  </w:style>
  <w:style w:type="paragraph" w:styleId="Heading9">
    <w:name w:val="heading 9"/>
    <w:basedOn w:val="Normal"/>
    <w:next w:val="Normal"/>
    <w:link w:val="Heading9Char"/>
    <w:uiPriority w:val="98"/>
    <w:qFormat/>
    <w:rsid w:val="000F5A53"/>
    <w:pPr>
      <w:spacing w:after="240"/>
      <w:outlineLvl w:val="8"/>
    </w:pPr>
    <w:rPr>
      <w:rFonts w:eastAsia="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746D76"/>
    <w:pPr>
      <w:spacing w:after="200" w:line="200" w:lineRule="atLeast"/>
    </w:pPr>
    <w:rPr>
      <w:rFonts w:ascii="Arial" w:hAnsi="Arial"/>
      <w:noProof/>
      <w:sz w:val="16"/>
      <w:szCs w:val="24"/>
      <w:lang w:eastAsia="en-US"/>
    </w:rPr>
  </w:style>
  <w:style w:type="paragraph" w:customStyle="1" w:styleId="BMKCities">
    <w:name w:val="BMK Cities"/>
    <w:semiHidden/>
    <w:rsid w:val="00746D76"/>
    <w:pPr>
      <w:spacing w:before="30"/>
    </w:pPr>
    <w:rPr>
      <w:rFonts w:ascii="Arial" w:hAnsi="Arial"/>
      <w:noProof/>
      <w:spacing w:val="2"/>
      <w:sz w:val="11"/>
      <w:szCs w:val="11"/>
      <w:lang w:eastAsia="en-US"/>
    </w:rPr>
  </w:style>
  <w:style w:type="paragraph" w:customStyle="1" w:styleId="BMKDeliveryPhrase">
    <w:name w:val="BMK Delivery Phrase"/>
    <w:basedOn w:val="BMKAddressInfo"/>
    <w:semiHidden/>
    <w:rsid w:val="00746D76"/>
    <w:pPr>
      <w:framePr w:w="2943" w:h="1734" w:hRule="exact" w:wrap="around" w:vAnchor="text" w:hAnchor="page" w:x="8533" w:y="208"/>
      <w:ind w:left="57"/>
    </w:pPr>
    <w:rPr>
      <w:b/>
    </w:rPr>
  </w:style>
  <w:style w:type="paragraph" w:customStyle="1" w:styleId="BMKLegalNoticePhrase">
    <w:name w:val="BMK Legal Notice Phrase"/>
    <w:basedOn w:val="Normal"/>
    <w:semiHidden/>
    <w:rsid w:val="00746D76"/>
    <w:pPr>
      <w:spacing w:before="260" w:after="180" w:line="260" w:lineRule="atLeast"/>
    </w:pPr>
    <w:rPr>
      <w:rFonts w:ascii="Arial" w:hAnsi="Arial" w:cs="Arial"/>
      <w:b/>
      <w:caps/>
      <w:szCs w:val="22"/>
      <w:lang w:val="en-GB"/>
    </w:rPr>
  </w:style>
  <w:style w:type="paragraph" w:customStyle="1" w:styleId="BMKMemberFirmName">
    <w:name w:val="BMK Member Firm Name"/>
    <w:basedOn w:val="BMKAddressInfo"/>
    <w:next w:val="BMKAddressInfo"/>
    <w:link w:val="BMKMemberFirmNameChar"/>
    <w:semiHidden/>
    <w:rsid w:val="00746D76"/>
    <w:pPr>
      <w:spacing w:after="0"/>
    </w:pPr>
    <w:rPr>
      <w:b/>
    </w:rPr>
  </w:style>
  <w:style w:type="paragraph" w:customStyle="1" w:styleId="BMKRegions">
    <w:name w:val="BMK Regions"/>
    <w:basedOn w:val="BMKCities"/>
    <w:next w:val="BMKCities"/>
    <w:semiHidden/>
    <w:rsid w:val="00746D76"/>
    <w:pPr>
      <w:spacing w:before="0"/>
    </w:pPr>
    <w:rPr>
      <w:rFonts w:ascii="Arial Black" w:hAnsi="Arial Black"/>
      <w:szCs w:val="24"/>
    </w:rPr>
  </w:style>
  <w:style w:type="paragraph" w:customStyle="1" w:styleId="BMKMultiOffice">
    <w:name w:val="BMK Multi Office"/>
    <w:basedOn w:val="BMKRegions"/>
    <w:next w:val="Normal"/>
    <w:semiHidden/>
    <w:rsid w:val="00746D76"/>
  </w:style>
  <w:style w:type="paragraph" w:customStyle="1" w:styleId="BMKMultiOfficeAddress">
    <w:name w:val="BMK Multi Office Address"/>
    <w:basedOn w:val="BMKCities"/>
    <w:semiHidden/>
    <w:rsid w:val="00746D76"/>
  </w:style>
  <w:style w:type="paragraph" w:customStyle="1" w:styleId="BMKPartnerList">
    <w:name w:val="BMK Partner List"/>
    <w:basedOn w:val="BMKCities"/>
    <w:semiHidden/>
    <w:rsid w:val="00746D76"/>
    <w:pPr>
      <w:adjustRightInd w:val="0"/>
      <w:snapToGrid w:val="0"/>
      <w:spacing w:before="0" w:after="20"/>
    </w:pPr>
    <w:rPr>
      <w:rFonts w:cs="Arial"/>
      <w:caps/>
      <w:spacing w:val="0"/>
      <w:sz w:val="9"/>
      <w:szCs w:val="12"/>
    </w:rPr>
  </w:style>
  <w:style w:type="paragraph" w:customStyle="1" w:styleId="BMKQualifier">
    <w:name w:val="BMK Qualifier"/>
    <w:semiHidden/>
    <w:rsid w:val="00746D76"/>
    <w:pPr>
      <w:spacing w:line="170" w:lineRule="atLeast"/>
    </w:pPr>
    <w:rPr>
      <w:rFonts w:ascii="Arial" w:hAnsi="Arial"/>
      <w:caps/>
      <w:noProof/>
      <w:sz w:val="13"/>
      <w:szCs w:val="13"/>
      <w:lang w:eastAsia="en-US"/>
    </w:rPr>
  </w:style>
  <w:style w:type="paragraph" w:customStyle="1" w:styleId="BMKRefInfo">
    <w:name w:val="BMK Ref Info"/>
    <w:basedOn w:val="BMKAddressInfo"/>
    <w:semiHidden/>
    <w:rsid w:val="00746D76"/>
    <w:pPr>
      <w:framePr w:w="2943" w:h="1734" w:hRule="exact" w:wrap="around" w:vAnchor="text" w:hAnchor="page" w:x="8533" w:y="208"/>
      <w:ind w:left="57"/>
    </w:pPr>
  </w:style>
  <w:style w:type="paragraph" w:customStyle="1" w:styleId="BMKRecipient1">
    <w:name w:val="BMK Recipient1"/>
    <w:basedOn w:val="Normal"/>
    <w:semiHidden/>
    <w:rsid w:val="00746D76"/>
    <w:pPr>
      <w:spacing w:line="260" w:lineRule="atLeast"/>
    </w:pPr>
    <w:rPr>
      <w:lang w:val="en-GB"/>
    </w:rPr>
  </w:style>
  <w:style w:type="paragraph" w:styleId="Footer">
    <w:name w:val="footer"/>
    <w:aliases w:val="B&amp;B Footer"/>
    <w:basedOn w:val="Normal"/>
    <w:link w:val="FooterChar"/>
    <w:rsid w:val="00746D76"/>
    <w:pPr>
      <w:tabs>
        <w:tab w:val="right" w:pos="9350"/>
      </w:tabs>
      <w:spacing w:line="200" w:lineRule="atLeast"/>
    </w:pPr>
    <w:rPr>
      <w:rFonts w:ascii="Arial" w:hAnsi="Arial"/>
      <w:noProof/>
      <w:sz w:val="16"/>
      <w:lang w:val="en-GB"/>
    </w:rPr>
  </w:style>
  <w:style w:type="character" w:styleId="FootnoteReference">
    <w:name w:val="footnote reference"/>
    <w:uiPriority w:val="6"/>
    <w:rsid w:val="00746D76"/>
    <w:rPr>
      <w:vertAlign w:val="superscript"/>
    </w:rPr>
  </w:style>
  <w:style w:type="paragraph" w:styleId="Header">
    <w:name w:val="header"/>
    <w:aliases w:val="B&amp;B Header"/>
    <w:basedOn w:val="Normal"/>
    <w:link w:val="HeaderChar"/>
    <w:rsid w:val="00746D76"/>
    <w:rPr>
      <w:lang w:val="en-GB"/>
    </w:rPr>
  </w:style>
  <w:style w:type="paragraph" w:styleId="ListNumber">
    <w:name w:val="List Number"/>
    <w:basedOn w:val="Normal"/>
    <w:uiPriority w:val="7"/>
    <w:qFormat/>
    <w:rsid w:val="00746D76"/>
    <w:pPr>
      <w:numPr>
        <w:numId w:val="4"/>
      </w:numPr>
      <w:spacing w:after="180" w:line="260" w:lineRule="atLeast"/>
    </w:pPr>
    <w:rPr>
      <w:lang w:val="en-GB"/>
    </w:rPr>
  </w:style>
  <w:style w:type="paragraph" w:styleId="FootnoteText">
    <w:name w:val="footnote text"/>
    <w:basedOn w:val="Normal"/>
    <w:link w:val="FootnoteTextChar"/>
    <w:uiPriority w:val="6"/>
    <w:rsid w:val="00746D76"/>
    <w:rPr>
      <w:sz w:val="18"/>
      <w:szCs w:val="20"/>
      <w:lang w:val="en-GB"/>
    </w:rPr>
  </w:style>
  <w:style w:type="paragraph" w:customStyle="1" w:styleId="Bullet1">
    <w:name w:val="Bullet 1"/>
    <w:basedOn w:val="Normal"/>
    <w:uiPriority w:val="8"/>
    <w:qFormat/>
    <w:rsid w:val="00746D76"/>
    <w:pPr>
      <w:numPr>
        <w:numId w:val="1"/>
      </w:numPr>
      <w:spacing w:after="180" w:line="260" w:lineRule="atLeast"/>
    </w:pPr>
    <w:rPr>
      <w:lang w:val="en-GB"/>
    </w:rPr>
  </w:style>
  <w:style w:type="paragraph" w:customStyle="1" w:styleId="BMKSubject">
    <w:name w:val="BMK Subject"/>
    <w:basedOn w:val="Normal"/>
    <w:semiHidden/>
    <w:rsid w:val="00746D76"/>
    <w:pPr>
      <w:spacing w:line="260" w:lineRule="atLeast"/>
    </w:pPr>
    <w:rPr>
      <w:rFonts w:ascii="Arial" w:hAnsi="Arial" w:cs="Arial"/>
      <w:b/>
      <w:bCs/>
      <w:lang w:val="en-GB"/>
    </w:rPr>
  </w:style>
  <w:style w:type="character" w:customStyle="1" w:styleId="BMKAddressInfoChar">
    <w:name w:val="BMK Address Info Char"/>
    <w:link w:val="BMKAddressInfo"/>
    <w:semiHidden/>
    <w:rsid w:val="00746D76"/>
    <w:rPr>
      <w:rFonts w:ascii="Arial" w:hAnsi="Arial"/>
      <w:noProof/>
      <w:sz w:val="16"/>
      <w:szCs w:val="24"/>
      <w:lang w:eastAsia="en-US"/>
    </w:rPr>
  </w:style>
  <w:style w:type="paragraph" w:customStyle="1" w:styleId="BMKPrivacyText">
    <w:name w:val="BMK Privacy Text"/>
    <w:basedOn w:val="Footer"/>
    <w:link w:val="BMKPrivacyTextChar"/>
    <w:semiHidden/>
    <w:rsid w:val="00746D76"/>
  </w:style>
  <w:style w:type="paragraph" w:customStyle="1" w:styleId="OtherContact">
    <w:name w:val="OtherContact"/>
    <w:basedOn w:val="Normal"/>
    <w:semiHidden/>
    <w:rsid w:val="00746D76"/>
    <w:rPr>
      <w:rFonts w:ascii="Arial" w:hAnsi="Arial" w:cs="Arial"/>
      <w:sz w:val="16"/>
      <w:lang w:val="en-GB"/>
    </w:rPr>
  </w:style>
  <w:style w:type="paragraph" w:customStyle="1" w:styleId="Bullet2">
    <w:name w:val="Bullet 2"/>
    <w:basedOn w:val="Normal"/>
    <w:uiPriority w:val="8"/>
    <w:qFormat/>
    <w:rsid w:val="00746D76"/>
    <w:pPr>
      <w:numPr>
        <w:numId w:val="2"/>
      </w:numPr>
      <w:spacing w:line="260" w:lineRule="atLeast"/>
    </w:pPr>
    <w:rPr>
      <w:lang w:val="en-GB"/>
    </w:rPr>
  </w:style>
  <w:style w:type="character" w:customStyle="1" w:styleId="Definition">
    <w:name w:val="Definition"/>
    <w:basedOn w:val="DefaultParagraphFont"/>
    <w:uiPriority w:val="3"/>
    <w:rsid w:val="00746D76"/>
    <w:rPr>
      <w:b/>
      <w:i/>
      <w:sz w:val="22"/>
    </w:rPr>
  </w:style>
  <w:style w:type="character" w:styleId="PageNumber">
    <w:name w:val="page number"/>
    <w:basedOn w:val="DefaultParagraphFont"/>
    <w:rsid w:val="00746D76"/>
  </w:style>
  <w:style w:type="paragraph" w:customStyle="1" w:styleId="LetterDetail">
    <w:name w:val="LetterDetail"/>
    <w:basedOn w:val="Normal"/>
    <w:semiHidden/>
    <w:rsid w:val="00746D76"/>
    <w:pPr>
      <w:spacing w:line="260" w:lineRule="atLeast"/>
    </w:pPr>
    <w:rPr>
      <w:lang w:val="en-GB"/>
    </w:rPr>
  </w:style>
  <w:style w:type="paragraph" w:customStyle="1" w:styleId="BMKLetterCaption">
    <w:name w:val="BMK LetterCaption"/>
    <w:basedOn w:val="BMKLegalNoticePhrase"/>
    <w:next w:val="NormalSingle"/>
    <w:semiHidden/>
    <w:rsid w:val="00746D76"/>
    <w:pPr>
      <w:spacing w:before="0"/>
    </w:pPr>
  </w:style>
  <w:style w:type="paragraph" w:customStyle="1" w:styleId="BMKco-brand">
    <w:name w:val="BMK co-brand"/>
    <w:semiHidden/>
    <w:rsid w:val="00746D76"/>
    <w:pPr>
      <w:spacing w:line="170" w:lineRule="atLeast"/>
    </w:pPr>
    <w:rPr>
      <w:rFonts w:ascii="Arial" w:eastAsia="Times New Roman" w:hAnsi="Arial"/>
      <w:caps/>
      <w:sz w:val="13"/>
      <w:lang w:val="en-US" w:eastAsia="en-US"/>
    </w:rPr>
  </w:style>
  <w:style w:type="character" w:customStyle="1" w:styleId="Highlight">
    <w:name w:val="Highlight"/>
    <w:semiHidden/>
    <w:rsid w:val="00746D76"/>
    <w:rPr>
      <w:rFonts w:ascii="Arial" w:hAnsi="Arial"/>
      <w:b/>
    </w:rPr>
  </w:style>
  <w:style w:type="paragraph" w:customStyle="1" w:styleId="TableText">
    <w:name w:val="Table Text"/>
    <w:basedOn w:val="Normal"/>
    <w:link w:val="TableTextChar"/>
    <w:uiPriority w:val="6"/>
    <w:rsid w:val="00746D76"/>
    <w:pPr>
      <w:tabs>
        <w:tab w:val="right" w:pos="9072"/>
      </w:tabs>
      <w:spacing w:after="180" w:line="260" w:lineRule="atLeast"/>
    </w:pPr>
    <w:rPr>
      <w:lang w:val="en-GB"/>
    </w:rPr>
  </w:style>
  <w:style w:type="paragraph" w:customStyle="1" w:styleId="TableHeading">
    <w:name w:val="Table Heading"/>
    <w:basedOn w:val="Normal"/>
    <w:link w:val="TableHeadingChar"/>
    <w:uiPriority w:val="8"/>
    <w:rsid w:val="00746D76"/>
    <w:pPr>
      <w:tabs>
        <w:tab w:val="right" w:pos="9072"/>
      </w:tabs>
      <w:spacing w:after="180" w:line="260" w:lineRule="atLeast"/>
    </w:pPr>
    <w:rPr>
      <w:rFonts w:ascii="Arial" w:hAnsi="Arial"/>
      <w:b/>
      <w:sz w:val="20"/>
      <w:lang w:val="en-GB"/>
    </w:rPr>
  </w:style>
  <w:style w:type="paragraph" w:styleId="ListNumber2">
    <w:name w:val="List Number 2"/>
    <w:basedOn w:val="Normal"/>
    <w:uiPriority w:val="7"/>
    <w:qFormat/>
    <w:rsid w:val="00746D76"/>
    <w:pPr>
      <w:numPr>
        <w:ilvl w:val="1"/>
        <w:numId w:val="4"/>
      </w:numPr>
      <w:spacing w:after="180" w:line="260" w:lineRule="atLeast"/>
    </w:pPr>
    <w:rPr>
      <w:lang w:val="en-GB"/>
    </w:rPr>
  </w:style>
  <w:style w:type="paragraph" w:styleId="ListNumber3">
    <w:name w:val="List Number 3"/>
    <w:basedOn w:val="Normal"/>
    <w:uiPriority w:val="7"/>
    <w:qFormat/>
    <w:rsid w:val="00746D76"/>
    <w:pPr>
      <w:numPr>
        <w:ilvl w:val="2"/>
        <w:numId w:val="4"/>
      </w:numPr>
      <w:spacing w:after="180" w:line="260" w:lineRule="atLeast"/>
    </w:pPr>
    <w:rPr>
      <w:lang w:val="en-GB"/>
    </w:rPr>
  </w:style>
  <w:style w:type="paragraph" w:styleId="ListNumber4">
    <w:name w:val="List Number 4"/>
    <w:basedOn w:val="Normal"/>
    <w:uiPriority w:val="7"/>
    <w:qFormat/>
    <w:rsid w:val="00746D76"/>
    <w:pPr>
      <w:numPr>
        <w:ilvl w:val="3"/>
        <w:numId w:val="4"/>
      </w:numPr>
      <w:spacing w:after="180" w:line="260" w:lineRule="atLeast"/>
    </w:pPr>
    <w:rPr>
      <w:lang w:val="en-GB"/>
    </w:rPr>
  </w:style>
  <w:style w:type="paragraph" w:styleId="BodyText">
    <w:name w:val="Body Text"/>
    <w:aliases w:val="B&amp;B Body Text"/>
    <w:basedOn w:val="Normal"/>
    <w:link w:val="BodyTextChar"/>
    <w:qFormat/>
    <w:rsid w:val="00746D76"/>
    <w:pPr>
      <w:spacing w:after="180" w:line="260" w:lineRule="atLeast"/>
    </w:pPr>
    <w:rPr>
      <w:lang w:val="en-GB"/>
    </w:rPr>
  </w:style>
  <w:style w:type="paragraph" w:customStyle="1" w:styleId="NormalSingle">
    <w:name w:val="Normal Single"/>
    <w:basedOn w:val="Normal"/>
    <w:uiPriority w:val="6"/>
    <w:semiHidden/>
    <w:rsid w:val="00746D76"/>
    <w:pPr>
      <w:spacing w:line="0" w:lineRule="atLeast"/>
    </w:pPr>
    <w:rPr>
      <w:rFonts w:eastAsia="Times New Roman"/>
      <w:lang w:val="en-GB"/>
    </w:rPr>
  </w:style>
  <w:style w:type="character" w:styleId="Emphasis">
    <w:name w:val="Emphasis"/>
    <w:qFormat/>
    <w:rsid w:val="00746D76"/>
    <w:rPr>
      <w:i/>
      <w:iCs/>
    </w:rPr>
  </w:style>
  <w:style w:type="character" w:customStyle="1" w:styleId="BMKMemberFirmNameChar">
    <w:name w:val="BMK Member Firm Name Char"/>
    <w:link w:val="BMKMemberFirmName"/>
    <w:semiHidden/>
    <w:rsid w:val="00746D76"/>
    <w:rPr>
      <w:rFonts w:ascii="Arial" w:hAnsi="Arial"/>
      <w:b/>
      <w:noProof/>
      <w:sz w:val="16"/>
      <w:szCs w:val="24"/>
      <w:lang w:eastAsia="en-US"/>
    </w:rPr>
  </w:style>
  <w:style w:type="paragraph" w:customStyle="1" w:styleId="BMKAddressInfoHK">
    <w:name w:val="BMK Address Info HK"/>
    <w:semiHidden/>
    <w:rsid w:val="00746D76"/>
    <w:pPr>
      <w:spacing w:after="200" w:line="200" w:lineRule="atLeast"/>
    </w:pPr>
    <w:rPr>
      <w:rFonts w:ascii="Arial" w:hAnsi="Arial"/>
      <w:noProof/>
      <w:sz w:val="16"/>
      <w:szCs w:val="32"/>
      <w:lang w:val="en-US"/>
    </w:rPr>
  </w:style>
  <w:style w:type="paragraph" w:customStyle="1" w:styleId="BMKDocumentNameHK">
    <w:name w:val="BMK Document Name HK"/>
    <w:basedOn w:val="BMKAddressInfoHK"/>
    <w:next w:val="BMKMemberFirmName"/>
    <w:semiHidden/>
    <w:rsid w:val="00746D76"/>
    <w:rPr>
      <w:rFonts w:ascii="Arial Black" w:hAnsi="Arial Black"/>
      <w:sz w:val="18"/>
    </w:rPr>
  </w:style>
  <w:style w:type="paragraph" w:customStyle="1" w:styleId="BMKPartnerListHK">
    <w:name w:val="BMKPartnerListHK"/>
    <w:basedOn w:val="Normal"/>
    <w:semiHidden/>
    <w:rsid w:val="00746D76"/>
    <w:pPr>
      <w:spacing w:before="20"/>
    </w:pPr>
    <w:rPr>
      <w:rFonts w:ascii="Arial" w:hAnsi="Arial"/>
      <w:caps/>
      <w:noProof/>
      <w:sz w:val="9"/>
      <w:szCs w:val="9"/>
      <w:lang w:val="en-GB"/>
    </w:rPr>
  </w:style>
  <w:style w:type="character" w:customStyle="1" w:styleId="FooterChar">
    <w:name w:val="Footer Char"/>
    <w:aliases w:val="B&amp;B Footer Char"/>
    <w:link w:val="Footer"/>
    <w:rsid w:val="00746D76"/>
    <w:rPr>
      <w:rFonts w:ascii="Arial" w:hAnsi="Arial"/>
      <w:noProof/>
      <w:sz w:val="16"/>
      <w:szCs w:val="24"/>
      <w:lang w:eastAsia="en-US"/>
    </w:rPr>
  </w:style>
  <w:style w:type="paragraph" w:customStyle="1" w:styleId="BMKDocumentName">
    <w:name w:val="BMK Document Name"/>
    <w:basedOn w:val="Normal"/>
    <w:next w:val="Normal"/>
    <w:semiHidden/>
    <w:rsid w:val="00746D76"/>
    <w:pPr>
      <w:tabs>
        <w:tab w:val="left" w:pos="2761"/>
        <w:tab w:val="left" w:pos="3470"/>
        <w:tab w:val="left" w:pos="4179"/>
        <w:tab w:val="left" w:pos="4888"/>
        <w:tab w:val="right" w:pos="9849"/>
      </w:tabs>
      <w:spacing w:after="200" w:line="200" w:lineRule="atLeast"/>
    </w:pPr>
    <w:rPr>
      <w:rFonts w:ascii="Arial Black" w:hAnsi="Arial Black"/>
      <w:noProof/>
      <w:sz w:val="18"/>
      <w:lang w:val="en-GB"/>
    </w:rPr>
  </w:style>
  <w:style w:type="paragraph" w:customStyle="1" w:styleId="BMKHeaderLogoSHI">
    <w:name w:val="BMKHeaderLogoSHI"/>
    <w:semiHidden/>
    <w:rsid w:val="00746D76"/>
    <w:pPr>
      <w:tabs>
        <w:tab w:val="left" w:pos="709"/>
        <w:tab w:val="left" w:pos="1418"/>
        <w:tab w:val="left" w:pos="2126"/>
        <w:tab w:val="left" w:pos="2835"/>
        <w:tab w:val="right" w:pos="7876"/>
      </w:tabs>
      <w:spacing w:after="140" w:line="260" w:lineRule="atLeast"/>
    </w:pPr>
    <w:rPr>
      <w:sz w:val="22"/>
      <w:szCs w:val="24"/>
      <w:lang w:eastAsia="en-US"/>
    </w:rPr>
  </w:style>
  <w:style w:type="paragraph" w:customStyle="1" w:styleId="BMKPrivacyTitle">
    <w:name w:val="BMK Privacy Title"/>
    <w:basedOn w:val="Normal"/>
    <w:semiHidden/>
    <w:rsid w:val="00746D76"/>
    <w:pPr>
      <w:spacing w:before="260" w:after="140" w:line="240" w:lineRule="atLeast"/>
    </w:pPr>
    <w:rPr>
      <w:rFonts w:ascii="Arial Black" w:hAnsi="Arial Black"/>
      <w:sz w:val="18"/>
      <w:lang w:val="en-GB"/>
    </w:rPr>
  </w:style>
  <w:style w:type="character" w:customStyle="1" w:styleId="BMKPrivacyTextChar">
    <w:name w:val="BMK Privacy Text Char"/>
    <w:link w:val="BMKPrivacyText"/>
    <w:semiHidden/>
    <w:rsid w:val="00746D76"/>
    <w:rPr>
      <w:rFonts w:ascii="Arial" w:hAnsi="Arial"/>
      <w:noProof/>
      <w:sz w:val="16"/>
      <w:szCs w:val="24"/>
      <w:lang w:eastAsia="en-US"/>
    </w:rPr>
  </w:style>
  <w:style w:type="paragraph" w:styleId="BodyTextFirstIndent">
    <w:name w:val="Body Text First Indent"/>
    <w:basedOn w:val="BodyText"/>
    <w:link w:val="BodyTextFirstIndentChar"/>
    <w:uiPriority w:val="6"/>
    <w:rsid w:val="00746D76"/>
    <w:pPr>
      <w:spacing w:after="120" w:line="240" w:lineRule="auto"/>
      <w:ind w:firstLine="210"/>
    </w:pPr>
  </w:style>
  <w:style w:type="paragraph" w:customStyle="1" w:styleId="FooterIndent">
    <w:name w:val="Footer Indent"/>
    <w:basedOn w:val="Footer"/>
    <w:semiHidden/>
    <w:rsid w:val="00746D76"/>
    <w:pPr>
      <w:ind w:left="1208"/>
    </w:pPr>
  </w:style>
  <w:style w:type="paragraph" w:customStyle="1" w:styleId="BMKCitiesSpace">
    <w:name w:val="BMK Cities Space"/>
    <w:basedOn w:val="BMKCities"/>
    <w:semiHidden/>
    <w:rsid w:val="00746D76"/>
    <w:pPr>
      <w:spacing w:before="0"/>
    </w:pPr>
  </w:style>
  <w:style w:type="character" w:styleId="Hyperlink">
    <w:name w:val="Hyperlink"/>
    <w:uiPriority w:val="6"/>
    <w:rsid w:val="00746D76"/>
    <w:rPr>
      <w:color w:val="0000FF"/>
      <w:u w:val="single"/>
    </w:rPr>
  </w:style>
  <w:style w:type="paragraph" w:customStyle="1" w:styleId="BMKSalutation">
    <w:name w:val="BMK Salutation"/>
    <w:basedOn w:val="Normal"/>
    <w:semiHidden/>
    <w:rsid w:val="00746D76"/>
    <w:pPr>
      <w:spacing w:line="260" w:lineRule="atLeast"/>
    </w:pPr>
    <w:rPr>
      <w:lang w:val="en-GB"/>
    </w:rPr>
  </w:style>
  <w:style w:type="paragraph" w:customStyle="1" w:styleId="BMKDate">
    <w:name w:val="BMKDate"/>
    <w:basedOn w:val="Normal"/>
    <w:semiHidden/>
    <w:rsid w:val="00746D76"/>
    <w:pPr>
      <w:spacing w:line="260" w:lineRule="atLeast"/>
    </w:pPr>
    <w:rPr>
      <w:lang w:val="en-GB"/>
    </w:rPr>
  </w:style>
  <w:style w:type="paragraph" w:customStyle="1" w:styleId="BMKAddress1">
    <w:name w:val="BMK Address1"/>
    <w:basedOn w:val="Normal"/>
    <w:semiHidden/>
    <w:rsid w:val="00746D76"/>
    <w:pPr>
      <w:spacing w:line="260" w:lineRule="atLeast"/>
    </w:pPr>
    <w:rPr>
      <w:lang w:val="en-GB"/>
    </w:rPr>
  </w:style>
  <w:style w:type="paragraph" w:customStyle="1" w:styleId="BMKAttention">
    <w:name w:val="BMK Attention"/>
    <w:basedOn w:val="Normal"/>
    <w:semiHidden/>
    <w:rsid w:val="00746D76"/>
    <w:pPr>
      <w:spacing w:line="260" w:lineRule="atLeast"/>
    </w:pPr>
    <w:rPr>
      <w:lang w:val="en-GB"/>
    </w:rPr>
  </w:style>
  <w:style w:type="paragraph" w:customStyle="1" w:styleId="BMKSubtitle">
    <w:name w:val="BMK Subtitle"/>
    <w:basedOn w:val="Normal"/>
    <w:next w:val="BodyText"/>
    <w:semiHidden/>
    <w:rsid w:val="00746D76"/>
    <w:pPr>
      <w:spacing w:after="180" w:line="260" w:lineRule="atLeast"/>
    </w:pPr>
    <w:rPr>
      <w:rFonts w:ascii="Arial" w:eastAsia="Times New Roman" w:hAnsi="Arial"/>
      <w:sz w:val="32"/>
      <w:lang w:val="en-GB"/>
    </w:rPr>
  </w:style>
  <w:style w:type="paragraph" w:customStyle="1" w:styleId="BMKTitle">
    <w:name w:val="BMK Title"/>
    <w:basedOn w:val="Normal"/>
    <w:next w:val="BodyText"/>
    <w:semiHidden/>
    <w:rsid w:val="00746D76"/>
    <w:pPr>
      <w:spacing w:after="180" w:line="260" w:lineRule="atLeast"/>
    </w:pPr>
    <w:rPr>
      <w:rFonts w:ascii="Arial" w:eastAsia="Times New Roman" w:hAnsi="Arial"/>
      <w:sz w:val="48"/>
      <w:lang w:val="en-GB"/>
    </w:rPr>
  </w:style>
  <w:style w:type="character" w:styleId="BookTitle">
    <w:name w:val="Book Title"/>
    <w:basedOn w:val="DefaultParagraphFont"/>
    <w:uiPriority w:val="33"/>
    <w:rsid w:val="00746D76"/>
    <w:rPr>
      <w:b/>
      <w:bCs/>
      <w:smallCaps/>
      <w:spacing w:val="5"/>
    </w:rPr>
  </w:style>
  <w:style w:type="character" w:styleId="Strong">
    <w:name w:val="Strong"/>
    <w:basedOn w:val="DefaultParagraphFont"/>
    <w:qFormat/>
    <w:rsid w:val="00746D76"/>
    <w:rPr>
      <w:b/>
      <w:bCs/>
    </w:rPr>
  </w:style>
  <w:style w:type="character" w:styleId="SubtleEmphasis">
    <w:name w:val="Subtle Emphasis"/>
    <w:basedOn w:val="DefaultParagraphFont"/>
    <w:uiPriority w:val="19"/>
    <w:qFormat/>
    <w:rsid w:val="00746D76"/>
    <w:rPr>
      <w:i/>
      <w:iCs/>
      <w:color w:val="9E9FA2" w:themeColor="text1" w:themeTint="7F"/>
    </w:rPr>
  </w:style>
  <w:style w:type="character" w:styleId="SubtleReference">
    <w:name w:val="Subtle Reference"/>
    <w:basedOn w:val="DefaultParagraphFont"/>
    <w:uiPriority w:val="31"/>
    <w:qFormat/>
    <w:rsid w:val="00746D76"/>
    <w:rPr>
      <w:smallCaps/>
      <w:color w:val="EBB700" w:themeColor="accent2"/>
      <w:u w:val="single"/>
    </w:rPr>
  </w:style>
  <w:style w:type="paragraph" w:styleId="NoSpacing">
    <w:name w:val="No Spacing"/>
    <w:uiPriority w:val="6"/>
    <w:qFormat/>
    <w:rsid w:val="00746D76"/>
    <w:pPr>
      <w:tabs>
        <w:tab w:val="left" w:pos="709"/>
        <w:tab w:val="left" w:pos="1418"/>
        <w:tab w:val="left" w:pos="2126"/>
        <w:tab w:val="left" w:pos="2835"/>
        <w:tab w:val="right" w:pos="7876"/>
      </w:tabs>
    </w:pPr>
    <w:rPr>
      <w:sz w:val="22"/>
      <w:szCs w:val="24"/>
      <w:lang w:val="en-US" w:eastAsia="en-US"/>
    </w:rPr>
  </w:style>
  <w:style w:type="character" w:styleId="IntenseEmphasis">
    <w:name w:val="Intense Emphasis"/>
    <w:basedOn w:val="DefaultParagraphFont"/>
    <w:uiPriority w:val="21"/>
    <w:qFormat/>
    <w:rsid w:val="00746D76"/>
    <w:rPr>
      <w:b/>
      <w:bCs/>
      <w:i/>
      <w:iCs/>
      <w:color w:val="A71930" w:themeColor="accent1"/>
    </w:rPr>
  </w:style>
  <w:style w:type="paragraph" w:styleId="IntenseQuote">
    <w:name w:val="Intense Quote"/>
    <w:basedOn w:val="Normal"/>
    <w:next w:val="Normal"/>
    <w:link w:val="IntenseQuoteChar"/>
    <w:uiPriority w:val="30"/>
    <w:qFormat/>
    <w:rsid w:val="00746D76"/>
    <w:pPr>
      <w:pBdr>
        <w:bottom w:val="single" w:sz="4" w:space="4" w:color="A71930" w:themeColor="accent1"/>
      </w:pBdr>
      <w:spacing w:before="200" w:after="280"/>
      <w:ind w:left="936" w:right="936"/>
    </w:pPr>
    <w:rPr>
      <w:b/>
      <w:bCs/>
      <w:i/>
      <w:iCs/>
      <w:color w:val="A71930" w:themeColor="accent1"/>
      <w:lang w:val="en-GB"/>
    </w:rPr>
  </w:style>
  <w:style w:type="character" w:customStyle="1" w:styleId="IntenseQuoteChar">
    <w:name w:val="Intense Quote Char"/>
    <w:basedOn w:val="DefaultParagraphFont"/>
    <w:link w:val="IntenseQuote"/>
    <w:uiPriority w:val="30"/>
    <w:rsid w:val="00746D76"/>
    <w:rPr>
      <w:b/>
      <w:bCs/>
      <w:i/>
      <w:iCs/>
      <w:color w:val="A71930" w:themeColor="accent1"/>
      <w:sz w:val="22"/>
      <w:szCs w:val="24"/>
      <w:lang w:eastAsia="en-US"/>
    </w:rPr>
  </w:style>
  <w:style w:type="paragraph" w:styleId="Quote">
    <w:name w:val="Quote"/>
    <w:basedOn w:val="Normal"/>
    <w:next w:val="Normal"/>
    <w:link w:val="QuoteChar"/>
    <w:uiPriority w:val="29"/>
    <w:qFormat/>
    <w:rsid w:val="00746D76"/>
    <w:rPr>
      <w:i/>
      <w:iCs/>
      <w:color w:val="404143" w:themeColor="text1"/>
      <w:lang w:val="en-GB"/>
    </w:rPr>
  </w:style>
  <w:style w:type="character" w:customStyle="1" w:styleId="QuoteChar">
    <w:name w:val="Quote Char"/>
    <w:basedOn w:val="DefaultParagraphFont"/>
    <w:link w:val="Quote"/>
    <w:uiPriority w:val="29"/>
    <w:rsid w:val="00746D76"/>
    <w:rPr>
      <w:i/>
      <w:iCs/>
      <w:color w:val="404143" w:themeColor="text1"/>
      <w:sz w:val="22"/>
      <w:szCs w:val="24"/>
      <w:lang w:eastAsia="en-US"/>
    </w:rPr>
  </w:style>
  <w:style w:type="character" w:styleId="IntenseReference">
    <w:name w:val="Intense Reference"/>
    <w:basedOn w:val="DefaultParagraphFont"/>
    <w:uiPriority w:val="32"/>
    <w:qFormat/>
    <w:rsid w:val="00746D76"/>
    <w:rPr>
      <w:b/>
      <w:bCs/>
      <w:smallCaps/>
      <w:color w:val="EBB700" w:themeColor="accent2"/>
      <w:spacing w:val="5"/>
      <w:u w:val="single"/>
    </w:rPr>
  </w:style>
  <w:style w:type="paragraph" w:styleId="ListParagraph">
    <w:name w:val="List Paragraph"/>
    <w:basedOn w:val="Normal"/>
    <w:uiPriority w:val="34"/>
    <w:qFormat/>
    <w:rsid w:val="00746D76"/>
    <w:pPr>
      <w:ind w:left="720"/>
      <w:contextualSpacing/>
    </w:pPr>
    <w:rPr>
      <w:lang w:val="en-GB"/>
    </w:rPr>
  </w:style>
  <w:style w:type="paragraph" w:customStyle="1" w:styleId="SubHeading">
    <w:name w:val="Sub Heading"/>
    <w:basedOn w:val="Normal"/>
    <w:next w:val="BodyText"/>
    <w:link w:val="SubHeadingChar"/>
    <w:rsid w:val="00746D76"/>
    <w:pPr>
      <w:keepNext/>
      <w:spacing w:after="180" w:line="260" w:lineRule="atLeast"/>
    </w:pPr>
    <w:rPr>
      <w:rFonts w:ascii="Arial" w:hAnsi="Arial"/>
      <w:b/>
      <w:szCs w:val="20"/>
      <w:lang w:val="en-GB"/>
    </w:rPr>
  </w:style>
  <w:style w:type="paragraph" w:customStyle="1" w:styleId="Da">
    <w:name w:val="D(a)"/>
    <w:basedOn w:val="Normal"/>
    <w:uiPriority w:val="4"/>
    <w:rsid w:val="00746D76"/>
    <w:pPr>
      <w:numPr>
        <w:ilvl w:val="1"/>
        <w:numId w:val="6"/>
      </w:numPr>
      <w:spacing w:after="180" w:line="260" w:lineRule="atLeast"/>
    </w:pPr>
    <w:rPr>
      <w:szCs w:val="20"/>
      <w:lang w:val="en-GB"/>
    </w:rPr>
  </w:style>
  <w:style w:type="paragraph" w:customStyle="1" w:styleId="DA0">
    <w:name w:val="D(A)"/>
    <w:basedOn w:val="Normal"/>
    <w:uiPriority w:val="6"/>
    <w:rsid w:val="00746D76"/>
    <w:pPr>
      <w:numPr>
        <w:ilvl w:val="3"/>
        <w:numId w:val="6"/>
      </w:numPr>
      <w:spacing w:after="180" w:line="260" w:lineRule="atLeast"/>
    </w:pPr>
    <w:rPr>
      <w:szCs w:val="20"/>
      <w:lang w:val="en-GB"/>
    </w:rPr>
  </w:style>
  <w:style w:type="paragraph" w:customStyle="1" w:styleId="Di">
    <w:name w:val="D(i)"/>
    <w:basedOn w:val="Normal"/>
    <w:uiPriority w:val="5"/>
    <w:rsid w:val="00746D76"/>
    <w:pPr>
      <w:numPr>
        <w:ilvl w:val="2"/>
        <w:numId w:val="6"/>
      </w:numPr>
      <w:spacing w:after="180" w:line="260" w:lineRule="atLeast"/>
    </w:pPr>
    <w:rPr>
      <w:szCs w:val="20"/>
      <w:lang w:val="en-GB"/>
    </w:rPr>
  </w:style>
  <w:style w:type="paragraph" w:customStyle="1" w:styleId="DefinitionParagraph">
    <w:name w:val="Definition Paragraph"/>
    <w:basedOn w:val="Normal"/>
    <w:uiPriority w:val="2"/>
    <w:rsid w:val="00746D76"/>
    <w:pPr>
      <w:numPr>
        <w:numId w:val="6"/>
      </w:numPr>
      <w:spacing w:after="180" w:line="260" w:lineRule="atLeast"/>
    </w:pPr>
    <w:rPr>
      <w:szCs w:val="20"/>
      <w:lang w:val="en-GB"/>
    </w:rPr>
  </w:style>
  <w:style w:type="paragraph" w:customStyle="1" w:styleId="SchH10">
    <w:name w:val="SchH1"/>
    <w:basedOn w:val="Normal"/>
    <w:next w:val="BodyText"/>
    <w:uiPriority w:val="6"/>
    <w:rsid w:val="00746D76"/>
    <w:pPr>
      <w:keepNext/>
      <w:numPr>
        <w:numId w:val="5"/>
      </w:numPr>
      <w:spacing w:after="180" w:line="260" w:lineRule="atLeast"/>
    </w:pPr>
    <w:rPr>
      <w:rFonts w:ascii="Arial" w:hAnsi="Arial"/>
      <w:b/>
      <w:szCs w:val="20"/>
      <w:lang w:val="en-GB"/>
    </w:rPr>
  </w:style>
  <w:style w:type="paragraph" w:customStyle="1" w:styleId="SchH20">
    <w:name w:val="SchH2"/>
    <w:basedOn w:val="Normal"/>
    <w:next w:val="BodyText"/>
    <w:uiPriority w:val="6"/>
    <w:rsid w:val="00746D76"/>
    <w:pPr>
      <w:keepNext/>
      <w:numPr>
        <w:ilvl w:val="1"/>
        <w:numId w:val="5"/>
      </w:numPr>
      <w:spacing w:after="180" w:line="260" w:lineRule="atLeast"/>
    </w:pPr>
    <w:rPr>
      <w:rFonts w:ascii="Arial" w:hAnsi="Arial"/>
      <w:b/>
      <w:szCs w:val="20"/>
      <w:lang w:val="en-GB"/>
    </w:rPr>
  </w:style>
  <w:style w:type="paragraph" w:customStyle="1" w:styleId="SchH30">
    <w:name w:val="SchH3"/>
    <w:basedOn w:val="Normal"/>
    <w:uiPriority w:val="6"/>
    <w:rsid w:val="00746D76"/>
    <w:pPr>
      <w:numPr>
        <w:ilvl w:val="2"/>
        <w:numId w:val="5"/>
      </w:numPr>
      <w:spacing w:after="180" w:line="260" w:lineRule="atLeast"/>
    </w:pPr>
    <w:rPr>
      <w:szCs w:val="20"/>
      <w:lang w:val="en-GB"/>
    </w:rPr>
  </w:style>
  <w:style w:type="paragraph" w:customStyle="1" w:styleId="SchH40">
    <w:name w:val="SchH4"/>
    <w:basedOn w:val="Normal"/>
    <w:uiPriority w:val="6"/>
    <w:rsid w:val="00746D76"/>
    <w:pPr>
      <w:numPr>
        <w:ilvl w:val="3"/>
        <w:numId w:val="5"/>
      </w:numPr>
      <w:spacing w:after="180" w:line="260" w:lineRule="atLeast"/>
    </w:pPr>
    <w:rPr>
      <w:szCs w:val="20"/>
      <w:lang w:val="en-GB"/>
    </w:rPr>
  </w:style>
  <w:style w:type="paragraph" w:customStyle="1" w:styleId="SchH50">
    <w:name w:val="SchH5"/>
    <w:basedOn w:val="Normal"/>
    <w:uiPriority w:val="6"/>
    <w:rsid w:val="00746D76"/>
    <w:pPr>
      <w:numPr>
        <w:ilvl w:val="4"/>
        <w:numId w:val="5"/>
      </w:numPr>
      <w:spacing w:after="180" w:line="260" w:lineRule="atLeast"/>
    </w:pPr>
    <w:rPr>
      <w:szCs w:val="20"/>
      <w:lang w:val="en-GB"/>
    </w:rPr>
  </w:style>
  <w:style w:type="paragraph" w:customStyle="1" w:styleId="SchH60">
    <w:name w:val="SchH6"/>
    <w:basedOn w:val="Normal"/>
    <w:uiPriority w:val="6"/>
    <w:rsid w:val="00746D76"/>
    <w:pPr>
      <w:numPr>
        <w:ilvl w:val="5"/>
        <w:numId w:val="5"/>
      </w:numPr>
      <w:spacing w:after="180" w:line="260" w:lineRule="atLeast"/>
    </w:pPr>
    <w:rPr>
      <w:szCs w:val="20"/>
      <w:lang w:val="en-GB"/>
    </w:rPr>
  </w:style>
  <w:style w:type="paragraph" w:customStyle="1" w:styleId="SchSH">
    <w:name w:val="SchSH"/>
    <w:basedOn w:val="Normal"/>
    <w:next w:val="BodyText"/>
    <w:uiPriority w:val="6"/>
    <w:rsid w:val="00746D76"/>
    <w:pPr>
      <w:keepNext/>
      <w:spacing w:after="180" w:line="260" w:lineRule="atLeast"/>
    </w:pPr>
    <w:rPr>
      <w:rFonts w:ascii="Arial" w:hAnsi="Arial"/>
      <w:b/>
      <w:szCs w:val="20"/>
      <w:lang w:val="en-GB"/>
    </w:rPr>
  </w:style>
  <w:style w:type="paragraph" w:styleId="TOC1">
    <w:name w:val="toc 1"/>
    <w:basedOn w:val="Normal"/>
    <w:next w:val="Normal"/>
    <w:link w:val="TOC1Char"/>
    <w:autoRedefine/>
    <w:uiPriority w:val="39"/>
    <w:rsid w:val="005425F3"/>
    <w:pPr>
      <w:spacing w:before="180" w:line="260" w:lineRule="atLeast"/>
      <w:ind w:left="567" w:hanging="567"/>
    </w:pPr>
    <w:rPr>
      <w:rFonts w:ascii="Arial" w:hAnsi="Arial"/>
      <w:b/>
      <w:szCs w:val="20"/>
      <w:lang w:val="en-GB"/>
    </w:rPr>
  </w:style>
  <w:style w:type="paragraph" w:styleId="TOC2">
    <w:name w:val="toc 2"/>
    <w:basedOn w:val="Normal"/>
    <w:next w:val="Normal"/>
    <w:link w:val="TOC2Char"/>
    <w:autoRedefine/>
    <w:uiPriority w:val="39"/>
    <w:rsid w:val="005425F3"/>
    <w:pPr>
      <w:spacing w:before="180" w:line="260" w:lineRule="atLeast"/>
      <w:ind w:left="1134" w:hanging="567"/>
    </w:pPr>
    <w:rPr>
      <w:rFonts w:ascii="Arial" w:hAnsi="Arial"/>
      <w:b/>
      <w:szCs w:val="20"/>
      <w:lang w:val="en-GB"/>
    </w:rPr>
  </w:style>
  <w:style w:type="paragraph" w:styleId="TOC3">
    <w:name w:val="toc 3"/>
    <w:basedOn w:val="Normal"/>
    <w:next w:val="Normal"/>
    <w:link w:val="TOC3Char"/>
    <w:autoRedefine/>
    <w:uiPriority w:val="39"/>
    <w:rsid w:val="00764B12"/>
    <w:pPr>
      <w:spacing w:before="180" w:line="260" w:lineRule="atLeast"/>
      <w:ind w:left="1701" w:hanging="567"/>
    </w:pPr>
    <w:rPr>
      <w:rFonts w:ascii="Arial" w:hAnsi="Arial"/>
      <w:b/>
      <w:szCs w:val="20"/>
      <w:lang w:val="en-US"/>
    </w:rPr>
  </w:style>
  <w:style w:type="paragraph" w:styleId="TOC4">
    <w:name w:val="toc 4"/>
    <w:basedOn w:val="Normal"/>
    <w:next w:val="Normal"/>
    <w:link w:val="TOC4Char"/>
    <w:autoRedefine/>
    <w:rsid w:val="00746D76"/>
    <w:pPr>
      <w:spacing w:line="260" w:lineRule="atLeast"/>
      <w:ind w:left="1418"/>
    </w:pPr>
    <w:rPr>
      <w:rFonts w:ascii="Arial" w:hAnsi="Arial"/>
      <w:szCs w:val="20"/>
      <w:lang w:val="en-GB"/>
    </w:rPr>
  </w:style>
  <w:style w:type="table" w:styleId="TableGrid">
    <w:name w:val="Table Grid"/>
    <w:aliases w:val="BMTable,BM Table"/>
    <w:basedOn w:val="TableNormal"/>
    <w:rsid w:val="0074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
    <w:name w:val="B&amp;M Headings"/>
    <w:uiPriority w:val="99"/>
    <w:rsid w:val="00746D76"/>
    <w:pPr>
      <w:numPr>
        <w:numId w:val="3"/>
      </w:numPr>
    </w:pPr>
  </w:style>
  <w:style w:type="numbering" w:customStyle="1" w:styleId="BMListNumbers">
    <w:name w:val="B&amp;M List Numbers"/>
    <w:uiPriority w:val="99"/>
    <w:rsid w:val="00746D76"/>
    <w:pPr>
      <w:numPr>
        <w:numId w:val="4"/>
      </w:numPr>
    </w:pPr>
  </w:style>
  <w:style w:type="numbering" w:customStyle="1" w:styleId="BMSchedules">
    <w:name w:val="B&amp;M Schedules"/>
    <w:uiPriority w:val="99"/>
    <w:rsid w:val="00746D76"/>
    <w:pPr>
      <w:numPr>
        <w:numId w:val="5"/>
      </w:numPr>
    </w:pPr>
  </w:style>
  <w:style w:type="numbering" w:customStyle="1" w:styleId="BMDefinitions">
    <w:name w:val="B&amp;M Definitions"/>
    <w:uiPriority w:val="99"/>
    <w:rsid w:val="00746D76"/>
    <w:pPr>
      <w:numPr>
        <w:numId w:val="6"/>
      </w:numPr>
    </w:pPr>
  </w:style>
  <w:style w:type="paragraph" w:customStyle="1" w:styleId="TOCHeading">
    <w:name w:val="TOCHeading"/>
    <w:basedOn w:val="Normal"/>
    <w:next w:val="BodyText"/>
    <w:uiPriority w:val="11"/>
    <w:semiHidden/>
    <w:rsid w:val="00746D76"/>
    <w:pPr>
      <w:pBdr>
        <w:bottom w:val="single" w:sz="4" w:space="9" w:color="auto"/>
      </w:pBdr>
      <w:spacing w:after="180" w:line="260" w:lineRule="exact"/>
    </w:pPr>
    <w:rPr>
      <w:rFonts w:ascii="Arial" w:hAnsi="Arial"/>
      <w:b/>
      <w:sz w:val="24"/>
      <w:lang w:val="en-GB"/>
    </w:rPr>
  </w:style>
  <w:style w:type="paragraph" w:styleId="TOC5">
    <w:name w:val="toc 5"/>
    <w:basedOn w:val="Normal"/>
    <w:next w:val="Normal"/>
    <w:autoRedefine/>
    <w:rsid w:val="00746D76"/>
    <w:pPr>
      <w:spacing w:after="100"/>
      <w:ind w:left="880"/>
    </w:pPr>
    <w:rPr>
      <w:lang w:val="en-GB"/>
    </w:rPr>
  </w:style>
  <w:style w:type="paragraph" w:styleId="TOC6">
    <w:name w:val="toc 6"/>
    <w:basedOn w:val="Normal"/>
    <w:next w:val="Normal"/>
    <w:autoRedefine/>
    <w:rsid w:val="00746D76"/>
    <w:pPr>
      <w:spacing w:after="100"/>
      <w:ind w:left="1100"/>
    </w:pPr>
    <w:rPr>
      <w:lang w:val="en-GB"/>
    </w:rPr>
  </w:style>
  <w:style w:type="paragraph" w:styleId="TOC7">
    <w:name w:val="toc 7"/>
    <w:basedOn w:val="Normal"/>
    <w:next w:val="Normal"/>
    <w:autoRedefine/>
    <w:rsid w:val="00746D76"/>
    <w:pPr>
      <w:spacing w:after="100"/>
      <w:ind w:left="1320"/>
    </w:pPr>
    <w:rPr>
      <w:lang w:val="en-GB"/>
    </w:rPr>
  </w:style>
  <w:style w:type="paragraph" w:styleId="TOC8">
    <w:name w:val="toc 8"/>
    <w:basedOn w:val="Normal"/>
    <w:next w:val="Normal"/>
    <w:autoRedefine/>
    <w:rsid w:val="00746D76"/>
    <w:pPr>
      <w:spacing w:after="100"/>
      <w:ind w:left="1540"/>
    </w:pPr>
    <w:rPr>
      <w:lang w:val="en-GB"/>
    </w:rPr>
  </w:style>
  <w:style w:type="paragraph" w:styleId="TOC9">
    <w:name w:val="toc 9"/>
    <w:basedOn w:val="Normal"/>
    <w:next w:val="Normal"/>
    <w:autoRedefine/>
    <w:rsid w:val="00746D76"/>
    <w:pPr>
      <w:spacing w:after="100"/>
      <w:ind w:left="1760"/>
    </w:pPr>
    <w:rPr>
      <w:lang w:val="en-GB"/>
    </w:rPr>
  </w:style>
  <w:style w:type="character" w:styleId="PlaceholderText">
    <w:name w:val="Placeholder Text"/>
    <w:basedOn w:val="DefaultParagraphFont"/>
    <w:uiPriority w:val="99"/>
    <w:semiHidden/>
    <w:rsid w:val="00FB6EFC"/>
    <w:rPr>
      <w:color w:val="808080"/>
    </w:rPr>
  </w:style>
  <w:style w:type="paragraph" w:styleId="BalloonText">
    <w:name w:val="Balloon Text"/>
    <w:basedOn w:val="Normal"/>
    <w:link w:val="BalloonTextChar"/>
    <w:rsid w:val="00FB6EFC"/>
    <w:rPr>
      <w:rFonts w:ascii="Tahoma" w:hAnsi="Tahoma" w:cs="Tahoma"/>
      <w:sz w:val="16"/>
      <w:szCs w:val="16"/>
    </w:rPr>
  </w:style>
  <w:style w:type="character" w:customStyle="1" w:styleId="BalloonTextChar">
    <w:name w:val="Balloon Text Char"/>
    <w:basedOn w:val="DefaultParagraphFont"/>
    <w:link w:val="BalloonText"/>
    <w:rsid w:val="00FB6EFC"/>
    <w:rPr>
      <w:rFonts w:ascii="Tahoma" w:hAnsi="Tahoma" w:cs="Tahoma"/>
      <w:sz w:val="16"/>
      <w:szCs w:val="16"/>
      <w:lang w:val="sv-SE" w:eastAsia="en-US"/>
    </w:rPr>
  </w:style>
  <w:style w:type="character" w:customStyle="1" w:styleId="HeaderChar">
    <w:name w:val="Header Char"/>
    <w:aliases w:val="B&amp;B Header Char"/>
    <w:basedOn w:val="DefaultParagraphFont"/>
    <w:link w:val="Header"/>
    <w:rsid w:val="00C8456E"/>
    <w:rPr>
      <w:sz w:val="22"/>
      <w:szCs w:val="24"/>
      <w:lang w:val="en-GB" w:eastAsia="en-US"/>
    </w:rPr>
  </w:style>
  <w:style w:type="character" w:customStyle="1" w:styleId="BodyTextChar">
    <w:name w:val="Body Text Char"/>
    <w:aliases w:val="B&amp;B Body Text Char"/>
    <w:basedOn w:val="DefaultParagraphFont"/>
    <w:link w:val="BodyText"/>
    <w:rsid w:val="00C8456E"/>
    <w:rPr>
      <w:sz w:val="22"/>
      <w:szCs w:val="24"/>
      <w:lang w:val="en-GB" w:eastAsia="en-US"/>
    </w:rPr>
  </w:style>
  <w:style w:type="character" w:styleId="CommentReference">
    <w:name w:val="annotation reference"/>
    <w:basedOn w:val="DefaultParagraphFont"/>
    <w:uiPriority w:val="99"/>
    <w:unhideWhenUsed/>
    <w:rsid w:val="008F79AA"/>
    <w:rPr>
      <w:sz w:val="16"/>
      <w:szCs w:val="16"/>
    </w:rPr>
  </w:style>
  <w:style w:type="paragraph" w:styleId="CommentText">
    <w:name w:val="annotation text"/>
    <w:basedOn w:val="Normal"/>
    <w:link w:val="CommentTextChar"/>
    <w:unhideWhenUsed/>
    <w:rsid w:val="008F79AA"/>
    <w:rPr>
      <w:sz w:val="20"/>
      <w:szCs w:val="20"/>
    </w:rPr>
  </w:style>
  <w:style w:type="character" w:customStyle="1" w:styleId="CommentTextChar">
    <w:name w:val="Comment Text Char"/>
    <w:basedOn w:val="DefaultParagraphFont"/>
    <w:link w:val="CommentText"/>
    <w:rsid w:val="008F79AA"/>
    <w:rPr>
      <w:lang w:val="sv-SE" w:eastAsia="en-US"/>
    </w:rPr>
  </w:style>
  <w:style w:type="paragraph" w:styleId="CommentSubject">
    <w:name w:val="annotation subject"/>
    <w:basedOn w:val="CommentText"/>
    <w:next w:val="CommentText"/>
    <w:link w:val="CommentSubjectChar"/>
    <w:unhideWhenUsed/>
    <w:rsid w:val="008F79AA"/>
    <w:rPr>
      <w:b/>
      <w:bCs/>
    </w:rPr>
  </w:style>
  <w:style w:type="character" w:customStyle="1" w:styleId="CommentSubjectChar">
    <w:name w:val="Comment Subject Char"/>
    <w:basedOn w:val="CommentTextChar"/>
    <w:link w:val="CommentSubject"/>
    <w:rsid w:val="008F79AA"/>
    <w:rPr>
      <w:b/>
      <w:bCs/>
      <w:lang w:val="sv-SE" w:eastAsia="en-US"/>
    </w:rPr>
  </w:style>
  <w:style w:type="character" w:customStyle="1" w:styleId="Heading7Char">
    <w:name w:val="Heading 7 Char"/>
    <w:basedOn w:val="DefaultParagraphFont"/>
    <w:link w:val="Heading7"/>
    <w:rsid w:val="000F5A53"/>
    <w:rPr>
      <w:sz w:val="22"/>
      <w:szCs w:val="24"/>
      <w:u w:val="single"/>
      <w:lang w:val="en-GB" w:eastAsia="en-US"/>
    </w:rPr>
  </w:style>
  <w:style w:type="character" w:customStyle="1" w:styleId="Heading8Char">
    <w:name w:val="Heading 8 Char"/>
    <w:basedOn w:val="DefaultParagraphFont"/>
    <w:link w:val="Heading8"/>
    <w:uiPriority w:val="98"/>
    <w:rsid w:val="000F5A53"/>
    <w:rPr>
      <w:rFonts w:eastAsia="Times New Roman"/>
      <w:sz w:val="24"/>
      <w:szCs w:val="24"/>
      <w:lang w:val="en-GB" w:eastAsia="en-US"/>
    </w:rPr>
  </w:style>
  <w:style w:type="character" w:customStyle="1" w:styleId="Heading9Char">
    <w:name w:val="Heading 9 Char"/>
    <w:basedOn w:val="DefaultParagraphFont"/>
    <w:link w:val="Heading9"/>
    <w:uiPriority w:val="98"/>
    <w:rsid w:val="000F5A53"/>
    <w:rPr>
      <w:rFonts w:eastAsia="Times New Roman"/>
      <w:sz w:val="24"/>
      <w:szCs w:val="24"/>
      <w:lang w:val="en-GB" w:eastAsia="en-US"/>
    </w:rPr>
  </w:style>
  <w:style w:type="paragraph" w:customStyle="1" w:styleId="TableParagraph">
    <w:name w:val="Table Paragraph"/>
    <w:basedOn w:val="Normal"/>
    <w:uiPriority w:val="1"/>
    <w:qFormat/>
    <w:rsid w:val="000F5A53"/>
    <w:pPr>
      <w:widowControl w:val="0"/>
    </w:pPr>
    <w:rPr>
      <w:rFonts w:asciiTheme="minorHAnsi" w:eastAsiaTheme="minorHAnsi" w:hAnsiTheme="minorHAnsi" w:cstheme="minorBidi"/>
      <w:szCs w:val="22"/>
      <w:lang w:val="en-US"/>
    </w:rPr>
  </w:style>
  <w:style w:type="character" w:customStyle="1" w:styleId="FootnoteTextChar">
    <w:name w:val="Footnote Text Char"/>
    <w:basedOn w:val="DefaultParagraphFont"/>
    <w:link w:val="FootnoteText"/>
    <w:uiPriority w:val="6"/>
    <w:rsid w:val="000F5A53"/>
    <w:rPr>
      <w:sz w:val="18"/>
      <w:lang w:val="en-GB" w:eastAsia="en-US"/>
    </w:rPr>
  </w:style>
  <w:style w:type="character" w:customStyle="1" w:styleId="Heading2Char">
    <w:name w:val="Heading 2 Char"/>
    <w:aliases w:val="Heading 2 Alt+2 Char,stycke - Alt+2 Char"/>
    <w:basedOn w:val="DefaultParagraphFont"/>
    <w:link w:val="Heading2"/>
    <w:rsid w:val="000F5A53"/>
    <w:rPr>
      <w:rFonts w:ascii="Arial" w:hAnsi="Arial"/>
      <w:b/>
      <w:sz w:val="22"/>
      <w:lang w:val="en-GB" w:eastAsia="en-US"/>
    </w:rPr>
  </w:style>
  <w:style w:type="character" w:customStyle="1" w:styleId="Heading3Char">
    <w:name w:val="Heading 3 Char"/>
    <w:aliases w:val="Heading 3 Alt+3 Char,stycke - Alt+3 Char"/>
    <w:basedOn w:val="DefaultParagraphFont"/>
    <w:link w:val="Heading3"/>
    <w:rsid w:val="000F5A53"/>
    <w:rPr>
      <w:sz w:val="22"/>
      <w:lang w:val="en-GB" w:eastAsia="en-US"/>
    </w:rPr>
  </w:style>
  <w:style w:type="character" w:customStyle="1" w:styleId="Heading4Char">
    <w:name w:val="Heading 4 Char"/>
    <w:aliases w:val="Heading 4 Alt+4 Char"/>
    <w:basedOn w:val="DefaultParagraphFont"/>
    <w:link w:val="Heading4"/>
    <w:rsid w:val="000F5A53"/>
    <w:rPr>
      <w:sz w:val="22"/>
      <w:lang w:val="en-GB" w:eastAsia="en-US"/>
    </w:rPr>
  </w:style>
  <w:style w:type="character" w:customStyle="1" w:styleId="Heading5Char">
    <w:name w:val="Heading 5 Char"/>
    <w:basedOn w:val="DefaultParagraphFont"/>
    <w:link w:val="Heading5"/>
    <w:rsid w:val="000F5A53"/>
    <w:rPr>
      <w:sz w:val="22"/>
      <w:lang w:val="en-GB" w:eastAsia="en-US"/>
    </w:rPr>
  </w:style>
  <w:style w:type="character" w:customStyle="1" w:styleId="Heading6Char">
    <w:name w:val="Heading 6 Char"/>
    <w:basedOn w:val="DefaultParagraphFont"/>
    <w:link w:val="Heading6"/>
    <w:rsid w:val="000F5A53"/>
    <w:rPr>
      <w:sz w:val="22"/>
      <w:lang w:val="en-GB" w:eastAsia="en-US"/>
    </w:rPr>
  </w:style>
  <w:style w:type="character" w:customStyle="1" w:styleId="BodyTextFirstIndentChar">
    <w:name w:val="Body Text First Indent Char"/>
    <w:basedOn w:val="BodyTextChar"/>
    <w:link w:val="BodyTextFirstIndent"/>
    <w:uiPriority w:val="6"/>
    <w:rsid w:val="000F5A53"/>
    <w:rPr>
      <w:sz w:val="22"/>
      <w:szCs w:val="24"/>
      <w:lang w:val="en-GB" w:eastAsia="en-US"/>
    </w:rPr>
  </w:style>
  <w:style w:type="character" w:customStyle="1" w:styleId="Heading1Char">
    <w:name w:val="Heading 1 Char"/>
    <w:aliases w:val="Heading 1 Alt+1 Char,rubrik - Alt+1 Char"/>
    <w:basedOn w:val="DefaultParagraphFont"/>
    <w:link w:val="Heading1"/>
    <w:rsid w:val="000F5A53"/>
    <w:rPr>
      <w:rFonts w:ascii="Arial" w:hAnsi="Arial"/>
      <w:b/>
      <w:sz w:val="22"/>
      <w:lang w:val="en-GB" w:eastAsia="en-US"/>
    </w:rPr>
  </w:style>
  <w:style w:type="paragraph" w:customStyle="1" w:styleId="Doldtext">
    <w:name w:val="Doldtext"/>
    <w:basedOn w:val="Normal"/>
    <w:next w:val="Normal"/>
    <w:rsid w:val="000F5A53"/>
    <w:pPr>
      <w:spacing w:line="260" w:lineRule="atLeast"/>
    </w:pPr>
    <w:rPr>
      <w:rFonts w:eastAsia="Calibri"/>
      <w:b/>
      <w:vanish/>
      <w:color w:val="FF0000"/>
      <w:sz w:val="24"/>
      <w:szCs w:val="22"/>
    </w:rPr>
  </w:style>
  <w:style w:type="paragraph" w:styleId="Revision">
    <w:name w:val="Revision"/>
    <w:hidden/>
    <w:uiPriority w:val="99"/>
    <w:semiHidden/>
    <w:rsid w:val="000F5A53"/>
    <w:rPr>
      <w:sz w:val="22"/>
      <w:szCs w:val="24"/>
      <w:lang w:val="sv-SE" w:eastAsia="en-US"/>
    </w:rPr>
  </w:style>
  <w:style w:type="paragraph" w:styleId="BodyTextIndent">
    <w:name w:val="Body Text Indent"/>
    <w:basedOn w:val="Normal"/>
    <w:link w:val="BodyTextIndentChar"/>
    <w:unhideWhenUsed/>
    <w:rsid w:val="000F5A53"/>
    <w:pPr>
      <w:spacing w:after="120"/>
      <w:ind w:left="283"/>
    </w:pPr>
  </w:style>
  <w:style w:type="character" w:customStyle="1" w:styleId="BodyTextIndentChar">
    <w:name w:val="Body Text Indent Char"/>
    <w:basedOn w:val="DefaultParagraphFont"/>
    <w:link w:val="BodyTextIndent"/>
    <w:rsid w:val="000F5A53"/>
    <w:rPr>
      <w:sz w:val="22"/>
      <w:szCs w:val="24"/>
      <w:lang w:val="sv-SE" w:eastAsia="en-US"/>
    </w:rPr>
  </w:style>
  <w:style w:type="paragraph" w:styleId="BodyTextIndent2">
    <w:name w:val="Body Text Indent 2"/>
    <w:basedOn w:val="Normal"/>
    <w:link w:val="BodyTextIndent2Char"/>
    <w:unhideWhenUsed/>
    <w:rsid w:val="000F5A53"/>
    <w:pPr>
      <w:spacing w:after="120" w:line="480" w:lineRule="auto"/>
      <w:ind w:left="283"/>
    </w:pPr>
  </w:style>
  <w:style w:type="character" w:customStyle="1" w:styleId="BodyTextIndent2Char">
    <w:name w:val="Body Text Indent 2 Char"/>
    <w:basedOn w:val="DefaultParagraphFont"/>
    <w:link w:val="BodyTextIndent2"/>
    <w:rsid w:val="000F5A53"/>
    <w:rPr>
      <w:sz w:val="22"/>
      <w:szCs w:val="24"/>
      <w:lang w:val="sv-SE" w:eastAsia="en-US"/>
    </w:rPr>
  </w:style>
  <w:style w:type="paragraph" w:styleId="BodyTextIndent3">
    <w:name w:val="Body Text Indent 3"/>
    <w:basedOn w:val="Normal"/>
    <w:link w:val="BodyTextIndent3Char"/>
    <w:unhideWhenUsed/>
    <w:rsid w:val="000F5A53"/>
    <w:pPr>
      <w:spacing w:after="120"/>
      <w:ind w:left="283"/>
    </w:pPr>
    <w:rPr>
      <w:sz w:val="16"/>
      <w:szCs w:val="16"/>
    </w:rPr>
  </w:style>
  <w:style w:type="character" w:customStyle="1" w:styleId="BodyTextIndent3Char">
    <w:name w:val="Body Text Indent 3 Char"/>
    <w:basedOn w:val="DefaultParagraphFont"/>
    <w:link w:val="BodyTextIndent3"/>
    <w:rsid w:val="000F5A53"/>
    <w:rPr>
      <w:sz w:val="16"/>
      <w:szCs w:val="16"/>
      <w:lang w:val="sv-SE" w:eastAsia="en-US"/>
    </w:rPr>
  </w:style>
  <w:style w:type="paragraph" w:styleId="Title">
    <w:name w:val="Title"/>
    <w:basedOn w:val="Normal"/>
    <w:link w:val="TitleChar"/>
    <w:qFormat/>
    <w:rsid w:val="000F5A53"/>
    <w:pPr>
      <w:jc w:val="center"/>
    </w:pPr>
    <w:rPr>
      <w:rFonts w:eastAsia="Times New Roman"/>
      <w:b/>
      <w:sz w:val="28"/>
      <w:szCs w:val="20"/>
      <w:lang w:eastAsia="zh-CN"/>
    </w:rPr>
  </w:style>
  <w:style w:type="character" w:customStyle="1" w:styleId="TitleChar">
    <w:name w:val="Title Char"/>
    <w:basedOn w:val="DefaultParagraphFont"/>
    <w:link w:val="Title"/>
    <w:rsid w:val="000F5A53"/>
    <w:rPr>
      <w:rFonts w:eastAsia="Times New Roman"/>
      <w:b/>
      <w:sz w:val="28"/>
      <w:lang w:val="sv-SE" w:eastAsia="zh-CN"/>
    </w:rPr>
  </w:style>
  <w:style w:type="paragraph" w:customStyle="1" w:styleId="nRubrik1">
    <w:name w:val="nRubrik 1"/>
    <w:basedOn w:val="Normal"/>
    <w:next w:val="Normal"/>
    <w:rsid w:val="000F5A53"/>
    <w:pPr>
      <w:keepNext/>
      <w:numPr>
        <w:numId w:val="7"/>
      </w:numPr>
      <w:spacing w:before="240" w:after="60"/>
    </w:pPr>
    <w:rPr>
      <w:rFonts w:ascii="Arial" w:eastAsia="Times New Roman" w:hAnsi="Arial" w:cs="Arial"/>
      <w:b/>
      <w:noProof/>
      <w:sz w:val="26"/>
      <w:szCs w:val="26"/>
      <w:lang w:eastAsia="zh-CN"/>
    </w:rPr>
  </w:style>
  <w:style w:type="paragraph" w:customStyle="1" w:styleId="nRubrik2">
    <w:name w:val="nRubrik 2"/>
    <w:basedOn w:val="Normal"/>
    <w:next w:val="Normal"/>
    <w:rsid w:val="000F5A53"/>
    <w:pPr>
      <w:keepNext/>
      <w:numPr>
        <w:ilvl w:val="1"/>
        <w:numId w:val="7"/>
      </w:numPr>
      <w:suppressAutoHyphens/>
      <w:spacing w:before="120" w:after="60"/>
    </w:pPr>
    <w:rPr>
      <w:rFonts w:ascii="Arial" w:eastAsia="Times New Roman" w:hAnsi="Arial" w:cs="Arial"/>
      <w:b/>
      <w:noProof/>
      <w:szCs w:val="20"/>
      <w:lang w:eastAsia="zh-CN"/>
    </w:rPr>
  </w:style>
  <w:style w:type="paragraph" w:customStyle="1" w:styleId="nRubrik3">
    <w:name w:val="nRubrik 3"/>
    <w:basedOn w:val="Normal"/>
    <w:next w:val="Normal"/>
    <w:rsid w:val="000F5A53"/>
    <w:pPr>
      <w:keepNext/>
      <w:numPr>
        <w:ilvl w:val="2"/>
        <w:numId w:val="7"/>
      </w:numPr>
      <w:suppressAutoHyphens/>
      <w:spacing w:before="120" w:after="60"/>
    </w:pPr>
    <w:rPr>
      <w:rFonts w:ascii="Arial" w:eastAsia="Times New Roman" w:hAnsi="Arial" w:cs="Arial"/>
      <w:i/>
      <w:noProof/>
      <w:szCs w:val="20"/>
      <w:lang w:eastAsia="zh-CN"/>
    </w:rPr>
  </w:style>
  <w:style w:type="paragraph" w:customStyle="1" w:styleId="nRubrik4">
    <w:name w:val="nRubrik 4"/>
    <w:basedOn w:val="Normal"/>
    <w:next w:val="Normal"/>
    <w:rsid w:val="000F5A53"/>
    <w:pPr>
      <w:keepNext/>
      <w:numPr>
        <w:ilvl w:val="3"/>
        <w:numId w:val="7"/>
      </w:numPr>
      <w:suppressAutoHyphens/>
      <w:spacing w:before="120" w:after="60"/>
    </w:pPr>
    <w:rPr>
      <w:rFonts w:ascii="Arial" w:eastAsia="Times New Roman" w:hAnsi="Arial" w:cs="Arial"/>
      <w:b/>
      <w:noProof/>
      <w:szCs w:val="20"/>
      <w:lang w:eastAsia="zh-CN"/>
    </w:rPr>
  </w:style>
  <w:style w:type="paragraph" w:customStyle="1" w:styleId="Text">
    <w:name w:val="Text"/>
    <w:basedOn w:val="Normal"/>
    <w:link w:val="TextChar"/>
    <w:rsid w:val="000F5A53"/>
    <w:pPr>
      <w:spacing w:after="240"/>
    </w:pPr>
    <w:rPr>
      <w:rFonts w:eastAsia="Times New Roman"/>
      <w:sz w:val="24"/>
      <w:szCs w:val="20"/>
    </w:rPr>
  </w:style>
  <w:style w:type="paragraph" w:customStyle="1" w:styleId="Default">
    <w:name w:val="Default"/>
    <w:link w:val="DefaultChar"/>
    <w:rsid w:val="000F5A53"/>
    <w:pPr>
      <w:autoSpaceDE w:val="0"/>
      <w:autoSpaceDN w:val="0"/>
      <w:adjustRightInd w:val="0"/>
    </w:pPr>
    <w:rPr>
      <w:rFonts w:eastAsia="Times New Roman"/>
      <w:color w:val="000000"/>
      <w:sz w:val="24"/>
      <w:szCs w:val="24"/>
      <w:lang w:val="sv-SE" w:eastAsia="sv-SE"/>
    </w:rPr>
  </w:style>
  <w:style w:type="character" w:customStyle="1" w:styleId="DefaultChar">
    <w:name w:val="Default Char"/>
    <w:link w:val="Default"/>
    <w:rsid w:val="000F5A53"/>
    <w:rPr>
      <w:rFonts w:eastAsia="Times New Roman"/>
      <w:color w:val="000000"/>
      <w:sz w:val="24"/>
      <w:szCs w:val="24"/>
      <w:lang w:val="sv-SE" w:eastAsia="sv-SE"/>
    </w:rPr>
  </w:style>
  <w:style w:type="paragraph" w:customStyle="1" w:styleId="Rubrik0">
    <w:name w:val="Rubrik 0"/>
    <w:basedOn w:val="Normal"/>
    <w:next w:val="BodyText"/>
    <w:rsid w:val="000F5A53"/>
    <w:pPr>
      <w:tabs>
        <w:tab w:val="left" w:pos="1134"/>
        <w:tab w:val="left" w:pos="1984"/>
        <w:tab w:val="left" w:pos="2835"/>
        <w:tab w:val="left" w:pos="4819"/>
        <w:tab w:val="left" w:pos="7937"/>
      </w:tabs>
      <w:spacing w:before="140"/>
    </w:pPr>
    <w:rPr>
      <w:rFonts w:eastAsia="Times New Roman"/>
      <w:b/>
      <w:bCs/>
      <w:kern w:val="32"/>
      <w:sz w:val="36"/>
      <w:lang w:eastAsia="sv-SE"/>
    </w:rPr>
  </w:style>
  <w:style w:type="character" w:customStyle="1" w:styleId="TextChar">
    <w:name w:val="Text Char"/>
    <w:link w:val="Text"/>
    <w:locked/>
    <w:rsid w:val="000F5A53"/>
    <w:rPr>
      <w:rFonts w:eastAsia="Times New Roman"/>
      <w:sz w:val="24"/>
      <w:lang w:val="sv-SE" w:eastAsia="en-US"/>
    </w:rPr>
  </w:style>
  <w:style w:type="table" w:customStyle="1" w:styleId="TableGrid17">
    <w:name w:val="Table Grid17"/>
    <w:basedOn w:val="TableNormal"/>
    <w:next w:val="TableGrid"/>
    <w:rsid w:val="000F5A53"/>
    <w:rPr>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F5A53"/>
    <w:pPr>
      <w:spacing w:after="240" w:line="280" w:lineRule="exact"/>
      <w:ind w:left="1134"/>
    </w:pPr>
    <w:rPr>
      <w:rFonts w:eastAsia="Times New Roman"/>
      <w:szCs w:val="20"/>
      <w:lang w:val="en-GB"/>
    </w:rPr>
  </w:style>
  <w:style w:type="paragraph" w:styleId="Caption">
    <w:name w:val="caption"/>
    <w:basedOn w:val="Normal"/>
    <w:next w:val="Normal"/>
    <w:link w:val="CaptionChar"/>
    <w:qFormat/>
    <w:rsid w:val="000F5A53"/>
    <w:pPr>
      <w:spacing w:after="240" w:line="280" w:lineRule="exact"/>
    </w:pPr>
    <w:rPr>
      <w:rFonts w:ascii="Arial" w:eastAsia="Times New Roman" w:hAnsi="Arial"/>
      <w:b/>
      <w:sz w:val="24"/>
    </w:rPr>
  </w:style>
  <w:style w:type="paragraph" w:customStyle="1" w:styleId="NormalABC">
    <w:name w:val="Normal ABC"/>
    <w:rsid w:val="000F5A53"/>
    <w:pPr>
      <w:numPr>
        <w:numId w:val="8"/>
      </w:numPr>
      <w:spacing w:after="240" w:line="280" w:lineRule="exact"/>
    </w:pPr>
    <w:rPr>
      <w:rFonts w:eastAsia="Times New Roman"/>
      <w:sz w:val="22"/>
      <w:lang w:val="sv-SE" w:eastAsia="sv-SE"/>
    </w:rPr>
  </w:style>
  <w:style w:type="paragraph" w:customStyle="1" w:styleId="BakerInledning">
    <w:name w:val="BakerInledning"/>
    <w:next w:val="Normal"/>
    <w:rsid w:val="000F5A53"/>
    <w:pPr>
      <w:tabs>
        <w:tab w:val="left" w:pos="2466"/>
      </w:tabs>
      <w:spacing w:after="240"/>
      <w:ind w:left="2466" w:hanging="2466"/>
    </w:pPr>
    <w:rPr>
      <w:rFonts w:ascii="Arial" w:eastAsia="Times New Roman" w:hAnsi="Arial"/>
      <w:sz w:val="24"/>
      <w:lang w:val="en-GB" w:eastAsia="sv-SE"/>
    </w:rPr>
  </w:style>
  <w:style w:type="paragraph" w:customStyle="1" w:styleId="NormalDefinitions">
    <w:name w:val="Normal Definitions"/>
    <w:basedOn w:val="Normal"/>
    <w:rsid w:val="000F5A53"/>
    <w:pPr>
      <w:tabs>
        <w:tab w:val="left" w:pos="3686"/>
      </w:tabs>
      <w:spacing w:after="240" w:line="280" w:lineRule="exact"/>
      <w:ind w:left="3686" w:hanging="3686"/>
    </w:pPr>
    <w:rPr>
      <w:rFonts w:eastAsia="Times New Roman"/>
      <w:sz w:val="24"/>
      <w:lang w:val="en-GB"/>
    </w:rPr>
  </w:style>
  <w:style w:type="paragraph" w:customStyle="1" w:styleId="Heading3TNR">
    <w:name w:val="Heading 3 TNR"/>
    <w:basedOn w:val="Heading3"/>
    <w:next w:val="NormalIndent"/>
    <w:rsid w:val="000F5A53"/>
    <w:pPr>
      <w:numPr>
        <w:ilvl w:val="0"/>
        <w:numId w:val="0"/>
      </w:numPr>
      <w:tabs>
        <w:tab w:val="num" w:pos="1134"/>
      </w:tabs>
      <w:spacing w:before="360" w:after="240" w:line="280" w:lineRule="exact"/>
      <w:ind w:left="1134" w:hanging="1134"/>
    </w:pPr>
    <w:rPr>
      <w:rFonts w:eastAsia="Times New Roman"/>
      <w:bCs/>
      <w:szCs w:val="26"/>
    </w:rPr>
  </w:style>
  <w:style w:type="paragraph" w:customStyle="1" w:styleId="Heading4TNR">
    <w:name w:val="Heading 4 TNR"/>
    <w:basedOn w:val="Heading4"/>
    <w:next w:val="NormalIndent"/>
    <w:rsid w:val="000F5A53"/>
    <w:pPr>
      <w:numPr>
        <w:numId w:val="0"/>
      </w:numPr>
      <w:tabs>
        <w:tab w:val="num" w:pos="1134"/>
        <w:tab w:val="num" w:pos="1418"/>
      </w:tabs>
      <w:spacing w:before="360" w:after="240" w:line="280" w:lineRule="exact"/>
      <w:ind w:left="1134" w:hanging="1134"/>
    </w:pPr>
    <w:rPr>
      <w:rFonts w:eastAsia="Times New Roman"/>
      <w:bCs/>
      <w:iCs/>
      <w:szCs w:val="28"/>
    </w:rPr>
  </w:style>
  <w:style w:type="paragraph" w:customStyle="1" w:styleId="Kommentarsmne1">
    <w:name w:val="Kommentarsämne1"/>
    <w:basedOn w:val="CommentText"/>
    <w:next w:val="CommentText"/>
    <w:rsid w:val="000F5A53"/>
    <w:pPr>
      <w:spacing w:after="240" w:line="280" w:lineRule="exact"/>
    </w:pPr>
    <w:rPr>
      <w:rFonts w:eastAsia="Times New Roman"/>
      <w:b/>
      <w:bCs/>
      <w:lang w:val="en-GB"/>
    </w:rPr>
  </w:style>
  <w:style w:type="paragraph" w:customStyle="1" w:styleId="Ballongtext1">
    <w:name w:val="Ballongtext1"/>
    <w:basedOn w:val="Normal"/>
    <w:rsid w:val="000F5A53"/>
    <w:pPr>
      <w:spacing w:after="240" w:line="280" w:lineRule="exact"/>
    </w:pPr>
    <w:rPr>
      <w:rFonts w:ascii="Tahoma" w:eastAsia="Times New Roman" w:hAnsi="Tahoma" w:cs="Tahoma"/>
      <w:sz w:val="16"/>
      <w:szCs w:val="16"/>
      <w:lang w:val="en-GB"/>
    </w:rPr>
  </w:style>
  <w:style w:type="paragraph" w:customStyle="1" w:styleId="Heading2TNR">
    <w:name w:val="Heading 2 TNR"/>
    <w:basedOn w:val="Heading2"/>
    <w:rsid w:val="000F5A53"/>
    <w:pPr>
      <w:keepNext w:val="0"/>
      <w:numPr>
        <w:numId w:val="0"/>
      </w:numPr>
      <w:tabs>
        <w:tab w:val="num" w:pos="709"/>
        <w:tab w:val="num" w:pos="1134"/>
      </w:tabs>
      <w:spacing w:before="360" w:after="240" w:line="280" w:lineRule="exact"/>
      <w:ind w:left="1134" w:hanging="1134"/>
    </w:pPr>
    <w:rPr>
      <w:rFonts w:ascii="Times New Roman" w:eastAsia="Times New Roman" w:hAnsi="Times New Roman" w:cs="Arial"/>
      <w:b w:val="0"/>
      <w:szCs w:val="28"/>
    </w:rPr>
  </w:style>
  <w:style w:type="paragraph" w:styleId="BodyText2">
    <w:name w:val="Body Text 2"/>
    <w:basedOn w:val="Normal"/>
    <w:link w:val="BodyText2Char"/>
    <w:qFormat/>
    <w:rsid w:val="000F5A53"/>
    <w:pPr>
      <w:tabs>
        <w:tab w:val="left" w:pos="0"/>
        <w:tab w:val="left" w:pos="709"/>
        <w:tab w:val="left" w:pos="1276"/>
        <w:tab w:val="left" w:pos="2172"/>
        <w:tab w:val="left" w:pos="2892"/>
        <w:tab w:val="left" w:pos="3612"/>
        <w:tab w:val="left" w:pos="4332"/>
        <w:tab w:val="left" w:pos="5052"/>
        <w:tab w:val="left" w:pos="5772"/>
        <w:tab w:val="left" w:pos="6492"/>
        <w:tab w:val="left" w:pos="7212"/>
        <w:tab w:val="left" w:pos="7932"/>
        <w:tab w:val="left" w:pos="8640"/>
        <w:tab w:val="left" w:pos="8930"/>
        <w:tab w:val="left" w:pos="9122"/>
      </w:tabs>
    </w:pPr>
    <w:rPr>
      <w:rFonts w:ascii="Bookman Old Style" w:eastAsia="Times New Roman" w:hAnsi="Bookman Old Style"/>
      <w:szCs w:val="20"/>
      <w:lang w:val="en-GB"/>
    </w:rPr>
  </w:style>
  <w:style w:type="character" w:customStyle="1" w:styleId="BodyText2Char">
    <w:name w:val="Body Text 2 Char"/>
    <w:basedOn w:val="DefaultParagraphFont"/>
    <w:link w:val="BodyText2"/>
    <w:rsid w:val="000F5A53"/>
    <w:rPr>
      <w:rFonts w:ascii="Bookman Old Style" w:eastAsia="Times New Roman" w:hAnsi="Bookman Old Style"/>
      <w:sz w:val="22"/>
      <w:lang w:val="en-GB" w:eastAsia="en-US"/>
    </w:rPr>
  </w:style>
  <w:style w:type="paragraph" w:customStyle="1" w:styleId="Body">
    <w:name w:val="Body"/>
    <w:basedOn w:val="Normal"/>
    <w:rsid w:val="000F5A53"/>
    <w:pPr>
      <w:spacing w:after="140" w:line="290" w:lineRule="auto"/>
      <w:jc w:val="both"/>
    </w:pPr>
    <w:rPr>
      <w:rFonts w:ascii="Arial" w:eastAsia="Times New Roman" w:hAnsi="Arial"/>
      <w:kern w:val="20"/>
      <w:sz w:val="20"/>
      <w:szCs w:val="20"/>
    </w:rPr>
  </w:style>
  <w:style w:type="paragraph" w:customStyle="1" w:styleId="Body1">
    <w:name w:val="Body 1"/>
    <w:basedOn w:val="Body"/>
    <w:rsid w:val="000F5A53"/>
    <w:pPr>
      <w:tabs>
        <w:tab w:val="left" w:pos="680"/>
      </w:tabs>
      <w:ind w:left="680"/>
    </w:pPr>
  </w:style>
  <w:style w:type="paragraph" w:customStyle="1" w:styleId="Body2">
    <w:name w:val="Body 2"/>
    <w:basedOn w:val="Body"/>
    <w:rsid w:val="000F5A53"/>
    <w:pPr>
      <w:tabs>
        <w:tab w:val="left" w:pos="680"/>
      </w:tabs>
      <w:ind w:left="680"/>
    </w:pPr>
  </w:style>
  <w:style w:type="paragraph" w:customStyle="1" w:styleId="Body3">
    <w:name w:val="Body 3"/>
    <w:basedOn w:val="Body"/>
    <w:rsid w:val="000F5A53"/>
    <w:pPr>
      <w:tabs>
        <w:tab w:val="left" w:pos="1361"/>
      </w:tabs>
      <w:ind w:left="1361"/>
    </w:pPr>
  </w:style>
  <w:style w:type="paragraph" w:customStyle="1" w:styleId="Level1">
    <w:name w:val="Level 1"/>
    <w:basedOn w:val="Normal"/>
    <w:next w:val="Body1"/>
    <w:rsid w:val="000F5A53"/>
    <w:pPr>
      <w:keepNext/>
      <w:numPr>
        <w:numId w:val="9"/>
      </w:numPr>
      <w:spacing w:before="140" w:after="140" w:line="290" w:lineRule="auto"/>
      <w:jc w:val="both"/>
      <w:outlineLvl w:val="0"/>
    </w:pPr>
    <w:rPr>
      <w:rFonts w:ascii="Arial" w:eastAsia="Times New Roman" w:hAnsi="Arial"/>
      <w:b/>
      <w:kern w:val="20"/>
      <w:szCs w:val="20"/>
    </w:rPr>
  </w:style>
  <w:style w:type="paragraph" w:customStyle="1" w:styleId="Level2">
    <w:name w:val="Level 2"/>
    <w:basedOn w:val="Normal"/>
    <w:rsid w:val="000F5A53"/>
    <w:pPr>
      <w:numPr>
        <w:ilvl w:val="1"/>
        <w:numId w:val="9"/>
      </w:numPr>
      <w:spacing w:after="140" w:line="290" w:lineRule="auto"/>
      <w:jc w:val="both"/>
    </w:pPr>
    <w:rPr>
      <w:rFonts w:ascii="Arial" w:eastAsia="Times New Roman" w:hAnsi="Arial"/>
      <w:kern w:val="20"/>
      <w:sz w:val="20"/>
      <w:szCs w:val="20"/>
    </w:rPr>
  </w:style>
  <w:style w:type="paragraph" w:customStyle="1" w:styleId="Level3">
    <w:name w:val="Level 3"/>
    <w:basedOn w:val="Normal"/>
    <w:rsid w:val="000F5A53"/>
    <w:pPr>
      <w:numPr>
        <w:ilvl w:val="2"/>
        <w:numId w:val="9"/>
      </w:numPr>
      <w:spacing w:after="140" w:line="290" w:lineRule="auto"/>
      <w:jc w:val="both"/>
    </w:pPr>
    <w:rPr>
      <w:rFonts w:ascii="Arial" w:eastAsia="Times New Roman" w:hAnsi="Arial"/>
      <w:kern w:val="20"/>
      <w:sz w:val="20"/>
      <w:szCs w:val="20"/>
    </w:rPr>
  </w:style>
  <w:style w:type="paragraph" w:customStyle="1" w:styleId="Level4">
    <w:name w:val="Level 4"/>
    <w:basedOn w:val="Normal"/>
    <w:rsid w:val="000F5A53"/>
    <w:pPr>
      <w:numPr>
        <w:ilvl w:val="3"/>
        <w:numId w:val="9"/>
      </w:numPr>
      <w:spacing w:after="140" w:line="290" w:lineRule="auto"/>
      <w:jc w:val="both"/>
    </w:pPr>
    <w:rPr>
      <w:rFonts w:ascii="Arial" w:eastAsia="Times New Roman" w:hAnsi="Arial"/>
      <w:kern w:val="20"/>
      <w:sz w:val="20"/>
      <w:szCs w:val="20"/>
    </w:rPr>
  </w:style>
  <w:style w:type="paragraph" w:customStyle="1" w:styleId="Level5">
    <w:name w:val="Level 5"/>
    <w:basedOn w:val="Normal"/>
    <w:rsid w:val="000F5A53"/>
    <w:pPr>
      <w:numPr>
        <w:ilvl w:val="4"/>
        <w:numId w:val="9"/>
      </w:numPr>
      <w:spacing w:after="140" w:line="290" w:lineRule="auto"/>
      <w:jc w:val="both"/>
    </w:pPr>
    <w:rPr>
      <w:rFonts w:ascii="Arial" w:eastAsia="Times New Roman" w:hAnsi="Arial"/>
      <w:kern w:val="20"/>
      <w:sz w:val="20"/>
      <w:szCs w:val="20"/>
    </w:rPr>
  </w:style>
  <w:style w:type="paragraph" w:customStyle="1" w:styleId="Level6">
    <w:name w:val="Level 6"/>
    <w:basedOn w:val="Normal"/>
    <w:rsid w:val="000F5A53"/>
    <w:pPr>
      <w:numPr>
        <w:ilvl w:val="5"/>
        <w:numId w:val="9"/>
      </w:numPr>
      <w:spacing w:after="140" w:line="290" w:lineRule="auto"/>
      <w:ind w:left="3288" w:hanging="680"/>
      <w:jc w:val="both"/>
    </w:pPr>
    <w:rPr>
      <w:rFonts w:ascii="Arial" w:eastAsia="Times New Roman" w:hAnsi="Arial"/>
      <w:kern w:val="20"/>
      <w:sz w:val="20"/>
      <w:szCs w:val="20"/>
    </w:rPr>
  </w:style>
  <w:style w:type="paragraph" w:customStyle="1" w:styleId="Recitals">
    <w:name w:val="Recitals"/>
    <w:basedOn w:val="Normal"/>
    <w:rsid w:val="000F5A53"/>
    <w:pPr>
      <w:numPr>
        <w:numId w:val="11"/>
      </w:numPr>
      <w:spacing w:after="140" w:line="290" w:lineRule="auto"/>
      <w:jc w:val="both"/>
    </w:pPr>
    <w:rPr>
      <w:rFonts w:ascii="Arial" w:eastAsia="Times New Roman" w:hAnsi="Arial"/>
      <w:kern w:val="20"/>
      <w:sz w:val="20"/>
      <w:szCs w:val="20"/>
    </w:rPr>
  </w:style>
  <w:style w:type="paragraph" w:customStyle="1" w:styleId="Parties">
    <w:name w:val="Parties"/>
    <w:basedOn w:val="Normal"/>
    <w:rsid w:val="000F5A53"/>
    <w:pPr>
      <w:numPr>
        <w:numId w:val="10"/>
      </w:numPr>
      <w:spacing w:after="140" w:line="290" w:lineRule="auto"/>
      <w:jc w:val="both"/>
    </w:pPr>
    <w:rPr>
      <w:rFonts w:ascii="Arial" w:eastAsia="Times New Roman" w:hAnsi="Arial"/>
      <w:kern w:val="20"/>
      <w:sz w:val="20"/>
      <w:szCs w:val="20"/>
    </w:rPr>
  </w:style>
  <w:style w:type="paragraph" w:customStyle="1" w:styleId="Normal1">
    <w:name w:val="Normal 1"/>
    <w:basedOn w:val="Normal"/>
    <w:rsid w:val="000F5A53"/>
    <w:pPr>
      <w:spacing w:after="240" w:line="280" w:lineRule="exact"/>
    </w:pPr>
    <w:rPr>
      <w:rFonts w:eastAsia="Times New Roman"/>
      <w:szCs w:val="22"/>
      <w:lang w:val="en-GB"/>
    </w:rPr>
  </w:style>
  <w:style w:type="paragraph" w:styleId="NormalWeb">
    <w:name w:val="Normal (Web)"/>
    <w:basedOn w:val="Normal"/>
    <w:rsid w:val="000F5A53"/>
    <w:rPr>
      <w:sz w:val="24"/>
    </w:rPr>
  </w:style>
  <w:style w:type="character" w:customStyle="1" w:styleId="BodyTextChar1">
    <w:name w:val="Body Text Char1"/>
    <w:basedOn w:val="DefaultParagraphFont"/>
    <w:rsid w:val="000F5A53"/>
    <w:rPr>
      <w:sz w:val="24"/>
    </w:rPr>
  </w:style>
  <w:style w:type="character" w:customStyle="1" w:styleId="SubtleEmphasis1">
    <w:name w:val="Subtle Emphasis1"/>
    <w:basedOn w:val="DefaultParagraphFont"/>
    <w:uiPriority w:val="19"/>
    <w:rsid w:val="000F5A53"/>
    <w:rPr>
      <w:i/>
      <w:iCs/>
      <w:color w:val="AFAFAF"/>
    </w:rPr>
  </w:style>
  <w:style w:type="character" w:customStyle="1" w:styleId="SubtleReference1">
    <w:name w:val="Subtle Reference1"/>
    <w:basedOn w:val="DefaultParagraphFont"/>
    <w:uiPriority w:val="31"/>
    <w:rsid w:val="000F5A53"/>
    <w:rPr>
      <w:smallCaps/>
      <w:color w:val="EBB700"/>
      <w:u w:val="single"/>
    </w:rPr>
  </w:style>
  <w:style w:type="paragraph" w:customStyle="1" w:styleId="NoSpacing1">
    <w:name w:val="No Spacing1"/>
    <w:next w:val="NoSpacing"/>
    <w:uiPriority w:val="6"/>
    <w:rsid w:val="000F5A53"/>
    <w:pPr>
      <w:tabs>
        <w:tab w:val="left" w:pos="709"/>
        <w:tab w:val="left" w:pos="1418"/>
        <w:tab w:val="left" w:pos="2126"/>
        <w:tab w:val="left" w:pos="2835"/>
        <w:tab w:val="right" w:pos="7876"/>
      </w:tabs>
      <w:spacing w:after="200" w:line="2" w:lineRule="auto"/>
    </w:pPr>
    <w:rPr>
      <w:rFonts w:eastAsia="MS Mincho"/>
      <w:sz w:val="22"/>
      <w:szCs w:val="24"/>
      <w:lang w:eastAsia="en-US"/>
    </w:rPr>
  </w:style>
  <w:style w:type="character" w:customStyle="1" w:styleId="IntenseEmphasis1">
    <w:name w:val="Intense Emphasis1"/>
    <w:basedOn w:val="DefaultParagraphFont"/>
    <w:uiPriority w:val="21"/>
    <w:rsid w:val="000F5A53"/>
    <w:rPr>
      <w:b/>
      <w:bCs/>
      <w:i/>
      <w:iCs/>
      <w:color w:val="A71930"/>
    </w:rPr>
  </w:style>
  <w:style w:type="paragraph" w:customStyle="1" w:styleId="IntenseQuote1">
    <w:name w:val="Intense Quote1"/>
    <w:basedOn w:val="Normal"/>
    <w:next w:val="Normal"/>
    <w:uiPriority w:val="30"/>
    <w:rsid w:val="000F5A53"/>
    <w:pPr>
      <w:pBdr>
        <w:bottom w:val="single" w:sz="4" w:space="4" w:color="A71930"/>
      </w:pBdr>
      <w:spacing w:before="200" w:after="280"/>
      <w:ind w:left="936" w:right="936"/>
    </w:pPr>
    <w:rPr>
      <w:b/>
      <w:bCs/>
      <w:i/>
      <w:iCs/>
      <w:color w:val="A71930"/>
    </w:rPr>
  </w:style>
  <w:style w:type="paragraph" w:customStyle="1" w:styleId="Quote1">
    <w:name w:val="Quote1"/>
    <w:basedOn w:val="Normal"/>
    <w:next w:val="Normal"/>
    <w:uiPriority w:val="29"/>
    <w:rsid w:val="000F5A53"/>
    <w:rPr>
      <w:i/>
      <w:iCs/>
      <w:color w:val="5F5F5F"/>
    </w:rPr>
  </w:style>
  <w:style w:type="character" w:customStyle="1" w:styleId="IntenseReference1">
    <w:name w:val="Intense Reference1"/>
    <w:basedOn w:val="DefaultParagraphFont"/>
    <w:uiPriority w:val="32"/>
    <w:rsid w:val="000F5A53"/>
    <w:rPr>
      <w:b/>
      <w:bCs/>
      <w:smallCaps/>
      <w:color w:val="EBB700"/>
      <w:spacing w:val="5"/>
      <w:u w:val="single"/>
    </w:rPr>
  </w:style>
  <w:style w:type="paragraph" w:customStyle="1" w:styleId="Recital">
    <w:name w:val="Recital"/>
    <w:basedOn w:val="Normal"/>
    <w:uiPriority w:val="7"/>
    <w:rsid w:val="000F5A53"/>
    <w:pPr>
      <w:numPr>
        <w:numId w:val="12"/>
      </w:numPr>
      <w:spacing w:after="180" w:line="260" w:lineRule="atLeast"/>
    </w:pPr>
  </w:style>
  <w:style w:type="character" w:customStyle="1" w:styleId="DMReference">
    <w:name w:val="DMReference"/>
    <w:basedOn w:val="FooterChar"/>
    <w:semiHidden/>
    <w:rsid w:val="000F5A53"/>
    <w:rPr>
      <w:rFonts w:ascii="Arial" w:eastAsia="MS Gothic" w:hAnsi="Arial" w:cs="Arial"/>
      <w:noProof/>
      <w:sz w:val="16"/>
      <w:szCs w:val="16"/>
      <w:lang w:val="en-GB" w:eastAsia="en-US"/>
    </w:rPr>
  </w:style>
  <w:style w:type="paragraph" w:customStyle="1" w:styleId="BodyTextIndent4">
    <w:name w:val="Body Text Indent 4"/>
    <w:basedOn w:val="BodyTextIndent"/>
    <w:qFormat/>
    <w:rsid w:val="000F5A53"/>
    <w:pPr>
      <w:spacing w:after="180" w:line="260" w:lineRule="atLeast"/>
      <w:ind w:left="1418"/>
    </w:pPr>
  </w:style>
  <w:style w:type="paragraph" w:customStyle="1" w:styleId="BodyTextIndent5">
    <w:name w:val="Body Text Indent 5"/>
    <w:basedOn w:val="BodyTextIndent4"/>
    <w:qFormat/>
    <w:rsid w:val="000F5A53"/>
    <w:pPr>
      <w:ind w:left="2126"/>
    </w:pPr>
  </w:style>
  <w:style w:type="paragraph" w:customStyle="1" w:styleId="BodyTextIndent6">
    <w:name w:val="Body Text Indent 6"/>
    <w:basedOn w:val="BodyTextIndent5"/>
    <w:qFormat/>
    <w:rsid w:val="000F5A53"/>
    <w:pPr>
      <w:ind w:left="2835"/>
    </w:pPr>
  </w:style>
  <w:style w:type="table" w:customStyle="1" w:styleId="TableHorizontalShadedBlue">
    <w:name w:val="Table Horizontal Shaded Blue"/>
    <w:basedOn w:val="TableNormal"/>
    <w:rsid w:val="000F5A53"/>
    <w:rPr>
      <w:rFonts w:ascii="Arial" w:eastAsia="Times New Roman" w:hAnsi="Arial"/>
    </w:rPr>
    <w:tblPr>
      <w:tblInd w:w="113" w:type="dxa"/>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cPr>
      <w:shd w:val="clear" w:color="auto" w:fill="auto"/>
    </w:tcPr>
    <w:tblStylePr w:type="firstRow">
      <w:rPr>
        <w:b w:val="0"/>
        <w:color w:val="FFFFFF"/>
      </w:rPr>
      <w:tblPr/>
      <w:tcPr>
        <w:tcBorders>
          <w:insideV w:val="single" w:sz="4" w:space="0" w:color="FFFFFF"/>
        </w:tcBorders>
        <w:shd w:val="clear" w:color="auto" w:fill="6773B6"/>
      </w:tcPr>
    </w:tblStylePr>
  </w:style>
  <w:style w:type="paragraph" w:customStyle="1" w:styleId="TableCopy">
    <w:name w:val="Table Copy"/>
    <w:basedOn w:val="Normal"/>
    <w:link w:val="TableCopyChar"/>
    <w:uiPriority w:val="8"/>
    <w:semiHidden/>
    <w:rsid w:val="000F5A53"/>
    <w:pPr>
      <w:spacing w:before="120" w:after="120" w:line="240" w:lineRule="atLeast"/>
    </w:pPr>
    <w:rPr>
      <w:rFonts w:ascii="Arial" w:hAnsi="Arial"/>
      <w:color w:val="5F5F5F"/>
      <w:sz w:val="20"/>
      <w:szCs w:val="26"/>
      <w:lang w:eastAsia="en-AU"/>
    </w:rPr>
  </w:style>
  <w:style w:type="paragraph" w:customStyle="1" w:styleId="TableHeadings">
    <w:name w:val="Table Headings"/>
    <w:basedOn w:val="Normal"/>
    <w:uiPriority w:val="8"/>
    <w:semiHidden/>
    <w:rsid w:val="000F5A53"/>
    <w:pPr>
      <w:numPr>
        <w:numId w:val="13"/>
      </w:numPr>
      <w:tabs>
        <w:tab w:val="num" w:pos="360"/>
      </w:tabs>
      <w:spacing w:before="120" w:after="60" w:line="240" w:lineRule="atLeast"/>
    </w:pPr>
    <w:rPr>
      <w:rFonts w:ascii="Arial" w:hAnsi="Arial"/>
      <w:b/>
      <w:sz w:val="20"/>
      <w:szCs w:val="26"/>
      <w:lang w:eastAsia="en-AU"/>
    </w:rPr>
  </w:style>
  <w:style w:type="paragraph" w:customStyle="1" w:styleId="SchH70">
    <w:name w:val="SchH7"/>
    <w:basedOn w:val="Normal"/>
    <w:uiPriority w:val="6"/>
    <w:rsid w:val="000F5A53"/>
    <w:pPr>
      <w:tabs>
        <w:tab w:val="num" w:pos="3544"/>
      </w:tabs>
      <w:spacing w:after="180" w:line="260" w:lineRule="atLeast"/>
      <w:ind w:left="3544" w:hanging="709"/>
    </w:pPr>
  </w:style>
  <w:style w:type="table" w:customStyle="1" w:styleId="TableGrid1">
    <w:name w:val="Table Grid1"/>
    <w:basedOn w:val="TableNormal"/>
    <w:next w:val="TableGrid"/>
    <w:rsid w:val="000F5A53"/>
    <w:rPr>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F5A53"/>
  </w:style>
  <w:style w:type="character" w:customStyle="1" w:styleId="IntenseQuoteChar1">
    <w:name w:val="Intense Quote Char1"/>
    <w:basedOn w:val="DefaultParagraphFont"/>
    <w:rsid w:val="000F5A53"/>
    <w:rPr>
      <w:b/>
      <w:bCs/>
      <w:i/>
      <w:iCs/>
      <w:color w:val="A71930" w:themeColor="accent1"/>
      <w:sz w:val="24"/>
      <w:szCs w:val="24"/>
      <w:lang w:val="en-GB" w:eastAsia="en-US"/>
    </w:rPr>
  </w:style>
  <w:style w:type="character" w:customStyle="1" w:styleId="QuoteChar1">
    <w:name w:val="Quote Char1"/>
    <w:basedOn w:val="DefaultParagraphFont"/>
    <w:rsid w:val="000F5A53"/>
    <w:rPr>
      <w:i/>
      <w:iCs/>
      <w:color w:val="404143" w:themeColor="text1"/>
      <w:sz w:val="24"/>
      <w:szCs w:val="24"/>
      <w:lang w:val="en-GB" w:eastAsia="en-US"/>
    </w:rPr>
  </w:style>
  <w:style w:type="paragraph" w:styleId="List">
    <w:name w:val="List"/>
    <w:basedOn w:val="Normal"/>
    <w:rsid w:val="000F5A53"/>
    <w:pPr>
      <w:ind w:left="283" w:hanging="283"/>
    </w:pPr>
    <w:rPr>
      <w:rFonts w:ascii="Georgia" w:eastAsia="Times New Roman" w:hAnsi="Georgia"/>
      <w:sz w:val="20"/>
      <w:szCs w:val="20"/>
      <w:lang w:val="en-GB" w:eastAsia="en-GB"/>
    </w:rPr>
  </w:style>
  <w:style w:type="paragraph" w:customStyle="1" w:styleId="BBHeading1">
    <w:name w:val="B&amp;B Heading 1"/>
    <w:basedOn w:val="Normal"/>
    <w:next w:val="BBBodyTextIndent1"/>
    <w:rsid w:val="000F5A53"/>
    <w:pPr>
      <w:keepNext/>
      <w:numPr>
        <w:numId w:val="14"/>
      </w:numPr>
      <w:spacing w:before="120" w:after="240"/>
      <w:jc w:val="both"/>
      <w:outlineLvl w:val="0"/>
    </w:pPr>
    <w:rPr>
      <w:rFonts w:ascii="Georgia" w:eastAsia="Times New Roman" w:hAnsi="Georgia"/>
      <w:b/>
      <w:caps/>
      <w:sz w:val="20"/>
      <w:lang w:val="en-GB" w:eastAsia="en-GB"/>
    </w:rPr>
  </w:style>
  <w:style w:type="paragraph" w:customStyle="1" w:styleId="BBClause2">
    <w:name w:val="B&amp;B Clause 2"/>
    <w:basedOn w:val="BBHeading2"/>
    <w:rsid w:val="000F5A53"/>
    <w:pPr>
      <w:keepNext w:val="0"/>
    </w:pPr>
    <w:rPr>
      <w:b w:val="0"/>
    </w:rPr>
  </w:style>
  <w:style w:type="paragraph" w:customStyle="1" w:styleId="BBHeading6">
    <w:name w:val="B&amp;B Heading 6"/>
    <w:basedOn w:val="BBHeading5"/>
    <w:next w:val="BBBodyTextIndent6"/>
    <w:rsid w:val="000F5A53"/>
    <w:pPr>
      <w:numPr>
        <w:ilvl w:val="5"/>
      </w:numPr>
      <w:tabs>
        <w:tab w:val="left" w:pos="3238"/>
      </w:tabs>
      <w:outlineLvl w:val="5"/>
    </w:pPr>
  </w:style>
  <w:style w:type="paragraph" w:customStyle="1" w:styleId="BBHeading5">
    <w:name w:val="B&amp;B Heading 5"/>
    <w:basedOn w:val="BBHeading4"/>
    <w:next w:val="BBBodyTextIndent5"/>
    <w:rsid w:val="000F5A53"/>
    <w:pPr>
      <w:numPr>
        <w:ilvl w:val="4"/>
      </w:numPr>
      <w:tabs>
        <w:tab w:val="clear" w:pos="1787"/>
        <w:tab w:val="num" w:pos="2699"/>
      </w:tabs>
      <w:ind w:left="2699"/>
      <w:outlineLvl w:val="4"/>
    </w:pPr>
  </w:style>
  <w:style w:type="paragraph" w:customStyle="1" w:styleId="BBHeading4">
    <w:name w:val="B&amp;B Heading 4"/>
    <w:basedOn w:val="BBHeading3"/>
    <w:next w:val="BBBodyTextIndent4"/>
    <w:rsid w:val="000F5A53"/>
    <w:pPr>
      <w:numPr>
        <w:ilvl w:val="3"/>
      </w:numPr>
      <w:outlineLvl w:val="3"/>
    </w:pPr>
  </w:style>
  <w:style w:type="paragraph" w:customStyle="1" w:styleId="BBHeading3">
    <w:name w:val="B&amp;B Heading 3"/>
    <w:basedOn w:val="BBHeading2"/>
    <w:next w:val="BBBodyTextIndent3"/>
    <w:rsid w:val="000F5A53"/>
    <w:pPr>
      <w:numPr>
        <w:ilvl w:val="2"/>
      </w:numPr>
      <w:tabs>
        <w:tab w:val="clear" w:pos="1895"/>
        <w:tab w:val="num" w:pos="1622"/>
      </w:tabs>
      <w:ind w:left="1622"/>
      <w:outlineLvl w:val="2"/>
    </w:pPr>
  </w:style>
  <w:style w:type="paragraph" w:customStyle="1" w:styleId="BBHeading2">
    <w:name w:val="B&amp;B Heading 2"/>
    <w:basedOn w:val="BBHeading1"/>
    <w:next w:val="BBBodyTextIndent2"/>
    <w:rsid w:val="000F5A53"/>
    <w:pPr>
      <w:numPr>
        <w:ilvl w:val="1"/>
      </w:numPr>
      <w:spacing w:before="0"/>
      <w:outlineLvl w:val="1"/>
    </w:pPr>
    <w:rPr>
      <w:caps w:val="0"/>
    </w:rPr>
  </w:style>
  <w:style w:type="paragraph" w:customStyle="1" w:styleId="BBHeading7">
    <w:name w:val="B&amp;B Heading 7"/>
    <w:basedOn w:val="BBHeading6"/>
    <w:next w:val="BBBodyTextIndent7"/>
    <w:rsid w:val="000F5A53"/>
    <w:pPr>
      <w:numPr>
        <w:ilvl w:val="6"/>
      </w:numPr>
      <w:tabs>
        <w:tab w:val="left" w:pos="5398"/>
      </w:tabs>
      <w:outlineLvl w:val="6"/>
    </w:pPr>
  </w:style>
  <w:style w:type="paragraph" w:customStyle="1" w:styleId="BBHeading8">
    <w:name w:val="B&amp;B Heading 8"/>
    <w:basedOn w:val="BBHeading7"/>
    <w:next w:val="BBBodyTextIndent8"/>
    <w:rsid w:val="000F5A5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BBBodyTextIndent9"/>
    <w:rsid w:val="000F5A53"/>
    <w:pPr>
      <w:numPr>
        <w:ilvl w:val="8"/>
      </w:numPr>
      <w:tabs>
        <w:tab w:val="left" w:pos="6838"/>
      </w:tabs>
      <w:outlineLvl w:val="8"/>
    </w:pPr>
  </w:style>
  <w:style w:type="paragraph" w:customStyle="1" w:styleId="BBHeading0">
    <w:name w:val="B&amp;B Heading 0"/>
    <w:basedOn w:val="BodyText"/>
    <w:next w:val="BodyText"/>
    <w:rsid w:val="000F5A53"/>
    <w:pPr>
      <w:keepNext/>
      <w:spacing w:before="120" w:after="240" w:line="240" w:lineRule="auto"/>
    </w:pPr>
    <w:rPr>
      <w:rFonts w:ascii="Georgia" w:eastAsia="Times New Roman" w:hAnsi="Georgia"/>
      <w:b/>
      <w:caps/>
      <w:sz w:val="20"/>
      <w:lang w:eastAsia="en-GB"/>
    </w:rPr>
  </w:style>
  <w:style w:type="paragraph" w:customStyle="1" w:styleId="ListofParties">
    <w:name w:val="List of Parties"/>
    <w:basedOn w:val="Normal"/>
    <w:link w:val="ListofPartiesChar"/>
    <w:rsid w:val="000F5A53"/>
    <w:pPr>
      <w:spacing w:after="240"/>
    </w:pPr>
    <w:rPr>
      <w:rFonts w:ascii="Georgia" w:eastAsia="Times New Roman" w:hAnsi="Georgia"/>
      <w:szCs w:val="22"/>
      <w:lang w:val="en-GB" w:eastAsia="sv-SE"/>
    </w:rPr>
  </w:style>
  <w:style w:type="character" w:customStyle="1" w:styleId="ListofPartiesChar">
    <w:name w:val="List of Parties Char"/>
    <w:link w:val="ListofParties"/>
    <w:rsid w:val="000F5A53"/>
    <w:rPr>
      <w:rFonts w:ascii="Georgia" w:eastAsia="Times New Roman" w:hAnsi="Georgia"/>
      <w:sz w:val="22"/>
      <w:szCs w:val="22"/>
      <w:lang w:val="en-GB" w:eastAsia="sv-SE"/>
    </w:rPr>
  </w:style>
  <w:style w:type="paragraph" w:customStyle="1" w:styleId="Background">
    <w:name w:val="Background"/>
    <w:basedOn w:val="Normal"/>
    <w:next w:val="Normal"/>
    <w:rsid w:val="000F5A53"/>
    <w:pPr>
      <w:keepNext/>
      <w:spacing w:before="240" w:after="240"/>
      <w:ind w:left="2018" w:hanging="1009"/>
    </w:pPr>
    <w:rPr>
      <w:rFonts w:ascii="Georgia" w:eastAsia="Times New Roman" w:hAnsi="Georgia"/>
      <w:b/>
      <w:bCs/>
      <w:caps/>
      <w:szCs w:val="22"/>
      <w:lang w:val="en-GB" w:eastAsia="sv-SE"/>
    </w:rPr>
  </w:style>
  <w:style w:type="paragraph" w:customStyle="1" w:styleId="ListBACKGROUNDA">
    <w:name w:val="List BACKGROUND A."/>
    <w:rsid w:val="000F5A53"/>
    <w:pPr>
      <w:numPr>
        <w:numId w:val="15"/>
      </w:numPr>
      <w:spacing w:after="240"/>
    </w:pPr>
    <w:rPr>
      <w:rFonts w:eastAsia="Times New Roman"/>
      <w:sz w:val="22"/>
      <w:szCs w:val="22"/>
      <w:lang w:val="en-GB" w:eastAsia="sv-SE"/>
    </w:rPr>
  </w:style>
  <w:style w:type="paragraph" w:customStyle="1" w:styleId="BBBodyTextIndent2">
    <w:name w:val="B&amp;B Body Text Indent 2"/>
    <w:basedOn w:val="BBBodyTextIndent1"/>
    <w:rsid w:val="000F5A53"/>
    <w:pPr>
      <w:outlineLvl w:val="1"/>
    </w:pPr>
  </w:style>
  <w:style w:type="paragraph" w:customStyle="1" w:styleId="BBBodyTextIndent1">
    <w:name w:val="B&amp;B Body Text Indent 1"/>
    <w:basedOn w:val="BodyText"/>
    <w:rsid w:val="000F5A53"/>
    <w:pPr>
      <w:spacing w:after="240" w:line="240" w:lineRule="auto"/>
      <w:ind w:left="720"/>
      <w:jc w:val="both"/>
      <w:outlineLvl w:val="0"/>
    </w:pPr>
    <w:rPr>
      <w:rFonts w:ascii="Georgia" w:eastAsia="Times New Roman" w:hAnsi="Georgia"/>
      <w:sz w:val="20"/>
      <w:szCs w:val="20"/>
      <w:lang w:eastAsia="en-GB"/>
    </w:rPr>
  </w:style>
  <w:style w:type="paragraph" w:customStyle="1" w:styleId="BBBodyTextIndent3">
    <w:name w:val="B&amp;B Body Text Indent 3"/>
    <w:basedOn w:val="BBBodyTextIndent2"/>
    <w:rsid w:val="000F5A53"/>
    <w:pPr>
      <w:ind w:left="1622"/>
      <w:outlineLvl w:val="2"/>
    </w:pPr>
  </w:style>
  <w:style w:type="paragraph" w:customStyle="1" w:styleId="BBBodyTextIndent4">
    <w:name w:val="B&amp;B Body Text Indent 4"/>
    <w:basedOn w:val="Normal"/>
    <w:rsid w:val="000F5A53"/>
    <w:pPr>
      <w:spacing w:after="240"/>
      <w:ind w:left="2699"/>
      <w:jc w:val="both"/>
      <w:outlineLvl w:val="3"/>
    </w:pPr>
    <w:rPr>
      <w:rFonts w:ascii="Georgia" w:eastAsia="Times New Roman" w:hAnsi="Georgia"/>
      <w:sz w:val="20"/>
      <w:szCs w:val="20"/>
      <w:lang w:val="en-GB" w:eastAsia="en-GB"/>
    </w:rPr>
  </w:style>
  <w:style w:type="paragraph" w:customStyle="1" w:styleId="BBBodyTextIndent5">
    <w:name w:val="B&amp;B Body Text Indent 5"/>
    <w:basedOn w:val="BBBodyTextIndent4"/>
    <w:rsid w:val="000F5A53"/>
    <w:pPr>
      <w:outlineLvl w:val="4"/>
    </w:pPr>
  </w:style>
  <w:style w:type="paragraph" w:customStyle="1" w:styleId="BBBodyTextIndent6">
    <w:name w:val="B&amp;B Body Text Indent 6"/>
    <w:basedOn w:val="BBBodyTextIndent5"/>
    <w:rsid w:val="000F5A53"/>
    <w:pPr>
      <w:ind w:left="3238"/>
      <w:outlineLvl w:val="5"/>
    </w:pPr>
  </w:style>
  <w:style w:type="paragraph" w:customStyle="1" w:styleId="BBBodyTextIndent7">
    <w:name w:val="B&amp;B Body Text Indent 7"/>
    <w:basedOn w:val="BBBodyTextIndent6"/>
    <w:rsid w:val="000F5A53"/>
    <w:pPr>
      <w:ind w:left="3907"/>
      <w:outlineLvl w:val="6"/>
    </w:pPr>
  </w:style>
  <w:style w:type="paragraph" w:customStyle="1" w:styleId="BBBodyTextIndent8">
    <w:name w:val="B&amp;B Body Text Indent 8"/>
    <w:basedOn w:val="BBBodyTextIndent7"/>
    <w:rsid w:val="000F5A53"/>
    <w:pPr>
      <w:ind w:left="4581"/>
      <w:outlineLvl w:val="7"/>
    </w:pPr>
  </w:style>
  <w:style w:type="paragraph" w:customStyle="1" w:styleId="BBBodyTextIndent9">
    <w:name w:val="B&amp;B Body Text Indent 9"/>
    <w:basedOn w:val="BBBodyTextIndent8"/>
    <w:rsid w:val="000F5A53"/>
    <w:pPr>
      <w:ind w:left="6838"/>
      <w:outlineLvl w:val="8"/>
    </w:pPr>
  </w:style>
  <w:style w:type="paragraph" w:customStyle="1" w:styleId="BBClause1">
    <w:name w:val="B&amp;B Clause 1"/>
    <w:basedOn w:val="BBHeading1"/>
    <w:rsid w:val="000F5A53"/>
    <w:pPr>
      <w:keepNext w:val="0"/>
      <w:spacing w:before="0"/>
    </w:pPr>
    <w:rPr>
      <w:b w:val="0"/>
      <w:caps w:val="0"/>
    </w:rPr>
  </w:style>
  <w:style w:type="paragraph" w:customStyle="1" w:styleId="BBClause3">
    <w:name w:val="B&amp;B Clause 3"/>
    <w:basedOn w:val="BBHeading3"/>
    <w:rsid w:val="000F5A53"/>
    <w:pPr>
      <w:keepNext w:val="0"/>
    </w:pPr>
    <w:rPr>
      <w:b w:val="0"/>
    </w:rPr>
  </w:style>
  <w:style w:type="paragraph" w:customStyle="1" w:styleId="BBClause4">
    <w:name w:val="B&amp;B Clause 4"/>
    <w:basedOn w:val="BBHeading4"/>
    <w:rsid w:val="000F5A53"/>
    <w:pPr>
      <w:keepNext w:val="0"/>
    </w:pPr>
    <w:rPr>
      <w:b w:val="0"/>
    </w:rPr>
  </w:style>
  <w:style w:type="paragraph" w:customStyle="1" w:styleId="BBClause5">
    <w:name w:val="B&amp;B Clause 5"/>
    <w:basedOn w:val="BBHeading5"/>
    <w:rsid w:val="000F5A53"/>
    <w:pPr>
      <w:keepNext w:val="0"/>
      <w:tabs>
        <w:tab w:val="clear" w:pos="2699"/>
        <w:tab w:val="num" w:pos="1787"/>
      </w:tabs>
      <w:ind w:left="1787"/>
    </w:pPr>
    <w:rPr>
      <w:b w:val="0"/>
    </w:rPr>
  </w:style>
  <w:style w:type="paragraph" w:customStyle="1" w:styleId="BBClause6">
    <w:name w:val="B&amp;B Clause 6"/>
    <w:basedOn w:val="BBHeading6"/>
    <w:rsid w:val="000F5A53"/>
    <w:pPr>
      <w:keepNext w:val="0"/>
    </w:pPr>
    <w:rPr>
      <w:b w:val="0"/>
    </w:rPr>
  </w:style>
  <w:style w:type="paragraph" w:customStyle="1" w:styleId="BBClause7">
    <w:name w:val="B&amp;B Clause 7"/>
    <w:basedOn w:val="BBHeading7"/>
    <w:rsid w:val="000F5A53"/>
    <w:pPr>
      <w:keepNext w:val="0"/>
    </w:pPr>
    <w:rPr>
      <w:b w:val="0"/>
    </w:rPr>
  </w:style>
  <w:style w:type="paragraph" w:customStyle="1" w:styleId="BBClause8">
    <w:name w:val="B&amp;B Clause 8"/>
    <w:basedOn w:val="BBHeading8"/>
    <w:rsid w:val="000F5A53"/>
    <w:pPr>
      <w:keepNext w:val="0"/>
    </w:pPr>
    <w:rPr>
      <w:b w:val="0"/>
    </w:rPr>
  </w:style>
  <w:style w:type="paragraph" w:customStyle="1" w:styleId="BBClause9">
    <w:name w:val="B&amp;B Clause 9"/>
    <w:basedOn w:val="BBHeading9"/>
    <w:rsid w:val="000F5A53"/>
    <w:pPr>
      <w:keepNext w:val="0"/>
    </w:pPr>
    <w:rPr>
      <w:b w:val="0"/>
    </w:rPr>
  </w:style>
  <w:style w:type="paragraph" w:customStyle="1" w:styleId="BBSchedule1">
    <w:name w:val="B&amp;B Schedule 1"/>
    <w:basedOn w:val="BBScheduleHeading1"/>
    <w:rsid w:val="000F5A53"/>
    <w:pPr>
      <w:keepNext w:val="0"/>
      <w:spacing w:before="0"/>
    </w:pPr>
    <w:rPr>
      <w:b w:val="0"/>
    </w:rPr>
  </w:style>
  <w:style w:type="paragraph" w:customStyle="1" w:styleId="BBSchedule2">
    <w:name w:val="B&amp;B Schedule 2"/>
    <w:basedOn w:val="BBScheduleHeading2"/>
    <w:rsid w:val="000F5A53"/>
    <w:pPr>
      <w:keepNext w:val="0"/>
      <w:spacing w:before="0"/>
    </w:pPr>
    <w:rPr>
      <w:b w:val="0"/>
    </w:rPr>
  </w:style>
  <w:style w:type="paragraph" w:customStyle="1" w:styleId="BBSchedule3">
    <w:name w:val="B&amp;B Schedule 3"/>
    <w:basedOn w:val="BodyText"/>
    <w:rsid w:val="000F5A53"/>
    <w:pPr>
      <w:numPr>
        <w:ilvl w:val="3"/>
        <w:numId w:val="22"/>
      </w:numPr>
      <w:spacing w:after="240" w:line="240" w:lineRule="auto"/>
      <w:jc w:val="both"/>
      <w:outlineLvl w:val="2"/>
    </w:pPr>
    <w:rPr>
      <w:rFonts w:ascii="Georgia" w:eastAsia="Times New Roman" w:hAnsi="Georgia"/>
      <w:sz w:val="20"/>
      <w:szCs w:val="20"/>
      <w:lang w:eastAsia="en-GB"/>
    </w:rPr>
  </w:style>
  <w:style w:type="paragraph" w:customStyle="1" w:styleId="BBSchedule4">
    <w:name w:val="B&amp;B Schedule 4"/>
    <w:basedOn w:val="BodyText"/>
    <w:rsid w:val="000F5A53"/>
    <w:pPr>
      <w:numPr>
        <w:ilvl w:val="4"/>
        <w:numId w:val="22"/>
      </w:numPr>
      <w:spacing w:after="240" w:line="240" w:lineRule="auto"/>
      <w:jc w:val="both"/>
      <w:outlineLvl w:val="3"/>
    </w:pPr>
    <w:rPr>
      <w:rFonts w:ascii="Georgia" w:eastAsia="Times New Roman" w:hAnsi="Georgia"/>
      <w:sz w:val="20"/>
      <w:szCs w:val="20"/>
      <w:lang w:eastAsia="en-GB"/>
    </w:rPr>
  </w:style>
  <w:style w:type="paragraph" w:customStyle="1" w:styleId="BBSchedule5">
    <w:name w:val="B&amp;B Schedule 5"/>
    <w:basedOn w:val="BodyText"/>
    <w:rsid w:val="000F5A53"/>
    <w:pPr>
      <w:numPr>
        <w:ilvl w:val="5"/>
        <w:numId w:val="22"/>
      </w:numPr>
      <w:spacing w:after="240" w:line="240" w:lineRule="auto"/>
      <w:jc w:val="both"/>
      <w:outlineLvl w:val="4"/>
    </w:pPr>
    <w:rPr>
      <w:rFonts w:ascii="Georgia" w:eastAsia="Times New Roman" w:hAnsi="Georgia"/>
      <w:sz w:val="20"/>
      <w:szCs w:val="20"/>
      <w:lang w:eastAsia="en-GB"/>
    </w:rPr>
  </w:style>
  <w:style w:type="paragraph" w:customStyle="1" w:styleId="BBSchedule6">
    <w:name w:val="B&amp;B Schedule 6"/>
    <w:basedOn w:val="BodyText"/>
    <w:rsid w:val="000F5A53"/>
    <w:pPr>
      <w:numPr>
        <w:ilvl w:val="6"/>
        <w:numId w:val="22"/>
      </w:numPr>
      <w:spacing w:after="240" w:line="240" w:lineRule="auto"/>
      <w:jc w:val="both"/>
      <w:outlineLvl w:val="5"/>
    </w:pPr>
    <w:rPr>
      <w:rFonts w:ascii="Georgia" w:eastAsia="Times New Roman" w:hAnsi="Georgia"/>
      <w:sz w:val="20"/>
      <w:szCs w:val="20"/>
      <w:lang w:eastAsia="en-GB"/>
    </w:rPr>
  </w:style>
  <w:style w:type="paragraph" w:customStyle="1" w:styleId="BBSchedule7">
    <w:name w:val="B&amp;B Schedule 7"/>
    <w:basedOn w:val="BodyText"/>
    <w:rsid w:val="000F5A53"/>
    <w:pPr>
      <w:spacing w:after="240" w:line="240" w:lineRule="auto"/>
      <w:jc w:val="both"/>
    </w:pPr>
    <w:rPr>
      <w:rFonts w:ascii="Georgia" w:eastAsia="Times New Roman" w:hAnsi="Georgia"/>
      <w:sz w:val="20"/>
      <w:szCs w:val="20"/>
      <w:lang w:eastAsia="en-GB"/>
    </w:rPr>
  </w:style>
  <w:style w:type="paragraph" w:customStyle="1" w:styleId="BBSchedule8">
    <w:name w:val="B&amp;B Schedule 8"/>
    <w:basedOn w:val="BodyText"/>
    <w:rsid w:val="000F5A53"/>
    <w:pPr>
      <w:spacing w:after="240" w:line="240" w:lineRule="auto"/>
      <w:jc w:val="both"/>
    </w:pPr>
    <w:rPr>
      <w:rFonts w:ascii="Georgia" w:eastAsia="Times New Roman" w:hAnsi="Georgia"/>
      <w:sz w:val="20"/>
      <w:szCs w:val="20"/>
      <w:lang w:eastAsia="en-GB"/>
    </w:rPr>
  </w:style>
  <w:style w:type="paragraph" w:customStyle="1" w:styleId="BBSchedule9">
    <w:name w:val="B&amp;B Schedule 9"/>
    <w:basedOn w:val="BodyText"/>
    <w:rsid w:val="000F5A53"/>
    <w:pPr>
      <w:spacing w:after="240" w:line="240" w:lineRule="auto"/>
      <w:jc w:val="both"/>
    </w:pPr>
    <w:rPr>
      <w:rFonts w:ascii="Georgia" w:eastAsia="Times New Roman" w:hAnsi="Georgia"/>
      <w:sz w:val="20"/>
      <w:szCs w:val="20"/>
      <w:lang w:eastAsia="en-GB"/>
    </w:rPr>
  </w:style>
  <w:style w:type="paragraph" w:customStyle="1" w:styleId="BBScheduleSub-title">
    <w:name w:val="B&amp;B Schedule Sub-title"/>
    <w:basedOn w:val="BodyText"/>
    <w:next w:val="BodyText"/>
    <w:rsid w:val="000F5A53"/>
    <w:pPr>
      <w:spacing w:after="240" w:line="240" w:lineRule="auto"/>
      <w:jc w:val="center"/>
    </w:pPr>
    <w:rPr>
      <w:rFonts w:ascii="Georgia" w:eastAsia="Times New Roman" w:hAnsi="Georgia"/>
      <w:b/>
      <w:sz w:val="20"/>
      <w:szCs w:val="20"/>
      <w:lang w:eastAsia="en-GB"/>
    </w:rPr>
  </w:style>
  <w:style w:type="paragraph" w:customStyle="1" w:styleId="BBScheduleTitle">
    <w:name w:val="B&amp;B Schedule Title"/>
    <w:basedOn w:val="BodyText"/>
    <w:next w:val="BBScheduleSub-title"/>
    <w:rsid w:val="000F5A53"/>
    <w:pPr>
      <w:keepNext/>
      <w:pageBreakBefore/>
      <w:numPr>
        <w:numId w:val="22"/>
      </w:numPr>
      <w:spacing w:after="240" w:line="240" w:lineRule="auto"/>
      <w:jc w:val="center"/>
    </w:pPr>
    <w:rPr>
      <w:rFonts w:ascii="Georgia" w:eastAsia="Times New Roman" w:hAnsi="Georgia"/>
      <w:b/>
      <w:sz w:val="20"/>
      <w:szCs w:val="20"/>
      <w:lang w:eastAsia="en-GB"/>
    </w:rPr>
  </w:style>
  <w:style w:type="paragraph" w:styleId="EndnoteText">
    <w:name w:val="endnote text"/>
    <w:basedOn w:val="Normal"/>
    <w:link w:val="EndnoteTextChar"/>
    <w:semiHidden/>
    <w:rsid w:val="000F5A53"/>
    <w:pPr>
      <w:ind w:left="62" w:hanging="62"/>
    </w:pPr>
    <w:rPr>
      <w:rFonts w:ascii="Georgia" w:eastAsia="Times New Roman" w:hAnsi="Georgia"/>
      <w:sz w:val="16"/>
      <w:szCs w:val="20"/>
      <w:lang w:val="en-GB" w:eastAsia="en-GB"/>
    </w:rPr>
  </w:style>
  <w:style w:type="character" w:customStyle="1" w:styleId="EndnoteTextChar">
    <w:name w:val="Endnote Text Char"/>
    <w:basedOn w:val="DefaultParagraphFont"/>
    <w:link w:val="EndnoteText"/>
    <w:semiHidden/>
    <w:rsid w:val="000F5A53"/>
    <w:rPr>
      <w:rFonts w:ascii="Georgia" w:eastAsia="Times New Roman" w:hAnsi="Georgia"/>
      <w:sz w:val="16"/>
      <w:lang w:val="en-GB" w:eastAsia="en-GB"/>
    </w:rPr>
  </w:style>
  <w:style w:type="character" w:styleId="EndnoteReference">
    <w:name w:val="endnote reference"/>
    <w:semiHidden/>
    <w:rsid w:val="000F5A53"/>
    <w:rPr>
      <w:vertAlign w:val="superscript"/>
    </w:rPr>
  </w:style>
  <w:style w:type="paragraph" w:customStyle="1" w:styleId="BBFootnoteText">
    <w:name w:val="B&amp;B Footnote Text"/>
    <w:basedOn w:val="FootnoteText"/>
    <w:rsid w:val="000F5A53"/>
    <w:pPr>
      <w:ind w:left="113" w:hanging="113"/>
      <w:jc w:val="both"/>
    </w:pPr>
    <w:rPr>
      <w:rFonts w:ascii="Georgia" w:eastAsia="Times New Roman" w:hAnsi="Georgia"/>
      <w:sz w:val="16"/>
      <w:lang w:eastAsia="en-GB"/>
    </w:rPr>
  </w:style>
  <w:style w:type="paragraph" w:customStyle="1" w:styleId="BBEndnoteText">
    <w:name w:val="B&amp;B Endnote Text"/>
    <w:basedOn w:val="EndnoteText"/>
    <w:rsid w:val="000F5A53"/>
    <w:pPr>
      <w:jc w:val="both"/>
    </w:pPr>
  </w:style>
  <w:style w:type="paragraph" w:customStyle="1" w:styleId="BBHeading0Lower">
    <w:name w:val="B&amp;B Heading 0 (Lower)"/>
    <w:basedOn w:val="BBHeading0"/>
    <w:next w:val="BodyText"/>
    <w:rsid w:val="000F5A53"/>
    <w:rPr>
      <w:caps w:val="0"/>
    </w:rPr>
  </w:style>
  <w:style w:type="paragraph" w:customStyle="1" w:styleId="BBHeading1Lower">
    <w:name w:val="B&amp;B Heading 1 (Lower)"/>
    <w:basedOn w:val="BBHeading1"/>
    <w:next w:val="BBBodyTextIndent1"/>
    <w:rsid w:val="000F5A53"/>
    <w:rPr>
      <w:caps w:val="0"/>
    </w:rPr>
  </w:style>
  <w:style w:type="paragraph" w:customStyle="1" w:styleId="BBScheduleHeading1">
    <w:name w:val="B&amp;B Schedule Heading 1"/>
    <w:next w:val="BBBodyTextIndent1"/>
    <w:rsid w:val="000F5A53"/>
    <w:pPr>
      <w:keepNext/>
      <w:numPr>
        <w:ilvl w:val="1"/>
        <w:numId w:val="22"/>
      </w:numPr>
      <w:spacing w:before="120" w:after="240"/>
      <w:jc w:val="both"/>
      <w:outlineLvl w:val="0"/>
    </w:pPr>
    <w:rPr>
      <w:rFonts w:ascii="Georgia" w:eastAsia="Times New Roman" w:hAnsi="Georgia"/>
      <w:b/>
      <w:lang w:val="en-GB" w:eastAsia="en-GB"/>
    </w:rPr>
  </w:style>
  <w:style w:type="paragraph" w:customStyle="1" w:styleId="BBScheduleHeading2">
    <w:name w:val="B&amp;B Schedule Heading 2"/>
    <w:next w:val="BBBodyTextIndent2"/>
    <w:rsid w:val="000F5A53"/>
    <w:pPr>
      <w:keepNext/>
      <w:numPr>
        <w:ilvl w:val="2"/>
        <w:numId w:val="22"/>
      </w:numPr>
      <w:spacing w:before="120" w:after="240"/>
      <w:jc w:val="both"/>
      <w:outlineLvl w:val="1"/>
    </w:pPr>
    <w:rPr>
      <w:rFonts w:ascii="Georgia" w:eastAsia="Times New Roman" w:hAnsi="Georgia"/>
      <w:b/>
      <w:lang w:val="en-GB" w:eastAsia="en-GB"/>
    </w:rPr>
  </w:style>
  <w:style w:type="numbering" w:styleId="111111">
    <w:name w:val="Outline List 2"/>
    <w:basedOn w:val="NoList"/>
    <w:rsid w:val="000F5A53"/>
    <w:pPr>
      <w:numPr>
        <w:numId w:val="25"/>
      </w:numPr>
    </w:pPr>
  </w:style>
  <w:style w:type="numbering" w:styleId="1ai0">
    <w:name w:val="Outline List 1"/>
    <w:basedOn w:val="NoList"/>
    <w:rsid w:val="000F5A53"/>
    <w:pPr>
      <w:numPr>
        <w:numId w:val="23"/>
      </w:numPr>
    </w:pPr>
  </w:style>
  <w:style w:type="numbering" w:styleId="ArticleSection0">
    <w:name w:val="Outline List 3"/>
    <w:basedOn w:val="NoList"/>
    <w:rsid w:val="000F5A53"/>
    <w:pPr>
      <w:numPr>
        <w:numId w:val="24"/>
      </w:numPr>
    </w:pPr>
  </w:style>
  <w:style w:type="paragraph" w:styleId="BlockText">
    <w:name w:val="Block Text"/>
    <w:basedOn w:val="Normal"/>
    <w:rsid w:val="000F5A53"/>
    <w:pPr>
      <w:spacing w:after="120"/>
      <w:ind w:left="1440" w:right="1440"/>
    </w:pPr>
    <w:rPr>
      <w:rFonts w:ascii="Georgia" w:eastAsia="Times New Roman" w:hAnsi="Georgia"/>
      <w:sz w:val="20"/>
      <w:szCs w:val="20"/>
      <w:lang w:val="en-GB" w:eastAsia="en-GB"/>
    </w:rPr>
  </w:style>
  <w:style w:type="paragraph" w:styleId="BodyText3">
    <w:name w:val="Body Text 3"/>
    <w:basedOn w:val="Normal"/>
    <w:link w:val="BodyText3Char"/>
    <w:qFormat/>
    <w:rsid w:val="000F5A53"/>
    <w:pPr>
      <w:spacing w:after="120"/>
    </w:pPr>
    <w:rPr>
      <w:rFonts w:ascii="Georgia" w:eastAsia="Times New Roman" w:hAnsi="Georgia"/>
      <w:sz w:val="16"/>
      <w:szCs w:val="16"/>
      <w:lang w:val="en-GB" w:eastAsia="en-GB"/>
    </w:rPr>
  </w:style>
  <w:style w:type="character" w:customStyle="1" w:styleId="BodyText3Char">
    <w:name w:val="Body Text 3 Char"/>
    <w:basedOn w:val="DefaultParagraphFont"/>
    <w:link w:val="BodyText3"/>
    <w:rsid w:val="000F5A53"/>
    <w:rPr>
      <w:rFonts w:ascii="Georgia" w:eastAsia="Times New Roman" w:hAnsi="Georgia"/>
      <w:sz w:val="16"/>
      <w:szCs w:val="16"/>
      <w:lang w:val="en-GB" w:eastAsia="en-GB"/>
    </w:rPr>
  </w:style>
  <w:style w:type="paragraph" w:styleId="BodyTextFirstIndent2">
    <w:name w:val="Body Text First Indent 2"/>
    <w:basedOn w:val="BodyTextIndent"/>
    <w:link w:val="BodyTextFirstIndent2Char"/>
    <w:rsid w:val="000F5A53"/>
    <w:pPr>
      <w:ind w:firstLine="210"/>
    </w:pPr>
    <w:rPr>
      <w:rFonts w:ascii="Georgia" w:eastAsia="Times New Roman" w:hAnsi="Georgia"/>
      <w:sz w:val="20"/>
      <w:szCs w:val="20"/>
      <w:lang w:val="en-GB" w:eastAsia="en-GB"/>
    </w:rPr>
  </w:style>
  <w:style w:type="character" w:customStyle="1" w:styleId="BodyTextFirstIndent2Char">
    <w:name w:val="Body Text First Indent 2 Char"/>
    <w:basedOn w:val="BodyTextIndentChar"/>
    <w:link w:val="BodyTextFirstIndent2"/>
    <w:rsid w:val="000F5A53"/>
    <w:rPr>
      <w:rFonts w:ascii="Georgia" w:eastAsia="Times New Roman" w:hAnsi="Georgia"/>
      <w:sz w:val="22"/>
      <w:szCs w:val="24"/>
      <w:lang w:val="en-GB" w:eastAsia="en-GB"/>
    </w:rPr>
  </w:style>
  <w:style w:type="paragraph" w:styleId="Closing">
    <w:name w:val="Closing"/>
    <w:basedOn w:val="Normal"/>
    <w:link w:val="ClosingChar"/>
    <w:rsid w:val="000F5A53"/>
    <w:pPr>
      <w:ind w:left="4252"/>
    </w:pPr>
    <w:rPr>
      <w:rFonts w:ascii="Georgia" w:eastAsia="Times New Roman" w:hAnsi="Georgia"/>
      <w:sz w:val="20"/>
      <w:szCs w:val="20"/>
      <w:lang w:val="en-GB" w:eastAsia="en-GB"/>
    </w:rPr>
  </w:style>
  <w:style w:type="character" w:customStyle="1" w:styleId="ClosingChar">
    <w:name w:val="Closing Char"/>
    <w:basedOn w:val="DefaultParagraphFont"/>
    <w:link w:val="Closing"/>
    <w:rsid w:val="000F5A53"/>
    <w:rPr>
      <w:rFonts w:ascii="Georgia" w:eastAsia="Times New Roman" w:hAnsi="Georgia"/>
      <w:lang w:val="en-GB" w:eastAsia="en-GB"/>
    </w:rPr>
  </w:style>
  <w:style w:type="paragraph" w:styleId="Date">
    <w:name w:val="Date"/>
    <w:basedOn w:val="Normal"/>
    <w:next w:val="Normal"/>
    <w:link w:val="DateChar"/>
    <w:rsid w:val="000F5A53"/>
    <w:rPr>
      <w:rFonts w:ascii="Georgia" w:eastAsia="Times New Roman" w:hAnsi="Georgia"/>
      <w:sz w:val="20"/>
      <w:szCs w:val="20"/>
      <w:lang w:val="en-GB" w:eastAsia="en-GB"/>
    </w:rPr>
  </w:style>
  <w:style w:type="character" w:customStyle="1" w:styleId="DateChar">
    <w:name w:val="Date Char"/>
    <w:basedOn w:val="DefaultParagraphFont"/>
    <w:link w:val="Date"/>
    <w:rsid w:val="000F5A53"/>
    <w:rPr>
      <w:rFonts w:ascii="Georgia" w:eastAsia="Times New Roman" w:hAnsi="Georgia"/>
      <w:lang w:val="en-GB" w:eastAsia="en-GB"/>
    </w:rPr>
  </w:style>
  <w:style w:type="paragraph" w:styleId="DocumentMap">
    <w:name w:val="Document Map"/>
    <w:basedOn w:val="Normal"/>
    <w:link w:val="DocumentMapChar"/>
    <w:semiHidden/>
    <w:rsid w:val="000F5A53"/>
    <w:pPr>
      <w:shd w:val="clear" w:color="auto" w:fill="000080"/>
    </w:pPr>
    <w:rPr>
      <w:rFonts w:ascii="Georgia" w:eastAsia="Times New Roman" w:hAnsi="Georgia" w:cs="Tahoma"/>
      <w:sz w:val="20"/>
      <w:szCs w:val="20"/>
      <w:lang w:val="en-GB" w:eastAsia="en-GB"/>
    </w:rPr>
  </w:style>
  <w:style w:type="character" w:customStyle="1" w:styleId="DocumentMapChar">
    <w:name w:val="Document Map Char"/>
    <w:basedOn w:val="DefaultParagraphFont"/>
    <w:link w:val="DocumentMap"/>
    <w:semiHidden/>
    <w:rsid w:val="000F5A53"/>
    <w:rPr>
      <w:rFonts w:ascii="Georgia" w:eastAsia="Times New Roman" w:hAnsi="Georgia" w:cs="Tahoma"/>
      <w:shd w:val="clear" w:color="auto" w:fill="000080"/>
      <w:lang w:val="en-GB" w:eastAsia="en-GB"/>
    </w:rPr>
  </w:style>
  <w:style w:type="paragraph" w:styleId="E-mailSignature">
    <w:name w:val="E-mail Signature"/>
    <w:basedOn w:val="Normal"/>
    <w:link w:val="E-mailSignatureChar"/>
    <w:rsid w:val="000F5A53"/>
    <w:rPr>
      <w:rFonts w:ascii="Georgia" w:eastAsia="Times New Roman" w:hAnsi="Georgia"/>
      <w:sz w:val="20"/>
      <w:szCs w:val="20"/>
      <w:lang w:val="en-GB" w:eastAsia="en-GB"/>
    </w:rPr>
  </w:style>
  <w:style w:type="character" w:customStyle="1" w:styleId="E-mailSignatureChar">
    <w:name w:val="E-mail Signature Char"/>
    <w:basedOn w:val="DefaultParagraphFont"/>
    <w:link w:val="E-mailSignature"/>
    <w:rsid w:val="000F5A53"/>
    <w:rPr>
      <w:rFonts w:ascii="Georgia" w:eastAsia="Times New Roman" w:hAnsi="Georgia"/>
      <w:lang w:val="en-GB" w:eastAsia="en-GB"/>
    </w:rPr>
  </w:style>
  <w:style w:type="paragraph" w:styleId="EnvelopeAddress">
    <w:name w:val="envelope address"/>
    <w:basedOn w:val="Normal"/>
    <w:rsid w:val="000F5A53"/>
    <w:pPr>
      <w:framePr w:w="7920" w:h="1980" w:hRule="exact" w:hSpace="180" w:wrap="auto" w:hAnchor="page" w:xAlign="center" w:yAlign="bottom"/>
      <w:ind w:left="2880"/>
    </w:pPr>
    <w:rPr>
      <w:rFonts w:ascii="Georgia" w:eastAsia="Times New Roman" w:hAnsi="Georgia" w:cs="Arial"/>
      <w:sz w:val="24"/>
      <w:lang w:val="en-GB" w:eastAsia="en-GB"/>
    </w:rPr>
  </w:style>
  <w:style w:type="paragraph" w:styleId="EnvelopeReturn">
    <w:name w:val="envelope return"/>
    <w:basedOn w:val="Normal"/>
    <w:rsid w:val="000F5A53"/>
    <w:rPr>
      <w:rFonts w:ascii="Georgia" w:eastAsia="Times New Roman" w:hAnsi="Georgia" w:cs="Arial"/>
      <w:sz w:val="20"/>
      <w:szCs w:val="20"/>
      <w:lang w:val="en-GB" w:eastAsia="en-GB"/>
    </w:rPr>
  </w:style>
  <w:style w:type="character" w:styleId="FollowedHyperlink">
    <w:name w:val="FollowedHyperlink"/>
    <w:rsid w:val="000F5A53"/>
    <w:rPr>
      <w:color w:val="800080"/>
      <w:u w:val="single"/>
    </w:rPr>
  </w:style>
  <w:style w:type="character" w:styleId="HTMLAcronym">
    <w:name w:val="HTML Acronym"/>
    <w:basedOn w:val="DefaultParagraphFont"/>
    <w:rsid w:val="000F5A53"/>
  </w:style>
  <w:style w:type="paragraph" w:styleId="HTMLAddress">
    <w:name w:val="HTML Address"/>
    <w:basedOn w:val="Normal"/>
    <w:link w:val="HTMLAddressChar"/>
    <w:rsid w:val="000F5A53"/>
    <w:rPr>
      <w:rFonts w:ascii="Georgia" w:eastAsia="Times New Roman" w:hAnsi="Georgia"/>
      <w:i/>
      <w:iCs/>
      <w:sz w:val="20"/>
      <w:szCs w:val="20"/>
      <w:lang w:val="en-GB" w:eastAsia="en-GB"/>
    </w:rPr>
  </w:style>
  <w:style w:type="character" w:customStyle="1" w:styleId="HTMLAddressChar">
    <w:name w:val="HTML Address Char"/>
    <w:basedOn w:val="DefaultParagraphFont"/>
    <w:link w:val="HTMLAddress"/>
    <w:rsid w:val="000F5A53"/>
    <w:rPr>
      <w:rFonts w:ascii="Georgia" w:eastAsia="Times New Roman" w:hAnsi="Georgia"/>
      <w:i/>
      <w:iCs/>
      <w:lang w:val="en-GB" w:eastAsia="en-GB"/>
    </w:rPr>
  </w:style>
  <w:style w:type="character" w:styleId="HTMLCite">
    <w:name w:val="HTML Cite"/>
    <w:rsid w:val="000F5A53"/>
    <w:rPr>
      <w:i/>
      <w:iCs/>
    </w:rPr>
  </w:style>
  <w:style w:type="character" w:styleId="HTMLCode">
    <w:name w:val="HTML Code"/>
    <w:rsid w:val="000F5A53"/>
    <w:rPr>
      <w:rFonts w:ascii="Georgia" w:hAnsi="Georgia" w:cs="Courier New"/>
      <w:sz w:val="20"/>
      <w:szCs w:val="20"/>
    </w:rPr>
  </w:style>
  <w:style w:type="character" w:styleId="HTMLDefinition">
    <w:name w:val="HTML Definition"/>
    <w:rsid w:val="000F5A53"/>
    <w:rPr>
      <w:i/>
      <w:iCs/>
    </w:rPr>
  </w:style>
  <w:style w:type="character" w:styleId="HTMLKeyboard">
    <w:name w:val="HTML Keyboard"/>
    <w:rsid w:val="000F5A53"/>
    <w:rPr>
      <w:rFonts w:ascii="Georgia" w:hAnsi="Georgia" w:cs="Courier New"/>
      <w:sz w:val="20"/>
      <w:szCs w:val="20"/>
    </w:rPr>
  </w:style>
  <w:style w:type="paragraph" w:styleId="HTMLPreformatted">
    <w:name w:val="HTML Preformatted"/>
    <w:basedOn w:val="Normal"/>
    <w:link w:val="HTMLPreformattedChar"/>
    <w:rsid w:val="000F5A53"/>
    <w:rPr>
      <w:rFonts w:ascii="Georgia" w:eastAsia="Times New Roman" w:hAnsi="Georgia" w:cs="Courier New"/>
      <w:sz w:val="20"/>
      <w:szCs w:val="20"/>
      <w:lang w:val="en-GB" w:eastAsia="en-GB"/>
    </w:rPr>
  </w:style>
  <w:style w:type="character" w:customStyle="1" w:styleId="HTMLPreformattedChar">
    <w:name w:val="HTML Preformatted Char"/>
    <w:basedOn w:val="DefaultParagraphFont"/>
    <w:link w:val="HTMLPreformatted"/>
    <w:rsid w:val="000F5A53"/>
    <w:rPr>
      <w:rFonts w:ascii="Georgia" w:eastAsia="Times New Roman" w:hAnsi="Georgia" w:cs="Courier New"/>
      <w:lang w:val="en-GB" w:eastAsia="en-GB"/>
    </w:rPr>
  </w:style>
  <w:style w:type="character" w:styleId="HTMLSample">
    <w:name w:val="HTML Sample"/>
    <w:rsid w:val="000F5A53"/>
    <w:rPr>
      <w:rFonts w:ascii="Georgia" w:hAnsi="Georgia" w:cs="Courier New"/>
    </w:rPr>
  </w:style>
  <w:style w:type="character" w:styleId="HTMLTypewriter">
    <w:name w:val="HTML Typewriter"/>
    <w:rsid w:val="000F5A53"/>
    <w:rPr>
      <w:rFonts w:ascii="Georgia" w:hAnsi="Georgia" w:cs="Courier New"/>
      <w:sz w:val="20"/>
      <w:szCs w:val="20"/>
    </w:rPr>
  </w:style>
  <w:style w:type="character" w:styleId="HTMLVariable">
    <w:name w:val="HTML Variable"/>
    <w:rsid w:val="000F5A53"/>
    <w:rPr>
      <w:i/>
      <w:iCs/>
    </w:rPr>
  </w:style>
  <w:style w:type="paragraph" w:styleId="Index1">
    <w:name w:val="index 1"/>
    <w:basedOn w:val="Normal"/>
    <w:next w:val="Normal"/>
    <w:autoRedefine/>
    <w:semiHidden/>
    <w:rsid w:val="000F5A53"/>
    <w:pPr>
      <w:ind w:left="200" w:hanging="200"/>
    </w:pPr>
    <w:rPr>
      <w:rFonts w:ascii="Georgia" w:eastAsia="Times New Roman" w:hAnsi="Georgia"/>
      <w:sz w:val="20"/>
      <w:szCs w:val="20"/>
      <w:lang w:val="en-GB" w:eastAsia="en-GB"/>
    </w:rPr>
  </w:style>
  <w:style w:type="paragraph" w:styleId="Index2">
    <w:name w:val="index 2"/>
    <w:basedOn w:val="Normal"/>
    <w:next w:val="Normal"/>
    <w:autoRedefine/>
    <w:semiHidden/>
    <w:rsid w:val="000F5A53"/>
    <w:pPr>
      <w:ind w:left="400" w:hanging="200"/>
    </w:pPr>
    <w:rPr>
      <w:rFonts w:ascii="Georgia" w:eastAsia="Times New Roman" w:hAnsi="Georgia"/>
      <w:sz w:val="20"/>
      <w:szCs w:val="20"/>
      <w:lang w:val="en-GB" w:eastAsia="en-GB"/>
    </w:rPr>
  </w:style>
  <w:style w:type="paragraph" w:styleId="Index3">
    <w:name w:val="index 3"/>
    <w:basedOn w:val="Normal"/>
    <w:next w:val="Normal"/>
    <w:autoRedefine/>
    <w:semiHidden/>
    <w:rsid w:val="000F5A53"/>
    <w:pPr>
      <w:ind w:left="600" w:hanging="200"/>
    </w:pPr>
    <w:rPr>
      <w:rFonts w:ascii="Georgia" w:eastAsia="Times New Roman" w:hAnsi="Georgia"/>
      <w:sz w:val="20"/>
      <w:szCs w:val="20"/>
      <w:lang w:val="en-GB" w:eastAsia="en-GB"/>
    </w:rPr>
  </w:style>
  <w:style w:type="paragraph" w:styleId="Index4">
    <w:name w:val="index 4"/>
    <w:basedOn w:val="Normal"/>
    <w:next w:val="Normal"/>
    <w:autoRedefine/>
    <w:semiHidden/>
    <w:rsid w:val="000F5A53"/>
    <w:pPr>
      <w:ind w:left="800" w:hanging="200"/>
    </w:pPr>
    <w:rPr>
      <w:rFonts w:ascii="Georgia" w:eastAsia="Times New Roman" w:hAnsi="Georgia"/>
      <w:sz w:val="20"/>
      <w:szCs w:val="20"/>
      <w:lang w:val="en-GB" w:eastAsia="en-GB"/>
    </w:rPr>
  </w:style>
  <w:style w:type="paragraph" w:styleId="Index5">
    <w:name w:val="index 5"/>
    <w:basedOn w:val="Normal"/>
    <w:next w:val="Normal"/>
    <w:autoRedefine/>
    <w:semiHidden/>
    <w:rsid w:val="000F5A53"/>
    <w:pPr>
      <w:ind w:left="1000" w:hanging="200"/>
    </w:pPr>
    <w:rPr>
      <w:rFonts w:ascii="Georgia" w:eastAsia="Times New Roman" w:hAnsi="Georgia"/>
      <w:sz w:val="20"/>
      <w:szCs w:val="20"/>
      <w:lang w:val="en-GB" w:eastAsia="en-GB"/>
    </w:rPr>
  </w:style>
  <w:style w:type="paragraph" w:styleId="Index6">
    <w:name w:val="index 6"/>
    <w:basedOn w:val="Normal"/>
    <w:next w:val="Normal"/>
    <w:autoRedefine/>
    <w:semiHidden/>
    <w:rsid w:val="000F5A53"/>
    <w:pPr>
      <w:ind w:left="1200" w:hanging="200"/>
    </w:pPr>
    <w:rPr>
      <w:rFonts w:ascii="Georgia" w:eastAsia="Times New Roman" w:hAnsi="Georgia"/>
      <w:sz w:val="20"/>
      <w:szCs w:val="20"/>
      <w:lang w:val="en-GB" w:eastAsia="en-GB"/>
    </w:rPr>
  </w:style>
  <w:style w:type="paragraph" w:styleId="Index7">
    <w:name w:val="index 7"/>
    <w:basedOn w:val="Normal"/>
    <w:next w:val="Normal"/>
    <w:autoRedefine/>
    <w:semiHidden/>
    <w:rsid w:val="000F5A53"/>
    <w:pPr>
      <w:ind w:left="1400" w:hanging="200"/>
    </w:pPr>
    <w:rPr>
      <w:rFonts w:ascii="Georgia" w:eastAsia="Times New Roman" w:hAnsi="Georgia"/>
      <w:sz w:val="20"/>
      <w:szCs w:val="20"/>
      <w:lang w:val="en-GB" w:eastAsia="en-GB"/>
    </w:rPr>
  </w:style>
  <w:style w:type="paragraph" w:styleId="Index8">
    <w:name w:val="index 8"/>
    <w:basedOn w:val="Normal"/>
    <w:next w:val="Normal"/>
    <w:autoRedefine/>
    <w:semiHidden/>
    <w:rsid w:val="000F5A53"/>
    <w:pPr>
      <w:ind w:left="1600" w:hanging="200"/>
    </w:pPr>
    <w:rPr>
      <w:rFonts w:ascii="Georgia" w:eastAsia="Times New Roman" w:hAnsi="Georgia"/>
      <w:sz w:val="20"/>
      <w:szCs w:val="20"/>
      <w:lang w:val="en-GB" w:eastAsia="en-GB"/>
    </w:rPr>
  </w:style>
  <w:style w:type="paragraph" w:styleId="Index9">
    <w:name w:val="index 9"/>
    <w:basedOn w:val="Normal"/>
    <w:next w:val="Normal"/>
    <w:autoRedefine/>
    <w:semiHidden/>
    <w:rsid w:val="000F5A53"/>
    <w:pPr>
      <w:ind w:left="1800" w:hanging="200"/>
    </w:pPr>
    <w:rPr>
      <w:rFonts w:ascii="Georgia" w:eastAsia="Times New Roman" w:hAnsi="Georgia"/>
      <w:sz w:val="20"/>
      <w:szCs w:val="20"/>
      <w:lang w:val="en-GB" w:eastAsia="en-GB"/>
    </w:rPr>
  </w:style>
  <w:style w:type="paragraph" w:styleId="IndexHeading">
    <w:name w:val="index heading"/>
    <w:basedOn w:val="Normal"/>
    <w:next w:val="Index1"/>
    <w:semiHidden/>
    <w:rsid w:val="000F5A53"/>
    <w:rPr>
      <w:rFonts w:ascii="Georgia" w:eastAsia="Times New Roman" w:hAnsi="Georgia" w:cs="Arial"/>
      <w:b/>
      <w:bCs/>
      <w:sz w:val="20"/>
      <w:szCs w:val="20"/>
      <w:lang w:val="en-GB" w:eastAsia="en-GB"/>
    </w:rPr>
  </w:style>
  <w:style w:type="character" w:styleId="LineNumber">
    <w:name w:val="line number"/>
    <w:basedOn w:val="DefaultParagraphFont"/>
    <w:rsid w:val="000F5A53"/>
  </w:style>
  <w:style w:type="paragraph" w:styleId="List2">
    <w:name w:val="List 2"/>
    <w:basedOn w:val="Normal"/>
    <w:rsid w:val="000F5A53"/>
    <w:pPr>
      <w:ind w:left="566" w:hanging="283"/>
    </w:pPr>
    <w:rPr>
      <w:rFonts w:ascii="Georgia" w:eastAsia="Times New Roman" w:hAnsi="Georgia"/>
      <w:sz w:val="20"/>
      <w:szCs w:val="20"/>
      <w:lang w:val="en-GB" w:eastAsia="en-GB"/>
    </w:rPr>
  </w:style>
  <w:style w:type="paragraph" w:styleId="List3">
    <w:name w:val="List 3"/>
    <w:basedOn w:val="Normal"/>
    <w:rsid w:val="000F5A53"/>
    <w:pPr>
      <w:ind w:left="849" w:hanging="283"/>
    </w:pPr>
    <w:rPr>
      <w:rFonts w:ascii="Georgia" w:eastAsia="Times New Roman" w:hAnsi="Georgia"/>
      <w:sz w:val="20"/>
      <w:szCs w:val="20"/>
      <w:lang w:val="en-GB" w:eastAsia="en-GB"/>
    </w:rPr>
  </w:style>
  <w:style w:type="paragraph" w:styleId="List4">
    <w:name w:val="List 4"/>
    <w:basedOn w:val="Normal"/>
    <w:rsid w:val="000F5A53"/>
    <w:pPr>
      <w:ind w:left="1132" w:hanging="283"/>
    </w:pPr>
    <w:rPr>
      <w:rFonts w:ascii="Georgia" w:eastAsia="Times New Roman" w:hAnsi="Georgia"/>
      <w:sz w:val="20"/>
      <w:szCs w:val="20"/>
      <w:lang w:val="en-GB" w:eastAsia="en-GB"/>
    </w:rPr>
  </w:style>
  <w:style w:type="paragraph" w:styleId="List5">
    <w:name w:val="List 5"/>
    <w:basedOn w:val="Normal"/>
    <w:rsid w:val="000F5A53"/>
    <w:pPr>
      <w:ind w:left="1415" w:hanging="283"/>
    </w:pPr>
    <w:rPr>
      <w:rFonts w:ascii="Georgia" w:eastAsia="Times New Roman" w:hAnsi="Georgia"/>
      <w:sz w:val="20"/>
      <w:szCs w:val="20"/>
      <w:lang w:val="en-GB" w:eastAsia="en-GB"/>
    </w:rPr>
  </w:style>
  <w:style w:type="paragraph" w:styleId="ListBullet">
    <w:name w:val="List Bullet"/>
    <w:basedOn w:val="Normal"/>
    <w:rsid w:val="000F5A53"/>
    <w:pPr>
      <w:numPr>
        <w:numId w:val="16"/>
      </w:numPr>
    </w:pPr>
    <w:rPr>
      <w:rFonts w:ascii="Georgia" w:eastAsia="Times New Roman" w:hAnsi="Georgia"/>
      <w:sz w:val="20"/>
      <w:szCs w:val="20"/>
      <w:lang w:val="en-GB" w:eastAsia="en-GB"/>
    </w:rPr>
  </w:style>
  <w:style w:type="paragraph" w:styleId="ListBullet2">
    <w:name w:val="List Bullet 2"/>
    <w:basedOn w:val="Normal"/>
    <w:rsid w:val="000F5A53"/>
    <w:pPr>
      <w:numPr>
        <w:numId w:val="17"/>
      </w:numPr>
    </w:pPr>
    <w:rPr>
      <w:rFonts w:ascii="Georgia" w:eastAsia="Times New Roman" w:hAnsi="Georgia"/>
      <w:sz w:val="20"/>
      <w:szCs w:val="20"/>
      <w:lang w:val="en-GB" w:eastAsia="en-GB"/>
    </w:rPr>
  </w:style>
  <w:style w:type="paragraph" w:styleId="ListBullet3">
    <w:name w:val="List Bullet 3"/>
    <w:basedOn w:val="Normal"/>
    <w:rsid w:val="000F5A53"/>
    <w:pPr>
      <w:numPr>
        <w:numId w:val="18"/>
      </w:numPr>
    </w:pPr>
    <w:rPr>
      <w:rFonts w:ascii="Georgia" w:eastAsia="Times New Roman" w:hAnsi="Georgia"/>
      <w:sz w:val="20"/>
      <w:szCs w:val="20"/>
      <w:lang w:val="en-GB" w:eastAsia="en-GB"/>
    </w:rPr>
  </w:style>
  <w:style w:type="paragraph" w:styleId="ListBullet4">
    <w:name w:val="List Bullet 4"/>
    <w:basedOn w:val="Normal"/>
    <w:rsid w:val="000F5A53"/>
    <w:pPr>
      <w:numPr>
        <w:numId w:val="19"/>
      </w:numPr>
    </w:pPr>
    <w:rPr>
      <w:rFonts w:ascii="Georgia" w:eastAsia="Times New Roman" w:hAnsi="Georgia"/>
      <w:sz w:val="20"/>
      <w:szCs w:val="20"/>
      <w:lang w:val="en-GB" w:eastAsia="en-GB"/>
    </w:rPr>
  </w:style>
  <w:style w:type="paragraph" w:styleId="ListBullet5">
    <w:name w:val="List Bullet 5"/>
    <w:basedOn w:val="Normal"/>
    <w:rsid w:val="000F5A53"/>
    <w:pPr>
      <w:numPr>
        <w:numId w:val="20"/>
      </w:numPr>
    </w:pPr>
    <w:rPr>
      <w:rFonts w:ascii="Georgia" w:eastAsia="Times New Roman" w:hAnsi="Georgia"/>
      <w:sz w:val="20"/>
      <w:szCs w:val="20"/>
      <w:lang w:val="en-GB" w:eastAsia="en-GB"/>
    </w:rPr>
  </w:style>
  <w:style w:type="paragraph" w:styleId="ListContinue">
    <w:name w:val="List Continue"/>
    <w:basedOn w:val="Normal"/>
    <w:rsid w:val="000F5A53"/>
    <w:pPr>
      <w:spacing w:after="120"/>
      <w:ind w:left="283"/>
    </w:pPr>
    <w:rPr>
      <w:rFonts w:ascii="Georgia" w:eastAsia="Times New Roman" w:hAnsi="Georgia"/>
      <w:sz w:val="20"/>
      <w:szCs w:val="20"/>
      <w:lang w:val="en-GB" w:eastAsia="en-GB"/>
    </w:rPr>
  </w:style>
  <w:style w:type="paragraph" w:styleId="ListContinue2">
    <w:name w:val="List Continue 2"/>
    <w:basedOn w:val="Normal"/>
    <w:rsid w:val="000F5A53"/>
    <w:pPr>
      <w:spacing w:after="120"/>
      <w:ind w:left="566"/>
    </w:pPr>
    <w:rPr>
      <w:rFonts w:ascii="Georgia" w:eastAsia="Times New Roman" w:hAnsi="Georgia"/>
      <w:sz w:val="20"/>
      <w:szCs w:val="20"/>
      <w:lang w:val="en-GB" w:eastAsia="en-GB"/>
    </w:rPr>
  </w:style>
  <w:style w:type="paragraph" w:styleId="ListContinue3">
    <w:name w:val="List Continue 3"/>
    <w:basedOn w:val="Normal"/>
    <w:rsid w:val="000F5A53"/>
    <w:pPr>
      <w:spacing w:after="120"/>
      <w:ind w:left="849"/>
    </w:pPr>
    <w:rPr>
      <w:rFonts w:ascii="Georgia" w:eastAsia="Times New Roman" w:hAnsi="Georgia"/>
      <w:sz w:val="20"/>
      <w:szCs w:val="20"/>
      <w:lang w:val="en-GB" w:eastAsia="en-GB"/>
    </w:rPr>
  </w:style>
  <w:style w:type="paragraph" w:styleId="ListContinue4">
    <w:name w:val="List Continue 4"/>
    <w:basedOn w:val="Normal"/>
    <w:rsid w:val="000F5A53"/>
    <w:pPr>
      <w:spacing w:after="120"/>
      <w:ind w:left="1132"/>
    </w:pPr>
    <w:rPr>
      <w:rFonts w:ascii="Georgia" w:eastAsia="Times New Roman" w:hAnsi="Georgia"/>
      <w:sz w:val="20"/>
      <w:szCs w:val="20"/>
      <w:lang w:val="en-GB" w:eastAsia="en-GB"/>
    </w:rPr>
  </w:style>
  <w:style w:type="paragraph" w:styleId="ListContinue5">
    <w:name w:val="List Continue 5"/>
    <w:basedOn w:val="Normal"/>
    <w:rsid w:val="000F5A53"/>
    <w:pPr>
      <w:spacing w:after="120"/>
      <w:ind w:left="1415"/>
    </w:pPr>
    <w:rPr>
      <w:rFonts w:ascii="Georgia" w:eastAsia="Times New Roman" w:hAnsi="Georgia"/>
      <w:sz w:val="20"/>
      <w:szCs w:val="20"/>
      <w:lang w:val="en-GB" w:eastAsia="en-GB"/>
    </w:rPr>
  </w:style>
  <w:style w:type="paragraph" w:styleId="ListNumber5">
    <w:name w:val="List Number 5"/>
    <w:basedOn w:val="Normal"/>
    <w:rsid w:val="000F5A53"/>
    <w:pPr>
      <w:numPr>
        <w:numId w:val="21"/>
      </w:numPr>
    </w:pPr>
    <w:rPr>
      <w:rFonts w:ascii="Georgia" w:eastAsia="Times New Roman" w:hAnsi="Georgia"/>
      <w:sz w:val="20"/>
      <w:szCs w:val="20"/>
      <w:lang w:val="en-GB" w:eastAsia="en-GB"/>
    </w:rPr>
  </w:style>
  <w:style w:type="paragraph" w:styleId="MacroText">
    <w:name w:val="macro"/>
    <w:link w:val="MacroTextChar"/>
    <w:semiHidden/>
    <w:rsid w:val="000F5A53"/>
    <w:pPr>
      <w:tabs>
        <w:tab w:val="left" w:pos="480"/>
        <w:tab w:val="left" w:pos="960"/>
        <w:tab w:val="left" w:pos="1440"/>
        <w:tab w:val="left" w:pos="1920"/>
        <w:tab w:val="left" w:pos="2400"/>
        <w:tab w:val="left" w:pos="2880"/>
        <w:tab w:val="left" w:pos="3360"/>
        <w:tab w:val="left" w:pos="3840"/>
        <w:tab w:val="left" w:pos="4320"/>
      </w:tabs>
    </w:pPr>
    <w:rPr>
      <w:rFonts w:ascii="Georgia" w:eastAsia="Times New Roman" w:hAnsi="Georgia" w:cs="Courier New"/>
      <w:lang w:val="en-GB" w:eastAsia="en-GB"/>
    </w:rPr>
  </w:style>
  <w:style w:type="character" w:customStyle="1" w:styleId="MacroTextChar">
    <w:name w:val="Macro Text Char"/>
    <w:basedOn w:val="DefaultParagraphFont"/>
    <w:link w:val="MacroText"/>
    <w:semiHidden/>
    <w:rsid w:val="000F5A53"/>
    <w:rPr>
      <w:rFonts w:ascii="Georgia" w:eastAsia="Times New Roman" w:hAnsi="Georgia" w:cs="Courier New"/>
      <w:lang w:val="en-GB" w:eastAsia="en-GB"/>
    </w:rPr>
  </w:style>
  <w:style w:type="paragraph" w:styleId="MessageHeader">
    <w:name w:val="Message Header"/>
    <w:basedOn w:val="Normal"/>
    <w:link w:val="MessageHeaderChar"/>
    <w:rsid w:val="000F5A53"/>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imes New Roman" w:hAnsi="Georgia" w:cs="Arial"/>
      <w:sz w:val="24"/>
      <w:lang w:val="en-GB" w:eastAsia="en-GB"/>
    </w:rPr>
  </w:style>
  <w:style w:type="character" w:customStyle="1" w:styleId="MessageHeaderChar">
    <w:name w:val="Message Header Char"/>
    <w:basedOn w:val="DefaultParagraphFont"/>
    <w:link w:val="MessageHeader"/>
    <w:rsid w:val="000F5A53"/>
    <w:rPr>
      <w:rFonts w:ascii="Georgia" w:eastAsia="Times New Roman" w:hAnsi="Georgia" w:cs="Arial"/>
      <w:sz w:val="24"/>
      <w:szCs w:val="24"/>
      <w:shd w:val="pct20" w:color="auto" w:fill="auto"/>
      <w:lang w:val="en-GB" w:eastAsia="en-GB"/>
    </w:rPr>
  </w:style>
  <w:style w:type="paragraph" w:customStyle="1" w:styleId="NoteHeading1">
    <w:name w:val="Note Heading1"/>
    <w:basedOn w:val="Normal"/>
    <w:next w:val="Normal"/>
    <w:link w:val="NoteHeadingChar"/>
    <w:rsid w:val="000F5A53"/>
    <w:rPr>
      <w:rFonts w:ascii="Georgia" w:eastAsia="Times New Roman" w:hAnsi="Georgia"/>
      <w:sz w:val="20"/>
      <w:szCs w:val="20"/>
      <w:lang w:val="en-GB" w:eastAsia="en-GB"/>
    </w:rPr>
  </w:style>
  <w:style w:type="character" w:customStyle="1" w:styleId="NoteHeadingChar">
    <w:name w:val="Note Heading Char"/>
    <w:basedOn w:val="DefaultParagraphFont"/>
    <w:link w:val="NoteHeading1"/>
    <w:rsid w:val="000F5A53"/>
    <w:rPr>
      <w:rFonts w:ascii="Georgia" w:eastAsia="Times New Roman" w:hAnsi="Georgia"/>
      <w:lang w:val="en-GB" w:eastAsia="en-GB"/>
    </w:rPr>
  </w:style>
  <w:style w:type="paragraph" w:styleId="PlainText">
    <w:name w:val="Plain Text"/>
    <w:basedOn w:val="Normal"/>
    <w:link w:val="PlainTextChar"/>
    <w:rsid w:val="000F5A53"/>
    <w:rPr>
      <w:rFonts w:ascii="Georgia" w:eastAsia="Times New Roman" w:hAnsi="Georgia" w:cs="Courier New"/>
      <w:sz w:val="20"/>
      <w:szCs w:val="20"/>
      <w:lang w:val="en-GB" w:eastAsia="en-GB"/>
    </w:rPr>
  </w:style>
  <w:style w:type="character" w:customStyle="1" w:styleId="PlainTextChar">
    <w:name w:val="Plain Text Char"/>
    <w:basedOn w:val="DefaultParagraphFont"/>
    <w:link w:val="PlainText"/>
    <w:rsid w:val="000F5A53"/>
    <w:rPr>
      <w:rFonts w:ascii="Georgia" w:eastAsia="Times New Roman" w:hAnsi="Georgia" w:cs="Courier New"/>
      <w:lang w:val="en-GB" w:eastAsia="en-GB"/>
    </w:rPr>
  </w:style>
  <w:style w:type="paragraph" w:styleId="Salutation">
    <w:name w:val="Salutation"/>
    <w:basedOn w:val="Normal"/>
    <w:next w:val="Normal"/>
    <w:link w:val="SalutationChar"/>
    <w:rsid w:val="000F5A53"/>
    <w:rPr>
      <w:rFonts w:ascii="Georgia" w:eastAsia="Times New Roman" w:hAnsi="Georgia"/>
      <w:sz w:val="20"/>
      <w:szCs w:val="20"/>
      <w:lang w:val="en-GB" w:eastAsia="en-GB"/>
    </w:rPr>
  </w:style>
  <w:style w:type="character" w:customStyle="1" w:styleId="SalutationChar">
    <w:name w:val="Salutation Char"/>
    <w:basedOn w:val="DefaultParagraphFont"/>
    <w:link w:val="Salutation"/>
    <w:rsid w:val="000F5A53"/>
    <w:rPr>
      <w:rFonts w:ascii="Georgia" w:eastAsia="Times New Roman" w:hAnsi="Georgia"/>
      <w:lang w:val="en-GB" w:eastAsia="en-GB"/>
    </w:rPr>
  </w:style>
  <w:style w:type="paragraph" w:styleId="Signature">
    <w:name w:val="Signature"/>
    <w:basedOn w:val="Normal"/>
    <w:link w:val="SignatureChar"/>
    <w:rsid w:val="000F5A53"/>
    <w:pPr>
      <w:ind w:left="4252"/>
    </w:pPr>
    <w:rPr>
      <w:rFonts w:ascii="Georgia" w:eastAsia="Times New Roman" w:hAnsi="Georgia"/>
      <w:sz w:val="20"/>
      <w:szCs w:val="20"/>
      <w:lang w:val="en-GB" w:eastAsia="en-GB"/>
    </w:rPr>
  </w:style>
  <w:style w:type="character" w:customStyle="1" w:styleId="SignatureChar">
    <w:name w:val="Signature Char"/>
    <w:basedOn w:val="DefaultParagraphFont"/>
    <w:link w:val="Signature"/>
    <w:rsid w:val="000F5A53"/>
    <w:rPr>
      <w:rFonts w:ascii="Georgia" w:eastAsia="Times New Roman" w:hAnsi="Georgia"/>
      <w:lang w:val="en-GB" w:eastAsia="en-GB"/>
    </w:rPr>
  </w:style>
  <w:style w:type="paragraph" w:styleId="Subtitle">
    <w:name w:val="Subtitle"/>
    <w:basedOn w:val="Normal"/>
    <w:link w:val="SubtitleChar"/>
    <w:qFormat/>
    <w:rsid w:val="000F5A53"/>
    <w:pPr>
      <w:spacing w:after="60"/>
      <w:jc w:val="center"/>
      <w:outlineLvl w:val="1"/>
    </w:pPr>
    <w:rPr>
      <w:rFonts w:ascii="Georgia" w:eastAsia="Times New Roman" w:hAnsi="Georgia" w:cs="Arial"/>
      <w:sz w:val="24"/>
      <w:lang w:val="en-GB" w:eastAsia="en-GB"/>
    </w:rPr>
  </w:style>
  <w:style w:type="character" w:customStyle="1" w:styleId="SubtitleChar">
    <w:name w:val="Subtitle Char"/>
    <w:basedOn w:val="DefaultParagraphFont"/>
    <w:link w:val="Subtitle"/>
    <w:uiPriority w:val="2"/>
    <w:rsid w:val="000F5A53"/>
    <w:rPr>
      <w:rFonts w:ascii="Georgia" w:eastAsia="Times New Roman" w:hAnsi="Georgia" w:cs="Arial"/>
      <w:sz w:val="24"/>
      <w:szCs w:val="24"/>
      <w:lang w:val="en-GB" w:eastAsia="en-GB"/>
    </w:rPr>
  </w:style>
  <w:style w:type="table" w:styleId="Table3Deffects1">
    <w:name w:val="Table 3D effects 1"/>
    <w:basedOn w:val="TableNormal"/>
    <w:rsid w:val="000F5A53"/>
    <w:rPr>
      <w:rFonts w:ascii="Georgia" w:eastAsia="Times New Roman" w:hAnsi="Georgia"/>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0F5A53"/>
    <w:rPr>
      <w:rFonts w:ascii="Georgia" w:eastAsia="Times New Roman" w:hAnsi="Georgia"/>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0F5A53"/>
    <w:rPr>
      <w:rFonts w:ascii="Georgia" w:eastAsia="Times New Roman" w:hAnsi="Georgia"/>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0F5A53"/>
    <w:rPr>
      <w:rFonts w:ascii="Georgia" w:eastAsia="Times New Roman" w:hAnsi="Georgia"/>
      <w:lang w:val="sv-SE"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0F5A53"/>
    <w:rPr>
      <w:rFonts w:ascii="Georgia" w:eastAsia="Times New Roman" w:hAnsi="Georgia"/>
      <w:lang w:val="sv-SE"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0F5A53"/>
    <w:rPr>
      <w:rFonts w:ascii="Georgia" w:eastAsia="Times New Roman" w:hAnsi="Georgia"/>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0F5A53"/>
    <w:rPr>
      <w:rFonts w:ascii="Georgia" w:eastAsia="Times New Roman" w:hAnsi="Georgia"/>
      <w:lang w:val="sv-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0F5A53"/>
    <w:rPr>
      <w:rFonts w:ascii="Georgia" w:eastAsia="Times New Roman" w:hAnsi="Georgia"/>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0F5A53"/>
    <w:rPr>
      <w:rFonts w:ascii="Georgia" w:eastAsia="Times New Roman" w:hAnsi="Georgia"/>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0F5A53"/>
    <w:rPr>
      <w:rFonts w:ascii="Georgia" w:eastAsia="Times New Roman" w:hAnsi="Georgia"/>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0F5A53"/>
    <w:rPr>
      <w:rFonts w:ascii="Georgia" w:eastAsia="Times New Roman" w:hAnsi="Georgia"/>
      <w:b/>
      <w:bCs/>
      <w:lang w:val="sv-SE"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0F5A53"/>
    <w:rPr>
      <w:rFonts w:ascii="Georgia" w:eastAsia="Times New Roman" w:hAnsi="Georgia"/>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F5A53"/>
    <w:rPr>
      <w:rFonts w:ascii="Georgia" w:eastAsia="Times New Roman" w:hAnsi="Georgia"/>
      <w:b/>
      <w:bCs/>
      <w:lang w:val="sv-SE"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0F5A53"/>
    <w:rPr>
      <w:rFonts w:ascii="Georgia" w:eastAsia="Times New Roman" w:hAnsi="Georgia"/>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F5A53"/>
    <w:rPr>
      <w:rFonts w:ascii="Georgia" w:eastAsia="Times New Roman" w:hAnsi="Georgia"/>
      <w:lang w:val="sv-SE"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F5A53"/>
    <w:rPr>
      <w:rFonts w:ascii="Georgia" w:eastAsia="Times New Roman" w:hAnsi="Georgia"/>
      <w:lang w:val="sv-SE" w:eastAsia="sv-SE"/>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0F5A53"/>
    <w:rPr>
      <w:rFonts w:ascii="Georgia" w:eastAsia="Times New Roman" w:hAnsi="Georgia"/>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rsid w:val="000F5A53"/>
    <w:rPr>
      <w:rFonts w:ascii="Georgia" w:eastAsia="Times New Roman" w:hAnsi="Georgia"/>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0F5A53"/>
    <w:rPr>
      <w:rFonts w:ascii="Georgia" w:eastAsia="Times New Roman" w:hAnsi="Georgia"/>
      <w:lang w:val="sv-SE" w:eastAsia="sv-S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0F5A53"/>
    <w:rPr>
      <w:rFonts w:ascii="Georgia" w:eastAsia="Times New Roman" w:hAnsi="Georgia"/>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0F5A53"/>
    <w:rPr>
      <w:rFonts w:ascii="Georgia" w:eastAsia="Times New Roman" w:hAnsi="Georgia"/>
      <w:lang w:val="sv-SE"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0F5A53"/>
    <w:rPr>
      <w:rFonts w:ascii="Georgia" w:eastAsia="Times New Roman" w:hAnsi="Georgia"/>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0F5A53"/>
    <w:rPr>
      <w:rFonts w:ascii="Georgia" w:eastAsia="Times New Roman" w:hAnsi="Georgia"/>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0F5A53"/>
    <w:rPr>
      <w:rFonts w:ascii="Georgia" w:eastAsia="Times New Roman" w:hAnsi="Georgia"/>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0F5A53"/>
    <w:rPr>
      <w:rFonts w:ascii="Georgia" w:eastAsia="Times New Roman" w:hAnsi="Georgia"/>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0F5A53"/>
    <w:rPr>
      <w:rFonts w:ascii="Georgia" w:eastAsia="Times New Roman" w:hAnsi="Georgia"/>
      <w:lang w:val="sv-SE"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0F5A53"/>
    <w:rPr>
      <w:rFonts w:ascii="Georgia" w:eastAsia="Times New Roman" w:hAnsi="Georgia"/>
      <w:lang w:val="sv-SE" w:eastAsia="sv-SE"/>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0F5A53"/>
    <w:rPr>
      <w:rFonts w:ascii="Georgia" w:eastAsia="Times New Roman" w:hAnsi="Georgia"/>
      <w:lang w:val="sv-SE"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0F5A53"/>
    <w:rPr>
      <w:rFonts w:ascii="Georgia" w:eastAsia="Times New Roman" w:hAnsi="Georgia"/>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0F5A53"/>
    <w:rPr>
      <w:rFonts w:ascii="Georgia" w:eastAsia="Times New Roman" w:hAnsi="Georgia"/>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0F5A53"/>
    <w:rPr>
      <w:rFonts w:ascii="Georgia" w:eastAsia="Times New Roman" w:hAnsi="Georgia"/>
      <w:lang w:val="sv-SE"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0F5A53"/>
    <w:rPr>
      <w:rFonts w:ascii="Georgia" w:eastAsia="Times New Roman" w:hAnsi="Georgia"/>
      <w:lang w:val="sv-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0F5A53"/>
    <w:rPr>
      <w:rFonts w:ascii="Georgia" w:eastAsia="Times New Roman" w:hAnsi="Georgia"/>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0F5A53"/>
    <w:pPr>
      <w:ind w:left="200" w:hanging="200"/>
    </w:pPr>
    <w:rPr>
      <w:rFonts w:ascii="Georgia" w:eastAsia="Times New Roman" w:hAnsi="Georgia"/>
      <w:sz w:val="20"/>
      <w:szCs w:val="20"/>
      <w:lang w:val="en-GB" w:eastAsia="en-GB"/>
    </w:rPr>
  </w:style>
  <w:style w:type="paragraph" w:styleId="TableofFigures">
    <w:name w:val="table of figures"/>
    <w:basedOn w:val="Normal"/>
    <w:next w:val="Normal"/>
    <w:semiHidden/>
    <w:rsid w:val="000F5A53"/>
    <w:rPr>
      <w:rFonts w:ascii="Georgia" w:eastAsia="Times New Roman" w:hAnsi="Georgia"/>
      <w:sz w:val="20"/>
      <w:szCs w:val="20"/>
      <w:lang w:val="en-GB" w:eastAsia="en-GB"/>
    </w:rPr>
  </w:style>
  <w:style w:type="table" w:styleId="TableProfessional">
    <w:name w:val="Table Professional"/>
    <w:basedOn w:val="TableNormal"/>
    <w:rsid w:val="000F5A53"/>
    <w:rPr>
      <w:rFonts w:ascii="Georgia" w:eastAsia="Times New Roman" w:hAnsi="Georgia"/>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0F5A53"/>
    <w:rPr>
      <w:rFonts w:ascii="Georgia" w:eastAsia="Times New Roman" w:hAnsi="Georgia"/>
      <w:lang w:val="sv-SE"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0F5A53"/>
    <w:rPr>
      <w:rFonts w:ascii="Georgia" w:eastAsia="Times New Roman" w:hAnsi="Georgia"/>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0F5A53"/>
    <w:rPr>
      <w:rFonts w:ascii="Georgia" w:eastAsia="Times New Roman" w:hAnsi="Georgia"/>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F5A53"/>
    <w:rPr>
      <w:rFonts w:ascii="Georgia" w:eastAsia="Times New Roman" w:hAnsi="Georgia"/>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0F5A53"/>
    <w:rPr>
      <w:rFonts w:ascii="Georgia" w:eastAsia="Times New Roman" w:hAnsi="Georgia"/>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F5A53"/>
    <w:rPr>
      <w:rFonts w:ascii="Georgia" w:eastAsia="Times New Roman" w:hAnsi="Georg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F5A53"/>
    <w:rPr>
      <w:rFonts w:ascii="Georgia" w:eastAsia="Times New Roman" w:hAnsi="Georgia"/>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0F5A53"/>
    <w:rPr>
      <w:rFonts w:ascii="Georgia" w:eastAsia="Times New Roman" w:hAnsi="Georgia"/>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0F5A53"/>
    <w:rPr>
      <w:rFonts w:ascii="Georgia" w:eastAsia="Times New Roman" w:hAnsi="Georgia"/>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0F5A53"/>
    <w:pPr>
      <w:spacing w:before="120"/>
    </w:pPr>
    <w:rPr>
      <w:rFonts w:ascii="Georgia" w:eastAsia="Times New Roman" w:hAnsi="Georgia" w:cs="Arial"/>
      <w:b/>
      <w:bCs/>
      <w:sz w:val="24"/>
      <w:lang w:val="en-GB" w:eastAsia="en-GB"/>
    </w:rPr>
  </w:style>
  <w:style w:type="paragraph" w:customStyle="1" w:styleId="NormalwithindentAltD">
    <w:name w:val="Normal with indent Alt+D"/>
    <w:basedOn w:val="Normal"/>
    <w:qFormat/>
    <w:rsid w:val="000F5A53"/>
    <w:pPr>
      <w:spacing w:after="240"/>
      <w:ind w:left="1009"/>
    </w:pPr>
    <w:rPr>
      <w:rFonts w:eastAsia="Times New Roman"/>
      <w:szCs w:val="22"/>
      <w:lang w:val="en-GB" w:eastAsia="sv-SE"/>
    </w:rPr>
  </w:style>
  <w:style w:type="paragraph" w:customStyle="1" w:styleId="Numbparagr2AltS">
    <w:name w:val="Numb paragr 2 Alt+S"/>
    <w:basedOn w:val="Heading2"/>
    <w:qFormat/>
    <w:rsid w:val="000F5A53"/>
    <w:pPr>
      <w:keepNext w:val="0"/>
      <w:numPr>
        <w:numId w:val="0"/>
      </w:numPr>
      <w:tabs>
        <w:tab w:val="num" w:pos="0"/>
        <w:tab w:val="num" w:pos="709"/>
      </w:tabs>
      <w:spacing w:after="240" w:line="240" w:lineRule="auto"/>
      <w:ind w:left="1009" w:hanging="1009"/>
    </w:pPr>
    <w:rPr>
      <w:rFonts w:ascii="Times New Roman" w:eastAsia="Times New Roman" w:hAnsi="Times New Roman"/>
      <w:b w:val="0"/>
      <w:kern w:val="32"/>
      <w:szCs w:val="22"/>
      <w:lang w:eastAsia="sv-SE"/>
    </w:rPr>
  </w:style>
  <w:style w:type="paragraph" w:customStyle="1" w:styleId="Listlevel1aAlt5">
    <w:name w:val="List level 1 (a) Alt+5"/>
    <w:uiPriority w:val="1"/>
    <w:qFormat/>
    <w:rsid w:val="000F5A53"/>
    <w:pPr>
      <w:tabs>
        <w:tab w:val="num" w:pos="1729"/>
      </w:tabs>
      <w:spacing w:after="240"/>
      <w:ind w:left="1729" w:hanging="720"/>
    </w:pPr>
    <w:rPr>
      <w:rFonts w:eastAsia="Times New Roman"/>
      <w:sz w:val="22"/>
      <w:szCs w:val="22"/>
      <w:lang w:val="en-GB" w:eastAsia="sv-SE"/>
    </w:rPr>
  </w:style>
  <w:style w:type="paragraph" w:customStyle="1" w:styleId="Normalmedindrag">
    <w:name w:val="Normal med indrag"/>
    <w:basedOn w:val="Normal"/>
    <w:rsid w:val="000F5A53"/>
    <w:pPr>
      <w:spacing w:after="240"/>
      <w:ind w:left="1009"/>
    </w:pPr>
    <w:rPr>
      <w:rFonts w:eastAsia="Times New Roman"/>
      <w:szCs w:val="22"/>
      <w:lang w:val="en-US" w:eastAsia="sv-SE"/>
    </w:rPr>
  </w:style>
  <w:style w:type="paragraph" w:customStyle="1" w:styleId="Rubr2">
    <w:name w:val="Rubr 2"/>
    <w:aliases w:val="Stycke"/>
    <w:basedOn w:val="Heading2"/>
    <w:rsid w:val="000F5A53"/>
    <w:pPr>
      <w:keepNext w:val="0"/>
      <w:numPr>
        <w:numId w:val="0"/>
      </w:numPr>
      <w:tabs>
        <w:tab w:val="num" w:pos="709"/>
      </w:tabs>
      <w:spacing w:after="240" w:line="240" w:lineRule="auto"/>
      <w:ind w:left="1009" w:hanging="1009"/>
    </w:pPr>
    <w:rPr>
      <w:rFonts w:ascii="Times New Roman" w:eastAsia="Times New Roman" w:hAnsi="Times New Roman"/>
      <w:b w:val="0"/>
      <w:kern w:val="32"/>
      <w:szCs w:val="22"/>
      <w:lang w:val="en-US" w:eastAsia="sv-SE"/>
    </w:rPr>
  </w:style>
  <w:style w:type="paragraph" w:customStyle="1" w:styleId="Schedule">
    <w:name w:val="Schedule"/>
    <w:next w:val="ScheduleHeadingToC"/>
    <w:rsid w:val="000F5A53"/>
    <w:pPr>
      <w:numPr>
        <w:numId w:val="26"/>
      </w:numPr>
      <w:spacing w:after="240"/>
      <w:jc w:val="center"/>
    </w:pPr>
    <w:rPr>
      <w:rFonts w:eastAsia="Times New Roman"/>
      <w:b/>
      <w:bCs/>
      <w:caps/>
      <w:sz w:val="22"/>
      <w:szCs w:val="22"/>
      <w:lang w:val="en-GB" w:eastAsia="sv-SE"/>
    </w:rPr>
  </w:style>
  <w:style w:type="paragraph" w:customStyle="1" w:styleId="ScheduleHeadingToC">
    <w:name w:val="Schedule Heading ToC"/>
    <w:next w:val="Normal"/>
    <w:uiPriority w:val="4"/>
    <w:qFormat/>
    <w:rsid w:val="000F5A53"/>
    <w:pPr>
      <w:numPr>
        <w:ilvl w:val="1"/>
        <w:numId w:val="26"/>
      </w:numPr>
      <w:spacing w:after="240"/>
      <w:jc w:val="center"/>
    </w:pPr>
    <w:rPr>
      <w:rFonts w:eastAsia="Times New Roman"/>
      <w:b/>
      <w:bCs/>
      <w:caps/>
      <w:sz w:val="22"/>
      <w:szCs w:val="22"/>
      <w:lang w:val="en-GB" w:eastAsia="sv-SE"/>
    </w:rPr>
  </w:style>
  <w:style w:type="paragraph" w:customStyle="1" w:styleId="ScheduleHeading1">
    <w:name w:val="Schedule Heading 1"/>
    <w:next w:val="NormalwithindentAltD"/>
    <w:uiPriority w:val="5"/>
    <w:qFormat/>
    <w:rsid w:val="000F5A53"/>
    <w:pPr>
      <w:keepNext/>
      <w:numPr>
        <w:ilvl w:val="2"/>
        <w:numId w:val="26"/>
      </w:numPr>
      <w:spacing w:before="240" w:after="240"/>
    </w:pPr>
    <w:rPr>
      <w:rFonts w:eastAsia="Times New Roman"/>
      <w:b/>
      <w:bCs/>
      <w:caps/>
      <w:sz w:val="22"/>
      <w:szCs w:val="22"/>
      <w:lang w:val="en-GB" w:eastAsia="sv-SE"/>
    </w:rPr>
  </w:style>
  <w:style w:type="paragraph" w:customStyle="1" w:styleId="ScheduleHeading2">
    <w:name w:val="Schedule Heading 2"/>
    <w:next w:val="NormalwithindentAltD"/>
    <w:rsid w:val="000F5A53"/>
    <w:pPr>
      <w:keepNext/>
      <w:numPr>
        <w:ilvl w:val="3"/>
        <w:numId w:val="26"/>
      </w:numPr>
      <w:spacing w:after="240"/>
    </w:pPr>
    <w:rPr>
      <w:rFonts w:eastAsia="Times New Roman"/>
      <w:b/>
      <w:bCs/>
      <w:sz w:val="22"/>
      <w:szCs w:val="22"/>
      <w:lang w:val="en-GB" w:eastAsia="sv-SE"/>
    </w:rPr>
  </w:style>
  <w:style w:type="paragraph" w:customStyle="1" w:styleId="ScheduleHeading3">
    <w:name w:val="Schedule Heading 3"/>
    <w:next w:val="NormalwithindentAltD"/>
    <w:rsid w:val="000F5A53"/>
    <w:pPr>
      <w:keepNext/>
      <w:numPr>
        <w:ilvl w:val="4"/>
        <w:numId w:val="26"/>
      </w:numPr>
      <w:spacing w:after="240"/>
    </w:pPr>
    <w:rPr>
      <w:rFonts w:eastAsia="Times New Roman"/>
      <w:sz w:val="22"/>
      <w:szCs w:val="22"/>
      <w:u w:val="single"/>
      <w:lang w:val="en-GB" w:eastAsia="sv-SE"/>
    </w:rPr>
  </w:style>
  <w:style w:type="paragraph" w:customStyle="1" w:styleId="DocID">
    <w:name w:val="DocID"/>
    <w:basedOn w:val="Footer"/>
    <w:next w:val="Footer"/>
    <w:link w:val="DocIDChar"/>
    <w:rsid w:val="000F5A53"/>
    <w:pPr>
      <w:tabs>
        <w:tab w:val="clear" w:pos="9350"/>
      </w:tabs>
      <w:spacing w:line="240" w:lineRule="auto"/>
    </w:pPr>
    <w:rPr>
      <w:rFonts w:ascii="Times New Roman" w:eastAsia="Times New Roman" w:hAnsi="Times New Roman"/>
      <w:noProof w:val="0"/>
      <w:lang w:eastAsia="en-GB"/>
    </w:rPr>
  </w:style>
  <w:style w:type="character" w:customStyle="1" w:styleId="DocIDChar">
    <w:name w:val="DocID Char"/>
    <w:link w:val="DocID"/>
    <w:rsid w:val="000F5A53"/>
    <w:rPr>
      <w:rFonts w:eastAsia="Times New Roman"/>
      <w:sz w:val="16"/>
      <w:szCs w:val="24"/>
      <w:lang w:val="en-GB" w:eastAsia="en-GB"/>
    </w:rPr>
  </w:style>
  <w:style w:type="paragraph" w:customStyle="1" w:styleId="ColorfulShading-Accent11">
    <w:name w:val="Colorful Shading - Accent 11"/>
    <w:hidden/>
    <w:uiPriority w:val="99"/>
    <w:semiHidden/>
    <w:rsid w:val="000F5A53"/>
    <w:rPr>
      <w:rFonts w:ascii="Georgia" w:eastAsia="Times New Roman" w:hAnsi="Georgia"/>
      <w:lang w:val="en-GB" w:eastAsia="en-GB"/>
    </w:rPr>
  </w:style>
  <w:style w:type="paragraph" w:customStyle="1" w:styleId="Listlevel2i">
    <w:name w:val="List level 2 (i)"/>
    <w:uiPriority w:val="1"/>
    <w:qFormat/>
    <w:rsid w:val="000F5A53"/>
    <w:pPr>
      <w:tabs>
        <w:tab w:val="num" w:pos="2449"/>
      </w:tabs>
      <w:spacing w:after="240"/>
      <w:ind w:left="2449" w:hanging="720"/>
    </w:pPr>
    <w:rPr>
      <w:rFonts w:eastAsia="Times New Roman"/>
      <w:sz w:val="22"/>
      <w:szCs w:val="24"/>
      <w:lang w:val="en-GB" w:eastAsia="sv-SE"/>
    </w:rPr>
  </w:style>
  <w:style w:type="paragraph" w:customStyle="1" w:styleId="Listlevel3A">
    <w:name w:val="List level 3 (A)"/>
    <w:uiPriority w:val="2"/>
    <w:qFormat/>
    <w:rsid w:val="000F5A53"/>
    <w:pPr>
      <w:tabs>
        <w:tab w:val="num" w:pos="3170"/>
      </w:tabs>
      <w:spacing w:after="240"/>
      <w:ind w:left="3170" w:hanging="721"/>
    </w:pPr>
    <w:rPr>
      <w:rFonts w:eastAsia="Times New Roman"/>
      <w:sz w:val="22"/>
      <w:szCs w:val="24"/>
      <w:lang w:val="en-GB" w:eastAsia="sv-SE"/>
    </w:rPr>
  </w:style>
  <w:style w:type="paragraph" w:customStyle="1" w:styleId="Numbparagr3AltU">
    <w:name w:val="Numb paragr 3 Alt+U"/>
    <w:basedOn w:val="Heading3"/>
    <w:qFormat/>
    <w:rsid w:val="000F5A53"/>
    <w:pPr>
      <w:numPr>
        <w:ilvl w:val="0"/>
        <w:numId w:val="0"/>
      </w:numPr>
      <w:tabs>
        <w:tab w:val="num" w:pos="1622"/>
      </w:tabs>
      <w:spacing w:after="240" w:line="240" w:lineRule="auto"/>
      <w:ind w:left="1622" w:hanging="902"/>
    </w:pPr>
    <w:rPr>
      <w:rFonts w:eastAsia="Times New Roman" w:cs="Arial"/>
      <w:bCs/>
      <w:iCs/>
      <w:kern w:val="32"/>
      <w:szCs w:val="26"/>
      <w:lang w:eastAsia="sv-SE"/>
    </w:rPr>
  </w:style>
  <w:style w:type="paragraph" w:customStyle="1" w:styleId="Headertitlepage">
    <w:name w:val="Header title page"/>
    <w:basedOn w:val="Normal"/>
    <w:rsid w:val="000F5A53"/>
    <w:pPr>
      <w:spacing w:after="240"/>
      <w:jc w:val="right"/>
    </w:pPr>
    <w:rPr>
      <w:rFonts w:eastAsia="Times New Roman"/>
      <w:lang w:val="en-GB" w:eastAsia="sv-SE"/>
    </w:rPr>
  </w:style>
  <w:style w:type="table" w:customStyle="1" w:styleId="BMTableFillGreen">
    <w:name w:val="B&amp;M Table Fill (Green)"/>
    <w:basedOn w:val="TableNormal"/>
    <w:uiPriority w:val="99"/>
    <w:rsid w:val="000F5A5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pPr>
        <w:jc w:val="left"/>
      </w:pPr>
      <w:rPr>
        <w:rFonts w:cs="Times New Roman"/>
        <w:color w:val="FFFFFF" w:themeColor="background1"/>
      </w:rPr>
      <w:tblPr/>
      <w:tcPr>
        <w:shd w:val="clear" w:color="auto" w:fill="A2AD00" w:themeFill="accent4"/>
      </w:tcPr>
    </w:tblStylePr>
    <w:tblStylePr w:type="lastRow">
      <w:rPr>
        <w:rFonts w:cs="Times New Roman"/>
      </w:rPr>
      <w:tblPr/>
      <w:tcPr>
        <w:tcBorders>
          <w:bottom w:val="single" w:sz="8" w:space="0" w:color="A2AD00" w:themeColor="accent4"/>
        </w:tcBorders>
        <w:shd w:val="clear" w:color="auto" w:fill="F2F2F2" w:themeFill="background1" w:themeFillShade="F2"/>
      </w:tcPr>
    </w:tblStylePr>
  </w:style>
  <w:style w:type="table" w:customStyle="1" w:styleId="BMTableFillBurgundy">
    <w:name w:val="B&amp;M Table Fill (Burgundy)"/>
    <w:basedOn w:val="TableNormal"/>
    <w:uiPriority w:val="99"/>
    <w:rsid w:val="000F5A5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pPr>
        <w:jc w:val="left"/>
      </w:pPr>
      <w:rPr>
        <w:rFonts w:cs="Times New Roman"/>
        <w:b w:val="0"/>
        <w:color w:val="FFFFFF"/>
      </w:rPr>
      <w:tblPr/>
      <w:tcPr>
        <w:tcBorders>
          <w:bottom w:val="nil"/>
        </w:tcBorders>
        <w:shd w:val="clear" w:color="auto" w:fill="A71930" w:themeFill="accent1"/>
      </w:tcPr>
    </w:tblStylePr>
    <w:tblStylePr w:type="lastRow">
      <w:rPr>
        <w:rFonts w:cs="Times New Roman"/>
      </w:rPr>
      <w:tblPr/>
      <w:tcPr>
        <w:tcBorders>
          <w:bottom w:val="single" w:sz="8" w:space="0" w:color="A71930" w:themeColor="accent1"/>
        </w:tcBorders>
        <w:shd w:val="clear" w:color="auto" w:fill="F2F2F2" w:themeFill="background1" w:themeFillShade="F2"/>
      </w:tcPr>
    </w:tblStylePr>
  </w:style>
  <w:style w:type="paragraph" w:customStyle="1" w:styleId="PrecedentCoverH1">
    <w:name w:val="Precedent Cover H1"/>
    <w:basedOn w:val="Normal"/>
    <w:uiPriority w:val="11"/>
    <w:rsid w:val="000F5A53"/>
    <w:pPr>
      <w:pageBreakBefore/>
      <w:spacing w:after="240" w:line="320" w:lineRule="atLeast"/>
      <w:outlineLvl w:val="0"/>
    </w:pPr>
    <w:rPr>
      <w:rFonts w:asciiTheme="majorHAnsi" w:hAnsiTheme="majorHAnsi" w:cstheme="minorBidi"/>
      <w:noProof/>
      <w:color w:val="A71930" w:themeColor="accent1"/>
      <w:sz w:val="40"/>
      <w:szCs w:val="28"/>
      <w:lang w:val="en-AU" w:eastAsia="en-AU"/>
    </w:rPr>
  </w:style>
  <w:style w:type="paragraph" w:customStyle="1" w:styleId="PrecedentCoverH2">
    <w:name w:val="Precedent Cover H2"/>
    <w:basedOn w:val="Normal"/>
    <w:uiPriority w:val="11"/>
    <w:rsid w:val="000F5A53"/>
    <w:pPr>
      <w:spacing w:before="240" w:after="120" w:line="240" w:lineRule="atLeast"/>
      <w:outlineLvl w:val="0"/>
    </w:pPr>
    <w:rPr>
      <w:rFonts w:ascii="Arial" w:eastAsia="MS Gothic" w:hAnsi="Arial" w:cs="Arial"/>
      <w:color w:val="A71930"/>
      <w:sz w:val="28"/>
      <w:lang w:val="en-GB" w:eastAsia="en-AU"/>
    </w:rPr>
  </w:style>
  <w:style w:type="paragraph" w:customStyle="1" w:styleId="PrecedentCoverDocumentTitle">
    <w:name w:val="Precedent Cover Document Title"/>
    <w:basedOn w:val="Normal"/>
    <w:uiPriority w:val="11"/>
    <w:rsid w:val="000F5A53"/>
    <w:pPr>
      <w:spacing w:before="360" w:after="120" w:line="240" w:lineRule="atLeast"/>
      <w:outlineLvl w:val="2"/>
    </w:pPr>
    <w:rPr>
      <w:rFonts w:ascii="Arial" w:eastAsia="MS Gothic" w:hAnsi="Arial" w:cs="Arial"/>
      <w:b/>
      <w:color w:val="404143" w:themeColor="text1"/>
      <w:sz w:val="36"/>
      <w:lang w:val="en-GB" w:eastAsia="en-AU"/>
    </w:rPr>
  </w:style>
  <w:style w:type="paragraph" w:customStyle="1" w:styleId="PrecedentCoverTableHeading">
    <w:name w:val="Precedent Cover Table Heading"/>
    <w:basedOn w:val="Normal"/>
    <w:uiPriority w:val="11"/>
    <w:rsid w:val="000F5A53"/>
    <w:pPr>
      <w:spacing w:before="120" w:after="120" w:line="240" w:lineRule="atLeast"/>
    </w:pPr>
    <w:rPr>
      <w:rFonts w:ascii="Arial Bold" w:eastAsia="MS Mincho" w:hAnsi="Arial Bold"/>
      <w:b/>
      <w:color w:val="FFFFFF"/>
      <w:sz w:val="20"/>
      <w:szCs w:val="20"/>
      <w:lang w:val="en-GB" w:eastAsia="en-AU"/>
    </w:rPr>
  </w:style>
  <w:style w:type="paragraph" w:customStyle="1" w:styleId="PrecedentCoverTableText-Bold">
    <w:name w:val="Precedent Cover Table Text - Bold"/>
    <w:basedOn w:val="Normal"/>
    <w:uiPriority w:val="11"/>
    <w:rsid w:val="000F5A53"/>
    <w:pPr>
      <w:spacing w:before="60" w:after="60" w:line="240" w:lineRule="atLeast"/>
    </w:pPr>
    <w:rPr>
      <w:rFonts w:ascii="Arial" w:eastAsia="MS Mincho" w:hAnsi="Arial"/>
      <w:b/>
      <w:color w:val="404143" w:themeColor="text1"/>
      <w:sz w:val="20"/>
      <w:szCs w:val="20"/>
      <w:lang w:val="en-GB" w:eastAsia="en-AU"/>
    </w:rPr>
  </w:style>
  <w:style w:type="paragraph" w:customStyle="1" w:styleId="PrecedentCoverTableText">
    <w:name w:val="Precedent Cover Table Text"/>
    <w:basedOn w:val="Normal"/>
    <w:uiPriority w:val="11"/>
    <w:rsid w:val="000F5A53"/>
    <w:pPr>
      <w:numPr>
        <w:numId w:val="27"/>
      </w:numPr>
      <w:spacing w:before="60" w:after="60" w:line="240" w:lineRule="atLeast"/>
    </w:pPr>
    <w:rPr>
      <w:rFonts w:ascii="Arial" w:eastAsia="MS Mincho" w:hAnsi="Arial"/>
      <w:color w:val="404143" w:themeColor="text1"/>
      <w:sz w:val="20"/>
      <w:szCs w:val="20"/>
      <w:lang w:val="en-GB" w:eastAsia="en-AU"/>
    </w:rPr>
  </w:style>
  <w:style w:type="paragraph" w:customStyle="1" w:styleId="PrecedentCoverTableText-Numbered">
    <w:name w:val="Precedent Cover Table Text - Numbered"/>
    <w:basedOn w:val="PrecedentCoverTableText"/>
    <w:uiPriority w:val="11"/>
    <w:rsid w:val="000F5A53"/>
    <w:pPr>
      <w:numPr>
        <w:numId w:val="28"/>
      </w:numPr>
      <w:ind w:left="567" w:hanging="567"/>
    </w:pPr>
    <w:rPr>
      <w:b/>
      <w:bCs/>
      <w:color w:val="A71930" w:themeColor="accent1"/>
    </w:rPr>
  </w:style>
  <w:style w:type="numbering" w:customStyle="1" w:styleId="BMIndents0">
    <w:name w:val="B&amp;M Indents"/>
    <w:uiPriority w:val="99"/>
    <w:rsid w:val="000F5A53"/>
  </w:style>
  <w:style w:type="paragraph" w:customStyle="1" w:styleId="CoverText">
    <w:name w:val="CoverText"/>
    <w:uiPriority w:val="11"/>
    <w:semiHidden/>
    <w:rsid w:val="000F5A53"/>
    <w:pPr>
      <w:spacing w:after="180" w:line="260" w:lineRule="exact"/>
    </w:pPr>
    <w:rPr>
      <w:rFonts w:eastAsiaTheme="minorEastAsia" w:cstheme="minorHAnsi"/>
      <w:sz w:val="22"/>
      <w:szCs w:val="22"/>
      <w:lang w:val="en-US" w:eastAsia="en-US"/>
    </w:rPr>
  </w:style>
  <w:style w:type="table" w:customStyle="1" w:styleId="CoverTable">
    <w:name w:val="CoverTable"/>
    <w:basedOn w:val="TableNormal"/>
    <w:uiPriority w:val="99"/>
    <w:rsid w:val="000F5A53"/>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76A"/>
    <w:rPr>
      <w:color w:val="605E5C"/>
      <w:shd w:val="clear" w:color="auto" w:fill="E1DFDD"/>
    </w:rPr>
  </w:style>
  <w:style w:type="character" w:customStyle="1" w:styleId="SubHeadingChar">
    <w:name w:val="Sub Heading Char"/>
    <w:basedOn w:val="DefaultParagraphFont"/>
    <w:link w:val="SubHeading"/>
    <w:rsid w:val="00F3012E"/>
    <w:rPr>
      <w:rFonts w:ascii="Arial" w:hAnsi="Arial"/>
      <w:b/>
      <w:sz w:val="22"/>
      <w:lang w:val="en-GB" w:eastAsia="en-US"/>
    </w:rPr>
  </w:style>
  <w:style w:type="paragraph" w:customStyle="1" w:styleId="ListNumbering1">
    <w:name w:val="List Numbering 1"/>
    <w:basedOn w:val="Normal"/>
    <w:link w:val="ListNumbering1Char"/>
    <w:uiPriority w:val="98"/>
    <w:qFormat/>
    <w:rsid w:val="00F3012E"/>
    <w:pPr>
      <w:numPr>
        <w:numId w:val="42"/>
      </w:numPr>
    </w:pPr>
    <w:rPr>
      <w:rFonts w:eastAsia="Times New Roman"/>
      <w:bCs/>
      <w:szCs w:val="28"/>
      <w:lang w:val="en-GB" w:eastAsia="zh-CN"/>
    </w:rPr>
  </w:style>
  <w:style w:type="paragraph" w:styleId="TOCHeading0">
    <w:name w:val="TOC Heading"/>
    <w:basedOn w:val="Heading1"/>
    <w:next w:val="Normal"/>
    <w:uiPriority w:val="39"/>
    <w:semiHidden/>
    <w:unhideWhenUsed/>
    <w:qFormat/>
    <w:rsid w:val="00F3012E"/>
    <w:pPr>
      <w:keepLines/>
      <w:numPr>
        <w:numId w:val="0"/>
      </w:numPr>
      <w:spacing w:before="480" w:after="0" w:line="240" w:lineRule="auto"/>
      <w:outlineLvl w:val="9"/>
    </w:pPr>
    <w:rPr>
      <w:rFonts w:asciiTheme="majorHAnsi" w:eastAsiaTheme="majorEastAsia" w:hAnsiTheme="majorHAnsi" w:cstheme="majorBidi"/>
      <w:bCs/>
      <w:color w:val="EBB700" w:themeColor="accent2"/>
      <w:sz w:val="28"/>
      <w:szCs w:val="28"/>
      <w:lang w:eastAsia="zh-CN"/>
    </w:rPr>
  </w:style>
  <w:style w:type="paragraph" w:styleId="Bibliography">
    <w:name w:val="Bibliography"/>
    <w:basedOn w:val="Normal"/>
    <w:next w:val="Normal"/>
    <w:uiPriority w:val="37"/>
    <w:semiHidden/>
    <w:unhideWhenUsed/>
    <w:rsid w:val="00F3012E"/>
    <w:rPr>
      <w:rFonts w:asciiTheme="minorHAnsi" w:eastAsiaTheme="minorEastAsia" w:hAnsiTheme="minorHAnsi" w:cstheme="minorBidi"/>
      <w:szCs w:val="28"/>
      <w:lang w:val="en-GB" w:eastAsia="zh-CN"/>
    </w:rPr>
  </w:style>
  <w:style w:type="paragraph" w:styleId="NoteHeading">
    <w:name w:val="Note Heading"/>
    <w:basedOn w:val="Normal"/>
    <w:next w:val="Normal"/>
    <w:semiHidden/>
    <w:unhideWhenUsed/>
    <w:rsid w:val="00F3012E"/>
    <w:rPr>
      <w:rFonts w:asciiTheme="minorHAnsi" w:eastAsiaTheme="minorEastAsia" w:hAnsiTheme="minorHAnsi" w:cstheme="minorBidi"/>
      <w:szCs w:val="28"/>
      <w:lang w:val="en-GB" w:eastAsia="zh-CN"/>
    </w:rPr>
  </w:style>
  <w:style w:type="character" w:customStyle="1" w:styleId="NoteHeadingChar1">
    <w:name w:val="Note Heading Char1"/>
    <w:basedOn w:val="DefaultParagraphFont"/>
    <w:semiHidden/>
    <w:rsid w:val="00F3012E"/>
    <w:rPr>
      <w:sz w:val="22"/>
      <w:szCs w:val="24"/>
      <w:lang w:val="sv-SE" w:eastAsia="en-US"/>
    </w:rPr>
  </w:style>
  <w:style w:type="character" w:customStyle="1" w:styleId="BoxNoteBulletChar">
    <w:name w:val="Box Note Bullet Char"/>
    <w:basedOn w:val="BoxNoteChar"/>
    <w:link w:val="BoxNoteBullet"/>
    <w:uiPriority w:val="9"/>
    <w:semiHidden/>
    <w:rsid w:val="00F3012E"/>
    <w:rPr>
      <w:rFonts w:eastAsia="Times New Roman"/>
      <w:color w:val="FF0000"/>
      <w:sz w:val="18"/>
      <w:szCs w:val="28"/>
      <w:lang w:val="en-US" w:eastAsia="zh-CN"/>
    </w:rPr>
  </w:style>
  <w:style w:type="character" w:customStyle="1" w:styleId="ListNumbering1Char">
    <w:name w:val="List Numbering 1 Char"/>
    <w:basedOn w:val="DefaultParagraphFont"/>
    <w:link w:val="ListNumbering1"/>
    <w:uiPriority w:val="98"/>
    <w:rsid w:val="00F3012E"/>
    <w:rPr>
      <w:rFonts w:eastAsia="Times New Roman"/>
      <w:bCs/>
      <w:sz w:val="22"/>
      <w:szCs w:val="28"/>
      <w:lang w:val="en-GB" w:eastAsia="zh-CN"/>
    </w:rPr>
  </w:style>
  <w:style w:type="paragraph" w:customStyle="1" w:styleId="BodyText4">
    <w:name w:val="Body Text 4"/>
    <w:basedOn w:val="BodyText"/>
    <w:link w:val="BodyText4Char"/>
    <w:qFormat/>
    <w:rsid w:val="00F3012E"/>
    <w:pPr>
      <w:numPr>
        <w:ilvl w:val="3"/>
      </w:numPr>
      <w:ind w:left="2160"/>
    </w:pPr>
    <w:rPr>
      <w:rFonts w:asciiTheme="minorHAnsi" w:eastAsiaTheme="minorEastAsia" w:hAnsiTheme="minorHAnsi" w:cstheme="minorBidi"/>
      <w:szCs w:val="28"/>
      <w:lang w:eastAsia="zh-CN"/>
    </w:rPr>
  </w:style>
  <w:style w:type="character" w:customStyle="1" w:styleId="BodyText4Char">
    <w:name w:val="Body Text 4 Char"/>
    <w:basedOn w:val="DefaultParagraphFont"/>
    <w:link w:val="BodyText4"/>
    <w:rsid w:val="00F3012E"/>
    <w:rPr>
      <w:rFonts w:asciiTheme="minorHAnsi" w:eastAsiaTheme="minorEastAsia" w:hAnsiTheme="minorHAnsi" w:cstheme="minorBidi"/>
      <w:sz w:val="22"/>
      <w:szCs w:val="28"/>
      <w:lang w:val="en-GB" w:eastAsia="zh-CN"/>
    </w:rPr>
  </w:style>
  <w:style w:type="paragraph" w:customStyle="1" w:styleId="BodyText5">
    <w:name w:val="Body Text 5"/>
    <w:basedOn w:val="BodyText"/>
    <w:link w:val="BodyText5Char"/>
    <w:semiHidden/>
    <w:qFormat/>
    <w:rsid w:val="00F3012E"/>
    <w:pPr>
      <w:numPr>
        <w:ilvl w:val="4"/>
      </w:numPr>
      <w:ind w:left="2880"/>
    </w:pPr>
    <w:rPr>
      <w:rFonts w:asciiTheme="minorHAnsi" w:eastAsia="Times New Roman" w:hAnsiTheme="minorHAnsi" w:cstheme="minorBidi"/>
      <w:szCs w:val="28"/>
      <w:lang w:eastAsia="zh-CN"/>
    </w:rPr>
  </w:style>
  <w:style w:type="character" w:customStyle="1" w:styleId="BodyText5Char">
    <w:name w:val="Body Text 5 Char"/>
    <w:basedOn w:val="DefaultParagraphFont"/>
    <w:link w:val="BodyText5"/>
    <w:semiHidden/>
    <w:rsid w:val="00F3012E"/>
    <w:rPr>
      <w:rFonts w:asciiTheme="minorHAnsi" w:eastAsia="Times New Roman" w:hAnsiTheme="minorHAnsi" w:cstheme="minorBidi"/>
      <w:sz w:val="22"/>
      <w:szCs w:val="28"/>
      <w:lang w:val="en-GB" w:eastAsia="zh-CN"/>
    </w:rPr>
  </w:style>
  <w:style w:type="paragraph" w:customStyle="1" w:styleId="BodyText6">
    <w:name w:val="Body Text 6"/>
    <w:basedOn w:val="BodyText"/>
    <w:link w:val="BodyText6Char"/>
    <w:uiPriority w:val="9"/>
    <w:semiHidden/>
    <w:rsid w:val="00F3012E"/>
    <w:pPr>
      <w:ind w:left="3600"/>
    </w:pPr>
    <w:rPr>
      <w:rFonts w:asciiTheme="minorHAnsi" w:eastAsia="Times New Roman" w:hAnsiTheme="minorHAnsi" w:cstheme="minorBidi"/>
      <w:szCs w:val="28"/>
      <w:lang w:eastAsia="zh-CN"/>
    </w:rPr>
  </w:style>
  <w:style w:type="character" w:customStyle="1" w:styleId="BodyText6Char">
    <w:name w:val="Body Text 6 Char"/>
    <w:basedOn w:val="DefaultParagraphFont"/>
    <w:link w:val="BodyText6"/>
    <w:uiPriority w:val="9"/>
    <w:semiHidden/>
    <w:rsid w:val="00F3012E"/>
    <w:rPr>
      <w:rFonts w:asciiTheme="minorHAnsi" w:eastAsia="Times New Roman" w:hAnsiTheme="minorHAnsi" w:cstheme="minorBidi"/>
      <w:sz w:val="22"/>
      <w:szCs w:val="28"/>
      <w:lang w:val="en-GB" w:eastAsia="zh-CN"/>
    </w:rPr>
  </w:style>
  <w:style w:type="paragraph" w:customStyle="1" w:styleId="BodyText7">
    <w:name w:val="Body Text 7"/>
    <w:basedOn w:val="BodyText"/>
    <w:link w:val="BodyText7Char"/>
    <w:uiPriority w:val="9"/>
    <w:semiHidden/>
    <w:qFormat/>
    <w:rsid w:val="00F3012E"/>
    <w:pPr>
      <w:ind w:left="4320"/>
    </w:pPr>
    <w:rPr>
      <w:rFonts w:asciiTheme="minorHAnsi" w:eastAsia="Times New Roman" w:hAnsiTheme="minorHAnsi" w:cstheme="minorBidi"/>
      <w:szCs w:val="28"/>
      <w:lang w:eastAsia="zh-CN"/>
    </w:rPr>
  </w:style>
  <w:style w:type="character" w:customStyle="1" w:styleId="BodyText7Char">
    <w:name w:val="Body Text 7 Char"/>
    <w:basedOn w:val="BodyText6Char"/>
    <w:link w:val="BodyText7"/>
    <w:uiPriority w:val="9"/>
    <w:semiHidden/>
    <w:rsid w:val="00F3012E"/>
    <w:rPr>
      <w:rFonts w:asciiTheme="minorHAnsi" w:eastAsia="Times New Roman" w:hAnsiTheme="minorHAnsi" w:cstheme="minorBidi"/>
      <w:sz w:val="22"/>
      <w:szCs w:val="28"/>
      <w:lang w:val="en-GB" w:eastAsia="zh-CN"/>
    </w:rPr>
  </w:style>
  <w:style w:type="paragraph" w:customStyle="1" w:styleId="BoxNote">
    <w:name w:val="Box Note"/>
    <w:link w:val="BoxNoteChar"/>
    <w:uiPriority w:val="12"/>
    <w:semiHidden/>
    <w:qFormat/>
    <w:rsid w:val="00F3012E"/>
    <w:pPr>
      <w:pBdr>
        <w:top w:val="single" w:sz="4" w:space="1" w:color="FF0000"/>
        <w:left w:val="single" w:sz="4" w:space="4" w:color="FF0000"/>
        <w:bottom w:val="single" w:sz="4" w:space="1" w:color="FF0000"/>
        <w:right w:val="single" w:sz="4" w:space="4" w:color="FF0000"/>
      </w:pBdr>
      <w:spacing w:after="120"/>
    </w:pPr>
    <w:rPr>
      <w:rFonts w:eastAsia="Times New Roman"/>
      <w:color w:val="FF0000"/>
      <w:sz w:val="18"/>
      <w:szCs w:val="28"/>
      <w:lang w:val="en-US" w:eastAsia="zh-CN"/>
    </w:rPr>
  </w:style>
  <w:style w:type="character" w:customStyle="1" w:styleId="BoxNoteChar">
    <w:name w:val="Box Note Char"/>
    <w:link w:val="BoxNote"/>
    <w:uiPriority w:val="12"/>
    <w:semiHidden/>
    <w:rsid w:val="00F3012E"/>
    <w:rPr>
      <w:rFonts w:eastAsia="Times New Roman"/>
      <w:color w:val="FF0000"/>
      <w:sz w:val="18"/>
      <w:szCs w:val="28"/>
      <w:lang w:val="en-US" w:eastAsia="zh-CN"/>
    </w:rPr>
  </w:style>
  <w:style w:type="paragraph" w:customStyle="1" w:styleId="BoxNoteBullet">
    <w:name w:val="Box Note Bullet"/>
    <w:basedOn w:val="BoxNote"/>
    <w:link w:val="BoxNoteBulletChar"/>
    <w:uiPriority w:val="9"/>
    <w:semiHidden/>
    <w:qFormat/>
    <w:rsid w:val="00F3012E"/>
    <w:pPr>
      <w:numPr>
        <w:numId w:val="39"/>
      </w:numPr>
      <w:ind w:left="360"/>
    </w:pPr>
    <w:rPr>
      <w:lang w:eastAsia="en-AU"/>
    </w:rPr>
  </w:style>
  <w:style w:type="paragraph" w:customStyle="1" w:styleId="BoxNoteHeading">
    <w:name w:val="Box Note Heading"/>
    <w:basedOn w:val="BoxNote"/>
    <w:next w:val="BoxNote"/>
    <w:link w:val="BoxNoteHeadingChar"/>
    <w:uiPriority w:val="9"/>
    <w:semiHidden/>
    <w:rsid w:val="00F3012E"/>
    <w:rPr>
      <w:b/>
    </w:rPr>
  </w:style>
  <w:style w:type="paragraph" w:customStyle="1" w:styleId="TableTitle">
    <w:name w:val="Table Title"/>
    <w:basedOn w:val="Normal"/>
    <w:next w:val="BodyText"/>
    <w:link w:val="TableTitleChar"/>
    <w:uiPriority w:val="9"/>
    <w:rsid w:val="00F3012E"/>
    <w:pPr>
      <w:keepNext/>
      <w:widowControl w:val="0"/>
      <w:spacing w:after="120"/>
    </w:pPr>
    <w:rPr>
      <w:rFonts w:eastAsia="Times New Roman"/>
      <w:b/>
      <w:bCs/>
      <w:caps/>
      <w:szCs w:val="28"/>
      <w:lang w:val="en-GB" w:eastAsia="zh-CN"/>
    </w:rPr>
  </w:style>
  <w:style w:type="paragraph" w:customStyle="1" w:styleId="Bullet0ptAfter1">
    <w:name w:val="Bullet (0pt After) 1"/>
    <w:basedOn w:val="Normal"/>
    <w:link w:val="Bullet0ptAfter1Char"/>
    <w:uiPriority w:val="98"/>
    <w:qFormat/>
    <w:rsid w:val="00F3012E"/>
    <w:pPr>
      <w:numPr>
        <w:numId w:val="44"/>
      </w:numPr>
      <w:outlineLvl w:val="0"/>
    </w:pPr>
    <w:rPr>
      <w:rFonts w:eastAsiaTheme="minorEastAsia" w:cstheme="minorBidi"/>
      <w:bCs/>
      <w:szCs w:val="28"/>
      <w:lang w:val="en-GB" w:eastAsia="zh-CN"/>
    </w:rPr>
  </w:style>
  <w:style w:type="paragraph" w:customStyle="1" w:styleId="Bullet0ptAfter2">
    <w:name w:val="Bullet (0pt After) 2"/>
    <w:basedOn w:val="Bullet0ptAfter1"/>
    <w:link w:val="Bullet0ptAfter2Char"/>
    <w:uiPriority w:val="98"/>
    <w:rsid w:val="00F3012E"/>
    <w:pPr>
      <w:numPr>
        <w:ilvl w:val="1"/>
      </w:numPr>
      <w:outlineLvl w:val="1"/>
    </w:pPr>
  </w:style>
  <w:style w:type="paragraph" w:customStyle="1" w:styleId="Bullet0ptAfter3">
    <w:name w:val="Bullet (0pt After) 3"/>
    <w:basedOn w:val="Bullet0ptAfter1"/>
    <w:link w:val="Bullet0ptAfter3Char"/>
    <w:uiPriority w:val="98"/>
    <w:rsid w:val="00F3012E"/>
    <w:pPr>
      <w:numPr>
        <w:ilvl w:val="2"/>
      </w:numPr>
      <w:outlineLvl w:val="2"/>
    </w:pPr>
  </w:style>
  <w:style w:type="paragraph" w:customStyle="1" w:styleId="Bullet0ptAfter4">
    <w:name w:val="Bullet (0pt After) 4"/>
    <w:basedOn w:val="Bullet0ptAfter1"/>
    <w:link w:val="Bullet0ptAfter4Char"/>
    <w:uiPriority w:val="98"/>
    <w:semiHidden/>
    <w:rsid w:val="00F3012E"/>
    <w:pPr>
      <w:numPr>
        <w:ilvl w:val="3"/>
      </w:numPr>
      <w:outlineLvl w:val="3"/>
    </w:pPr>
  </w:style>
  <w:style w:type="paragraph" w:customStyle="1" w:styleId="Bullet0ptAfter5">
    <w:name w:val="Bullet (0pt After) 5"/>
    <w:basedOn w:val="Bullet0ptAfter1"/>
    <w:link w:val="Bullet0ptAfter5Char"/>
    <w:uiPriority w:val="98"/>
    <w:semiHidden/>
    <w:rsid w:val="00F3012E"/>
    <w:pPr>
      <w:numPr>
        <w:ilvl w:val="4"/>
      </w:numPr>
      <w:outlineLvl w:val="4"/>
    </w:pPr>
  </w:style>
  <w:style w:type="paragraph" w:customStyle="1" w:styleId="Bullet0ptAfter6">
    <w:name w:val="Bullet (0pt After) 6"/>
    <w:basedOn w:val="Bullet0ptAfter1"/>
    <w:link w:val="Bullet0ptAfter6Char"/>
    <w:uiPriority w:val="98"/>
    <w:semiHidden/>
    <w:rsid w:val="00F3012E"/>
    <w:pPr>
      <w:numPr>
        <w:ilvl w:val="5"/>
      </w:numPr>
      <w:outlineLvl w:val="5"/>
    </w:pPr>
  </w:style>
  <w:style w:type="paragraph" w:customStyle="1" w:styleId="Bullet0ptAfter7">
    <w:name w:val="Bullet (0pt After) 7"/>
    <w:basedOn w:val="Normal"/>
    <w:next w:val="BodyText"/>
    <w:link w:val="Bullet0ptAfter7Char"/>
    <w:uiPriority w:val="98"/>
    <w:semiHidden/>
    <w:rsid w:val="00F3012E"/>
    <w:pPr>
      <w:numPr>
        <w:ilvl w:val="6"/>
        <w:numId w:val="44"/>
      </w:numPr>
    </w:pPr>
    <w:rPr>
      <w:rFonts w:eastAsiaTheme="minorEastAsia"/>
      <w:bCs/>
      <w:szCs w:val="28"/>
      <w:lang w:val="en-GB" w:eastAsia="zh-CN"/>
    </w:rPr>
  </w:style>
  <w:style w:type="paragraph" w:customStyle="1" w:styleId="Bullet0ptAfter8">
    <w:name w:val="Bullet (0pt After) 8"/>
    <w:basedOn w:val="Normal"/>
    <w:next w:val="BodyText"/>
    <w:link w:val="Bullet0ptAfter8Char"/>
    <w:uiPriority w:val="98"/>
    <w:semiHidden/>
    <w:rsid w:val="00F3012E"/>
    <w:pPr>
      <w:numPr>
        <w:ilvl w:val="7"/>
        <w:numId w:val="44"/>
      </w:numPr>
    </w:pPr>
    <w:rPr>
      <w:rFonts w:eastAsiaTheme="minorEastAsia"/>
      <w:bCs/>
      <w:szCs w:val="28"/>
      <w:lang w:val="en-GB" w:eastAsia="zh-CN"/>
    </w:rPr>
  </w:style>
  <w:style w:type="paragraph" w:customStyle="1" w:styleId="Bullet0ptAfter9">
    <w:name w:val="Bullet (0pt After) 9"/>
    <w:basedOn w:val="Normal"/>
    <w:next w:val="BodyText"/>
    <w:link w:val="Bullet0ptAfter9Char"/>
    <w:uiPriority w:val="98"/>
    <w:semiHidden/>
    <w:rsid w:val="00F3012E"/>
    <w:pPr>
      <w:numPr>
        <w:ilvl w:val="8"/>
        <w:numId w:val="44"/>
      </w:numPr>
    </w:pPr>
    <w:rPr>
      <w:rFonts w:eastAsiaTheme="minorEastAsia"/>
      <w:bCs/>
      <w:szCs w:val="28"/>
      <w:lang w:val="en-GB" w:eastAsia="zh-CN"/>
    </w:rPr>
  </w:style>
  <w:style w:type="paragraph" w:customStyle="1" w:styleId="Bullet12ptAfter1">
    <w:name w:val="Bullet (12pt After) 1"/>
    <w:basedOn w:val="Normal"/>
    <w:link w:val="Bullet12ptAfter1Char"/>
    <w:uiPriority w:val="98"/>
    <w:qFormat/>
    <w:rsid w:val="00F3012E"/>
    <w:pPr>
      <w:numPr>
        <w:numId w:val="43"/>
      </w:numPr>
    </w:pPr>
    <w:rPr>
      <w:rFonts w:eastAsiaTheme="minorEastAsia" w:cstheme="minorBidi"/>
      <w:bCs/>
      <w:szCs w:val="28"/>
      <w:lang w:val="en-GB" w:eastAsia="zh-CN"/>
    </w:rPr>
  </w:style>
  <w:style w:type="paragraph" w:customStyle="1" w:styleId="Bullet12ptAfter2">
    <w:name w:val="Bullet (12pt After) 2"/>
    <w:basedOn w:val="Bullet12ptAfter1"/>
    <w:link w:val="Bullet12ptAfter2Char"/>
    <w:uiPriority w:val="98"/>
    <w:rsid w:val="00F3012E"/>
    <w:pPr>
      <w:numPr>
        <w:ilvl w:val="1"/>
      </w:numPr>
    </w:pPr>
  </w:style>
  <w:style w:type="paragraph" w:customStyle="1" w:styleId="Bullet12ptAfter3">
    <w:name w:val="Bullet (12pt After) 3"/>
    <w:basedOn w:val="Bullet12ptAfter1"/>
    <w:link w:val="Bullet12ptAfter3Char"/>
    <w:uiPriority w:val="98"/>
    <w:rsid w:val="00F3012E"/>
    <w:pPr>
      <w:numPr>
        <w:ilvl w:val="2"/>
      </w:numPr>
    </w:pPr>
  </w:style>
  <w:style w:type="paragraph" w:customStyle="1" w:styleId="Bullet12ptAfter4">
    <w:name w:val="Bullet (12pt After) 4"/>
    <w:basedOn w:val="Bullet12ptAfter1"/>
    <w:link w:val="Bullet12ptAfter4Char"/>
    <w:uiPriority w:val="98"/>
    <w:semiHidden/>
    <w:rsid w:val="00F3012E"/>
    <w:pPr>
      <w:numPr>
        <w:ilvl w:val="3"/>
      </w:numPr>
    </w:pPr>
  </w:style>
  <w:style w:type="paragraph" w:customStyle="1" w:styleId="Bullet12ptAfter5">
    <w:name w:val="Bullet (12pt After) 5"/>
    <w:basedOn w:val="Bullet12ptAfter1"/>
    <w:link w:val="Bullet12ptAfter5Char"/>
    <w:uiPriority w:val="98"/>
    <w:semiHidden/>
    <w:rsid w:val="00F3012E"/>
    <w:pPr>
      <w:numPr>
        <w:ilvl w:val="4"/>
      </w:numPr>
    </w:pPr>
  </w:style>
  <w:style w:type="paragraph" w:customStyle="1" w:styleId="Bullet12ptAfter6">
    <w:name w:val="Bullet (12pt After) 6"/>
    <w:basedOn w:val="Bullet12ptAfter1"/>
    <w:link w:val="Bullet12ptAfter6Char"/>
    <w:uiPriority w:val="98"/>
    <w:semiHidden/>
    <w:rsid w:val="00F3012E"/>
    <w:pPr>
      <w:numPr>
        <w:ilvl w:val="5"/>
      </w:numPr>
    </w:pPr>
  </w:style>
  <w:style w:type="paragraph" w:customStyle="1" w:styleId="Bullet12ptAfter7">
    <w:name w:val="Bullet (12pt After) 7"/>
    <w:basedOn w:val="Normal"/>
    <w:next w:val="BodyText"/>
    <w:link w:val="Bullet12ptAfter7Char"/>
    <w:uiPriority w:val="98"/>
    <w:semiHidden/>
    <w:rsid w:val="00F3012E"/>
    <w:pPr>
      <w:numPr>
        <w:ilvl w:val="6"/>
        <w:numId w:val="43"/>
      </w:numPr>
    </w:pPr>
    <w:rPr>
      <w:rFonts w:eastAsiaTheme="minorEastAsia"/>
      <w:bCs/>
      <w:szCs w:val="28"/>
      <w:lang w:val="en-GB" w:eastAsia="zh-CN"/>
    </w:rPr>
  </w:style>
  <w:style w:type="paragraph" w:customStyle="1" w:styleId="Bullet12ptAfter8">
    <w:name w:val="Bullet (12pt After) 8"/>
    <w:basedOn w:val="Normal"/>
    <w:next w:val="BodyText"/>
    <w:link w:val="Bullet12ptAfter8Char"/>
    <w:uiPriority w:val="98"/>
    <w:semiHidden/>
    <w:rsid w:val="00F3012E"/>
    <w:pPr>
      <w:numPr>
        <w:ilvl w:val="7"/>
        <w:numId w:val="43"/>
      </w:numPr>
    </w:pPr>
    <w:rPr>
      <w:rFonts w:eastAsiaTheme="minorEastAsia"/>
      <w:bCs/>
      <w:szCs w:val="28"/>
      <w:lang w:val="en-GB" w:eastAsia="zh-CN"/>
    </w:rPr>
  </w:style>
  <w:style w:type="paragraph" w:customStyle="1" w:styleId="Bullet12ptAfter9">
    <w:name w:val="Bullet (12pt After) 9"/>
    <w:basedOn w:val="Normal"/>
    <w:next w:val="BodyText"/>
    <w:link w:val="Bullet12ptAfter9Char"/>
    <w:uiPriority w:val="98"/>
    <w:semiHidden/>
    <w:rsid w:val="00F3012E"/>
    <w:pPr>
      <w:numPr>
        <w:ilvl w:val="8"/>
        <w:numId w:val="43"/>
      </w:numPr>
    </w:pPr>
    <w:rPr>
      <w:rFonts w:eastAsiaTheme="minorEastAsia"/>
      <w:bCs/>
      <w:szCs w:val="28"/>
      <w:lang w:val="en-GB" w:eastAsia="zh-CN"/>
    </w:rPr>
  </w:style>
  <w:style w:type="paragraph" w:customStyle="1" w:styleId="TableBullet1">
    <w:name w:val="Table Bullet 1"/>
    <w:basedOn w:val="Normal"/>
    <w:link w:val="TableBullet1Char"/>
    <w:uiPriority w:val="98"/>
    <w:qFormat/>
    <w:rsid w:val="00F3012E"/>
    <w:pPr>
      <w:numPr>
        <w:numId w:val="41"/>
      </w:numPr>
      <w:spacing w:before="120" w:after="120"/>
    </w:pPr>
    <w:rPr>
      <w:rFonts w:ascii="Arial" w:eastAsiaTheme="minorEastAsia" w:hAnsi="Arial"/>
      <w:szCs w:val="28"/>
      <w:lang w:val="en-GB" w:eastAsia="zh-CN"/>
    </w:rPr>
  </w:style>
  <w:style w:type="character" w:customStyle="1" w:styleId="TableBullet1Char">
    <w:name w:val="Table Bullet 1 Char"/>
    <w:basedOn w:val="Heading1Char"/>
    <w:link w:val="TableBullet1"/>
    <w:uiPriority w:val="98"/>
    <w:rsid w:val="00F3012E"/>
    <w:rPr>
      <w:rFonts w:ascii="Arial" w:eastAsiaTheme="minorEastAsia" w:hAnsi="Arial"/>
      <w:b w:val="0"/>
      <w:sz w:val="22"/>
      <w:szCs w:val="28"/>
      <w:lang w:val="en-GB" w:eastAsia="zh-CN"/>
    </w:rPr>
  </w:style>
  <w:style w:type="paragraph" w:customStyle="1" w:styleId="TableBullet2">
    <w:name w:val="Table Bullet 2"/>
    <w:basedOn w:val="TableBullet1"/>
    <w:link w:val="TableBullet2Char"/>
    <w:uiPriority w:val="98"/>
    <w:rsid w:val="00F3012E"/>
    <w:pPr>
      <w:numPr>
        <w:ilvl w:val="1"/>
      </w:numPr>
    </w:pPr>
  </w:style>
  <w:style w:type="character" w:customStyle="1" w:styleId="TableBullet2Char">
    <w:name w:val="Table Bullet 2 Char"/>
    <w:basedOn w:val="Heading1Char"/>
    <w:link w:val="TableBullet2"/>
    <w:uiPriority w:val="98"/>
    <w:rsid w:val="00F3012E"/>
    <w:rPr>
      <w:rFonts w:ascii="Arial" w:eastAsiaTheme="minorEastAsia" w:hAnsi="Arial"/>
      <w:b w:val="0"/>
      <w:sz w:val="22"/>
      <w:szCs w:val="28"/>
      <w:lang w:val="en-GB" w:eastAsia="zh-CN"/>
    </w:rPr>
  </w:style>
  <w:style w:type="paragraph" w:customStyle="1" w:styleId="TableBullet3">
    <w:name w:val="Table Bullet 3"/>
    <w:basedOn w:val="TableBullet1"/>
    <w:link w:val="TableBullet3Char"/>
    <w:uiPriority w:val="98"/>
    <w:rsid w:val="00F3012E"/>
    <w:pPr>
      <w:numPr>
        <w:ilvl w:val="2"/>
      </w:numPr>
    </w:pPr>
  </w:style>
  <w:style w:type="character" w:customStyle="1" w:styleId="TableBullet3Char">
    <w:name w:val="Table Bullet 3 Char"/>
    <w:basedOn w:val="Heading1Char"/>
    <w:link w:val="TableBullet3"/>
    <w:uiPriority w:val="98"/>
    <w:rsid w:val="00F3012E"/>
    <w:rPr>
      <w:rFonts w:ascii="Arial" w:eastAsiaTheme="minorEastAsia" w:hAnsi="Arial"/>
      <w:b w:val="0"/>
      <w:sz w:val="22"/>
      <w:szCs w:val="28"/>
      <w:lang w:val="en-GB" w:eastAsia="zh-CN"/>
    </w:rPr>
  </w:style>
  <w:style w:type="paragraph" w:customStyle="1" w:styleId="TableBullet4">
    <w:name w:val="Table Bullet 4"/>
    <w:basedOn w:val="Normal"/>
    <w:link w:val="TableBullet4Char"/>
    <w:uiPriority w:val="98"/>
    <w:semiHidden/>
    <w:rsid w:val="00F3012E"/>
    <w:pPr>
      <w:numPr>
        <w:ilvl w:val="3"/>
        <w:numId w:val="41"/>
      </w:numPr>
    </w:pPr>
    <w:rPr>
      <w:rFonts w:ascii="Arial" w:eastAsiaTheme="minorEastAsia" w:hAnsi="Arial"/>
      <w:szCs w:val="28"/>
      <w:lang w:val="en-GB" w:eastAsia="zh-CN"/>
    </w:rPr>
  </w:style>
  <w:style w:type="character" w:customStyle="1" w:styleId="TableBullet4Char">
    <w:name w:val="Table Bullet 4 Char"/>
    <w:basedOn w:val="Heading1Char"/>
    <w:link w:val="TableBullet4"/>
    <w:uiPriority w:val="98"/>
    <w:semiHidden/>
    <w:rsid w:val="00F3012E"/>
    <w:rPr>
      <w:rFonts w:ascii="Arial" w:eastAsiaTheme="minorEastAsia" w:hAnsi="Arial"/>
      <w:b w:val="0"/>
      <w:sz w:val="22"/>
      <w:szCs w:val="28"/>
      <w:lang w:val="en-GB" w:eastAsia="zh-CN"/>
    </w:rPr>
  </w:style>
  <w:style w:type="paragraph" w:customStyle="1" w:styleId="TableBullet5">
    <w:name w:val="Table Bullet 5"/>
    <w:basedOn w:val="Normal"/>
    <w:link w:val="TableBullet5Char"/>
    <w:uiPriority w:val="98"/>
    <w:semiHidden/>
    <w:rsid w:val="00F3012E"/>
    <w:pPr>
      <w:numPr>
        <w:ilvl w:val="4"/>
        <w:numId w:val="41"/>
      </w:numPr>
    </w:pPr>
    <w:rPr>
      <w:rFonts w:ascii="Arial" w:eastAsiaTheme="minorEastAsia" w:hAnsi="Arial"/>
      <w:szCs w:val="28"/>
      <w:lang w:val="en-GB" w:eastAsia="zh-CN"/>
    </w:rPr>
  </w:style>
  <w:style w:type="character" w:customStyle="1" w:styleId="TableBullet5Char">
    <w:name w:val="Table Bullet 5 Char"/>
    <w:basedOn w:val="Heading1Char"/>
    <w:link w:val="TableBullet5"/>
    <w:uiPriority w:val="98"/>
    <w:semiHidden/>
    <w:rsid w:val="00F3012E"/>
    <w:rPr>
      <w:rFonts w:ascii="Arial" w:eastAsiaTheme="minorEastAsia" w:hAnsi="Arial"/>
      <w:b w:val="0"/>
      <w:sz w:val="22"/>
      <w:szCs w:val="28"/>
      <w:lang w:val="en-GB" w:eastAsia="zh-CN"/>
    </w:rPr>
  </w:style>
  <w:style w:type="paragraph" w:customStyle="1" w:styleId="TableBullet6">
    <w:name w:val="Table Bullet 6"/>
    <w:basedOn w:val="Normal"/>
    <w:link w:val="TableBullet6Char"/>
    <w:uiPriority w:val="98"/>
    <w:semiHidden/>
    <w:rsid w:val="00F3012E"/>
    <w:pPr>
      <w:numPr>
        <w:ilvl w:val="5"/>
        <w:numId w:val="41"/>
      </w:numPr>
    </w:pPr>
    <w:rPr>
      <w:rFonts w:ascii="Arial" w:eastAsiaTheme="minorEastAsia" w:hAnsi="Arial"/>
      <w:szCs w:val="28"/>
      <w:lang w:val="en-GB" w:eastAsia="zh-CN"/>
    </w:rPr>
  </w:style>
  <w:style w:type="character" w:customStyle="1" w:styleId="TableBullet6Char">
    <w:name w:val="Table Bullet 6 Char"/>
    <w:basedOn w:val="Heading1Char"/>
    <w:link w:val="TableBullet6"/>
    <w:uiPriority w:val="98"/>
    <w:semiHidden/>
    <w:rsid w:val="00F3012E"/>
    <w:rPr>
      <w:rFonts w:ascii="Arial" w:eastAsiaTheme="minorEastAsia" w:hAnsi="Arial"/>
      <w:b w:val="0"/>
      <w:sz w:val="22"/>
      <w:szCs w:val="28"/>
      <w:lang w:val="en-GB" w:eastAsia="zh-CN"/>
    </w:rPr>
  </w:style>
  <w:style w:type="paragraph" w:customStyle="1" w:styleId="TableBullet7">
    <w:name w:val="Table Bullet 7"/>
    <w:basedOn w:val="Normal"/>
    <w:link w:val="TableBullet7Char"/>
    <w:uiPriority w:val="98"/>
    <w:semiHidden/>
    <w:rsid w:val="00F3012E"/>
    <w:pPr>
      <w:numPr>
        <w:ilvl w:val="6"/>
        <w:numId w:val="41"/>
      </w:numPr>
    </w:pPr>
    <w:rPr>
      <w:rFonts w:ascii="Arial" w:eastAsiaTheme="minorEastAsia" w:hAnsi="Arial"/>
      <w:szCs w:val="28"/>
      <w:lang w:val="en-GB" w:eastAsia="zh-CN"/>
    </w:rPr>
  </w:style>
  <w:style w:type="character" w:customStyle="1" w:styleId="TableBullet7Char">
    <w:name w:val="Table Bullet 7 Char"/>
    <w:basedOn w:val="Heading1Char"/>
    <w:link w:val="TableBullet7"/>
    <w:uiPriority w:val="98"/>
    <w:semiHidden/>
    <w:rsid w:val="00F3012E"/>
    <w:rPr>
      <w:rFonts w:ascii="Arial" w:eastAsiaTheme="minorEastAsia" w:hAnsi="Arial"/>
      <w:b w:val="0"/>
      <w:sz w:val="22"/>
      <w:szCs w:val="28"/>
      <w:lang w:val="en-GB" w:eastAsia="zh-CN"/>
    </w:rPr>
  </w:style>
  <w:style w:type="paragraph" w:customStyle="1" w:styleId="TableBullet8">
    <w:name w:val="Table Bullet 8"/>
    <w:basedOn w:val="Normal"/>
    <w:link w:val="TableBullet8Char"/>
    <w:uiPriority w:val="98"/>
    <w:semiHidden/>
    <w:rsid w:val="00F3012E"/>
    <w:pPr>
      <w:numPr>
        <w:ilvl w:val="7"/>
        <w:numId w:val="41"/>
      </w:numPr>
    </w:pPr>
    <w:rPr>
      <w:rFonts w:ascii="Arial" w:eastAsiaTheme="minorEastAsia" w:hAnsi="Arial"/>
      <w:szCs w:val="28"/>
      <w:lang w:val="en-GB" w:eastAsia="zh-CN"/>
    </w:rPr>
  </w:style>
  <w:style w:type="character" w:customStyle="1" w:styleId="TableBullet8Char">
    <w:name w:val="Table Bullet 8 Char"/>
    <w:basedOn w:val="Heading1Char"/>
    <w:link w:val="TableBullet8"/>
    <w:uiPriority w:val="98"/>
    <w:semiHidden/>
    <w:rsid w:val="00F3012E"/>
    <w:rPr>
      <w:rFonts w:ascii="Arial" w:eastAsiaTheme="minorEastAsia" w:hAnsi="Arial"/>
      <w:b w:val="0"/>
      <w:sz w:val="22"/>
      <w:szCs w:val="28"/>
      <w:lang w:val="en-GB" w:eastAsia="zh-CN"/>
    </w:rPr>
  </w:style>
  <w:style w:type="paragraph" w:customStyle="1" w:styleId="TableBullet9">
    <w:name w:val="Table Bullet 9"/>
    <w:basedOn w:val="Normal"/>
    <w:link w:val="TableBullet9Char"/>
    <w:uiPriority w:val="98"/>
    <w:semiHidden/>
    <w:rsid w:val="00F3012E"/>
    <w:pPr>
      <w:numPr>
        <w:ilvl w:val="8"/>
        <w:numId w:val="41"/>
      </w:numPr>
    </w:pPr>
    <w:rPr>
      <w:rFonts w:ascii="Arial" w:eastAsiaTheme="minorEastAsia" w:hAnsi="Arial"/>
      <w:szCs w:val="28"/>
      <w:lang w:val="en-GB" w:eastAsia="zh-CN"/>
    </w:rPr>
  </w:style>
  <w:style w:type="character" w:customStyle="1" w:styleId="TableBullet9Char">
    <w:name w:val="Table Bullet 9 Char"/>
    <w:basedOn w:val="Heading1Char"/>
    <w:link w:val="TableBullet9"/>
    <w:uiPriority w:val="98"/>
    <w:semiHidden/>
    <w:rsid w:val="00F3012E"/>
    <w:rPr>
      <w:rFonts w:ascii="Arial" w:eastAsiaTheme="minorEastAsia" w:hAnsi="Arial"/>
      <w:b w:val="0"/>
      <w:sz w:val="22"/>
      <w:szCs w:val="28"/>
      <w:lang w:val="en-GB" w:eastAsia="zh-CN"/>
    </w:rPr>
  </w:style>
  <w:style w:type="paragraph" w:customStyle="1" w:styleId="TableNumber1">
    <w:name w:val="Table Number 1"/>
    <w:basedOn w:val="Normal"/>
    <w:link w:val="TableNumber1Char"/>
    <w:uiPriority w:val="98"/>
    <w:qFormat/>
    <w:rsid w:val="00F3012E"/>
    <w:pPr>
      <w:numPr>
        <w:numId w:val="40"/>
      </w:numPr>
      <w:spacing w:before="120" w:after="120"/>
      <w:outlineLvl w:val="0"/>
    </w:pPr>
    <w:rPr>
      <w:rFonts w:ascii="Arial" w:eastAsiaTheme="minorEastAsia" w:hAnsi="Arial"/>
      <w:bCs/>
      <w:szCs w:val="28"/>
      <w:lang w:val="en-GB" w:eastAsia="zh-CN"/>
    </w:rPr>
  </w:style>
  <w:style w:type="character" w:customStyle="1" w:styleId="TableNumber1Char">
    <w:name w:val="Table Number 1 Char"/>
    <w:basedOn w:val="Heading1Char"/>
    <w:link w:val="TableNumber1"/>
    <w:uiPriority w:val="98"/>
    <w:rsid w:val="00F3012E"/>
    <w:rPr>
      <w:rFonts w:ascii="Arial" w:eastAsiaTheme="minorEastAsia" w:hAnsi="Arial"/>
      <w:b w:val="0"/>
      <w:bCs/>
      <w:sz w:val="22"/>
      <w:szCs w:val="28"/>
      <w:lang w:val="en-GB" w:eastAsia="zh-CN"/>
    </w:rPr>
  </w:style>
  <w:style w:type="paragraph" w:customStyle="1" w:styleId="TableNumber2">
    <w:name w:val="Table Number 2"/>
    <w:basedOn w:val="TableNumber1"/>
    <w:link w:val="TableNumber2Char"/>
    <w:uiPriority w:val="98"/>
    <w:rsid w:val="00F3012E"/>
    <w:pPr>
      <w:numPr>
        <w:ilvl w:val="1"/>
      </w:numPr>
      <w:outlineLvl w:val="1"/>
    </w:pPr>
  </w:style>
  <w:style w:type="character" w:customStyle="1" w:styleId="TableNumber2Char">
    <w:name w:val="Table Number 2 Char"/>
    <w:basedOn w:val="Heading1Char"/>
    <w:link w:val="TableNumber2"/>
    <w:uiPriority w:val="98"/>
    <w:rsid w:val="00F3012E"/>
    <w:rPr>
      <w:rFonts w:ascii="Arial" w:eastAsiaTheme="minorEastAsia" w:hAnsi="Arial"/>
      <w:b w:val="0"/>
      <w:bCs/>
      <w:sz w:val="22"/>
      <w:szCs w:val="28"/>
      <w:lang w:val="en-GB" w:eastAsia="zh-CN"/>
    </w:rPr>
  </w:style>
  <w:style w:type="paragraph" w:customStyle="1" w:styleId="TableNumber3">
    <w:name w:val="Table Number 3"/>
    <w:basedOn w:val="TableNumber1"/>
    <w:link w:val="TableNumber3Char"/>
    <w:uiPriority w:val="98"/>
    <w:rsid w:val="00F3012E"/>
    <w:pPr>
      <w:numPr>
        <w:ilvl w:val="2"/>
      </w:numPr>
      <w:outlineLvl w:val="2"/>
    </w:pPr>
  </w:style>
  <w:style w:type="character" w:customStyle="1" w:styleId="TableNumber3Char">
    <w:name w:val="Table Number 3 Char"/>
    <w:basedOn w:val="Heading1Char"/>
    <w:link w:val="TableNumber3"/>
    <w:uiPriority w:val="98"/>
    <w:rsid w:val="00F3012E"/>
    <w:rPr>
      <w:rFonts w:ascii="Arial" w:eastAsiaTheme="minorEastAsia" w:hAnsi="Arial"/>
      <w:b w:val="0"/>
      <w:bCs/>
      <w:sz w:val="22"/>
      <w:szCs w:val="28"/>
      <w:lang w:val="en-GB" w:eastAsia="zh-CN"/>
    </w:rPr>
  </w:style>
  <w:style w:type="paragraph" w:customStyle="1" w:styleId="TableNumber4">
    <w:name w:val="Table Number 4"/>
    <w:basedOn w:val="Normal"/>
    <w:next w:val="BodyText"/>
    <w:link w:val="TableNumber4Char"/>
    <w:uiPriority w:val="98"/>
    <w:semiHidden/>
    <w:rsid w:val="00F3012E"/>
    <w:pPr>
      <w:numPr>
        <w:ilvl w:val="3"/>
        <w:numId w:val="40"/>
      </w:numPr>
      <w:jc w:val="both"/>
      <w:outlineLvl w:val="3"/>
    </w:pPr>
    <w:rPr>
      <w:rFonts w:ascii="Arial" w:eastAsiaTheme="minorEastAsia" w:hAnsi="Arial"/>
      <w:szCs w:val="28"/>
      <w:lang w:val="en-GB" w:eastAsia="zh-CN"/>
    </w:rPr>
  </w:style>
  <w:style w:type="character" w:customStyle="1" w:styleId="TableNumber4Char">
    <w:name w:val="Table Number 4 Char"/>
    <w:basedOn w:val="Heading1Char"/>
    <w:link w:val="TableNumber4"/>
    <w:uiPriority w:val="98"/>
    <w:semiHidden/>
    <w:rsid w:val="00F3012E"/>
    <w:rPr>
      <w:rFonts w:ascii="Arial" w:eastAsiaTheme="minorEastAsia" w:hAnsi="Arial"/>
      <w:b w:val="0"/>
      <w:sz w:val="22"/>
      <w:szCs w:val="28"/>
      <w:lang w:val="en-GB" w:eastAsia="zh-CN"/>
    </w:rPr>
  </w:style>
  <w:style w:type="paragraph" w:customStyle="1" w:styleId="TableNumber5">
    <w:name w:val="Table Number 5"/>
    <w:basedOn w:val="Normal"/>
    <w:next w:val="BodyText"/>
    <w:link w:val="TableNumber5Char"/>
    <w:uiPriority w:val="98"/>
    <w:semiHidden/>
    <w:rsid w:val="00F3012E"/>
    <w:pPr>
      <w:numPr>
        <w:ilvl w:val="4"/>
        <w:numId w:val="40"/>
      </w:numPr>
      <w:jc w:val="both"/>
      <w:outlineLvl w:val="4"/>
    </w:pPr>
    <w:rPr>
      <w:rFonts w:ascii="Arial" w:eastAsiaTheme="minorEastAsia" w:hAnsi="Arial"/>
      <w:szCs w:val="28"/>
      <w:lang w:val="en-GB" w:eastAsia="zh-CN"/>
    </w:rPr>
  </w:style>
  <w:style w:type="character" w:customStyle="1" w:styleId="TableNumber5Char">
    <w:name w:val="Table Number 5 Char"/>
    <w:basedOn w:val="Heading1Char"/>
    <w:link w:val="TableNumber5"/>
    <w:uiPriority w:val="98"/>
    <w:semiHidden/>
    <w:rsid w:val="00F3012E"/>
    <w:rPr>
      <w:rFonts w:ascii="Arial" w:eastAsiaTheme="minorEastAsia" w:hAnsi="Arial"/>
      <w:b w:val="0"/>
      <w:sz w:val="22"/>
      <w:szCs w:val="28"/>
      <w:lang w:val="en-GB" w:eastAsia="zh-CN"/>
    </w:rPr>
  </w:style>
  <w:style w:type="paragraph" w:customStyle="1" w:styleId="TableNumber6">
    <w:name w:val="Table Number 6"/>
    <w:basedOn w:val="Normal"/>
    <w:next w:val="BodyText"/>
    <w:link w:val="TableNumber6Char"/>
    <w:uiPriority w:val="98"/>
    <w:semiHidden/>
    <w:rsid w:val="00F3012E"/>
    <w:pPr>
      <w:numPr>
        <w:ilvl w:val="5"/>
        <w:numId w:val="40"/>
      </w:numPr>
      <w:jc w:val="both"/>
      <w:outlineLvl w:val="5"/>
    </w:pPr>
    <w:rPr>
      <w:rFonts w:ascii="Arial" w:eastAsiaTheme="minorEastAsia" w:hAnsi="Arial"/>
      <w:szCs w:val="28"/>
      <w:lang w:val="en-GB" w:eastAsia="zh-CN"/>
    </w:rPr>
  </w:style>
  <w:style w:type="character" w:customStyle="1" w:styleId="TableNumber6Char">
    <w:name w:val="Table Number 6 Char"/>
    <w:basedOn w:val="Heading1Char"/>
    <w:link w:val="TableNumber6"/>
    <w:uiPriority w:val="98"/>
    <w:semiHidden/>
    <w:rsid w:val="00F3012E"/>
    <w:rPr>
      <w:rFonts w:ascii="Arial" w:eastAsiaTheme="minorEastAsia" w:hAnsi="Arial"/>
      <w:b w:val="0"/>
      <w:sz w:val="22"/>
      <w:szCs w:val="28"/>
      <w:lang w:val="en-GB" w:eastAsia="zh-CN"/>
    </w:rPr>
  </w:style>
  <w:style w:type="paragraph" w:customStyle="1" w:styleId="TableNumber7">
    <w:name w:val="Table Number 7"/>
    <w:basedOn w:val="Normal"/>
    <w:next w:val="BodyText"/>
    <w:link w:val="TableNumber7Char"/>
    <w:uiPriority w:val="98"/>
    <w:semiHidden/>
    <w:rsid w:val="00F3012E"/>
    <w:pPr>
      <w:numPr>
        <w:ilvl w:val="6"/>
        <w:numId w:val="40"/>
      </w:numPr>
      <w:jc w:val="both"/>
      <w:outlineLvl w:val="6"/>
    </w:pPr>
    <w:rPr>
      <w:rFonts w:ascii="Arial" w:eastAsiaTheme="minorEastAsia" w:hAnsi="Arial"/>
      <w:szCs w:val="28"/>
      <w:lang w:val="en-GB" w:eastAsia="zh-CN"/>
    </w:rPr>
  </w:style>
  <w:style w:type="character" w:customStyle="1" w:styleId="TableNumber7Char">
    <w:name w:val="Table Number 7 Char"/>
    <w:basedOn w:val="Heading1Char"/>
    <w:link w:val="TableNumber7"/>
    <w:uiPriority w:val="98"/>
    <w:semiHidden/>
    <w:rsid w:val="00F3012E"/>
    <w:rPr>
      <w:rFonts w:ascii="Arial" w:eastAsiaTheme="minorEastAsia" w:hAnsi="Arial"/>
      <w:b w:val="0"/>
      <w:sz w:val="22"/>
      <w:szCs w:val="28"/>
      <w:lang w:val="en-GB" w:eastAsia="zh-CN"/>
    </w:rPr>
  </w:style>
  <w:style w:type="paragraph" w:customStyle="1" w:styleId="TableNumber8">
    <w:name w:val="Table Number 8"/>
    <w:basedOn w:val="Normal"/>
    <w:next w:val="BodyText"/>
    <w:link w:val="TableNumber8Char"/>
    <w:uiPriority w:val="98"/>
    <w:semiHidden/>
    <w:rsid w:val="00F3012E"/>
    <w:pPr>
      <w:numPr>
        <w:ilvl w:val="7"/>
        <w:numId w:val="40"/>
      </w:numPr>
      <w:jc w:val="both"/>
      <w:outlineLvl w:val="7"/>
    </w:pPr>
    <w:rPr>
      <w:rFonts w:ascii="Arial" w:eastAsiaTheme="minorEastAsia" w:hAnsi="Arial"/>
      <w:szCs w:val="28"/>
      <w:lang w:val="en-GB" w:eastAsia="zh-CN"/>
    </w:rPr>
  </w:style>
  <w:style w:type="character" w:customStyle="1" w:styleId="TableNumber8Char">
    <w:name w:val="Table Number 8 Char"/>
    <w:basedOn w:val="Heading1Char"/>
    <w:link w:val="TableNumber8"/>
    <w:uiPriority w:val="98"/>
    <w:semiHidden/>
    <w:rsid w:val="00F3012E"/>
    <w:rPr>
      <w:rFonts w:ascii="Arial" w:eastAsiaTheme="minorEastAsia" w:hAnsi="Arial"/>
      <w:b w:val="0"/>
      <w:sz w:val="22"/>
      <w:szCs w:val="28"/>
      <w:lang w:val="en-GB" w:eastAsia="zh-CN"/>
    </w:rPr>
  </w:style>
  <w:style w:type="paragraph" w:customStyle="1" w:styleId="TableNumber9">
    <w:name w:val="Table Number 9"/>
    <w:basedOn w:val="Normal"/>
    <w:next w:val="BodyText"/>
    <w:link w:val="TableNumber9Char"/>
    <w:uiPriority w:val="98"/>
    <w:semiHidden/>
    <w:rsid w:val="00F3012E"/>
    <w:pPr>
      <w:numPr>
        <w:ilvl w:val="8"/>
        <w:numId w:val="40"/>
      </w:numPr>
      <w:jc w:val="both"/>
      <w:outlineLvl w:val="8"/>
    </w:pPr>
    <w:rPr>
      <w:rFonts w:ascii="Arial" w:eastAsiaTheme="minorEastAsia" w:hAnsi="Arial"/>
      <w:szCs w:val="28"/>
      <w:lang w:val="en-GB" w:eastAsia="zh-CN"/>
    </w:rPr>
  </w:style>
  <w:style w:type="character" w:customStyle="1" w:styleId="TableNumber9Char">
    <w:name w:val="Table Number 9 Char"/>
    <w:basedOn w:val="Heading1Char"/>
    <w:link w:val="TableNumber9"/>
    <w:uiPriority w:val="98"/>
    <w:semiHidden/>
    <w:rsid w:val="00F3012E"/>
    <w:rPr>
      <w:rFonts w:ascii="Arial" w:eastAsiaTheme="minorEastAsia" w:hAnsi="Arial"/>
      <w:b w:val="0"/>
      <w:sz w:val="22"/>
      <w:szCs w:val="28"/>
      <w:lang w:val="en-GB" w:eastAsia="zh-CN"/>
    </w:rPr>
  </w:style>
  <w:style w:type="paragraph" w:customStyle="1" w:styleId="TableSource">
    <w:name w:val="Table Source"/>
    <w:basedOn w:val="Normal"/>
    <w:next w:val="BodyText"/>
    <w:link w:val="TableSourceChar"/>
    <w:uiPriority w:val="8"/>
    <w:rsid w:val="00F3012E"/>
    <w:pPr>
      <w:spacing w:before="120"/>
    </w:pPr>
    <w:rPr>
      <w:rFonts w:eastAsia="Times New Roman"/>
      <w:bCs/>
      <w:sz w:val="16"/>
      <w:szCs w:val="28"/>
      <w:lang w:val="en-GB" w:eastAsia="zh-CN"/>
    </w:rPr>
  </w:style>
  <w:style w:type="character" w:customStyle="1" w:styleId="HighlightBlue">
    <w:name w:val="Highlight Blue"/>
    <w:basedOn w:val="DefaultParagraphFont"/>
    <w:uiPriority w:val="1"/>
    <w:semiHidden/>
    <w:qFormat/>
    <w:rsid w:val="00F3012E"/>
    <w:rPr>
      <w:color w:val="A2AD00" w:themeColor="accent4"/>
      <w:szCs w:val="20"/>
      <w:lang w:val="en-US"/>
    </w:rPr>
  </w:style>
  <w:style w:type="character" w:customStyle="1" w:styleId="HighlightBurgundy">
    <w:name w:val="Highlight Burgundy"/>
    <w:basedOn w:val="DefaultParagraphFont"/>
    <w:uiPriority w:val="1"/>
    <w:semiHidden/>
    <w:qFormat/>
    <w:rsid w:val="00F3012E"/>
    <w:rPr>
      <w:color w:val="6773B6" w:themeColor="accent3"/>
      <w:szCs w:val="20"/>
      <w:lang w:val="en-US"/>
    </w:rPr>
  </w:style>
  <w:style w:type="character" w:customStyle="1" w:styleId="HighlightGreen">
    <w:name w:val="Highlight Green"/>
    <w:basedOn w:val="DefaultParagraphFont"/>
    <w:uiPriority w:val="1"/>
    <w:semiHidden/>
    <w:qFormat/>
    <w:rsid w:val="00F3012E"/>
    <w:rPr>
      <w:color w:val="404143" w:themeColor="accent6"/>
      <w:lang w:val="en-US"/>
    </w:rPr>
  </w:style>
  <w:style w:type="character" w:customStyle="1" w:styleId="HighlightOrange">
    <w:name w:val="Highlight Orange"/>
    <w:basedOn w:val="DefaultParagraphFont"/>
    <w:uiPriority w:val="1"/>
    <w:semiHidden/>
    <w:qFormat/>
    <w:rsid w:val="00F3012E"/>
    <w:rPr>
      <w:color w:val="8B8D8E" w:themeColor="accent5"/>
      <w:lang w:val="en-US"/>
    </w:rPr>
  </w:style>
  <w:style w:type="character" w:customStyle="1" w:styleId="HighlightRed">
    <w:name w:val="Highlight Red"/>
    <w:basedOn w:val="DefaultParagraphFont"/>
    <w:uiPriority w:val="1"/>
    <w:semiHidden/>
    <w:qFormat/>
    <w:rsid w:val="00F3012E"/>
    <w:rPr>
      <w:i w:val="0"/>
      <w:iCs/>
      <w:color w:val="A71930" w:themeColor="accent1"/>
      <w:szCs w:val="20"/>
      <w:lang w:val="en-US"/>
    </w:rPr>
  </w:style>
  <w:style w:type="paragraph" w:customStyle="1" w:styleId="ListNumbering2">
    <w:name w:val="List Numbering 2"/>
    <w:basedOn w:val="Normal"/>
    <w:link w:val="ListNumbering2Char"/>
    <w:uiPriority w:val="98"/>
    <w:qFormat/>
    <w:rsid w:val="00F3012E"/>
    <w:pPr>
      <w:numPr>
        <w:ilvl w:val="1"/>
        <w:numId w:val="42"/>
      </w:numPr>
      <w:outlineLvl w:val="1"/>
    </w:pPr>
    <w:rPr>
      <w:rFonts w:eastAsia="Times New Roman"/>
      <w:bCs/>
      <w:szCs w:val="28"/>
      <w:lang w:val="en-GB" w:eastAsia="zh-CN"/>
    </w:rPr>
  </w:style>
  <w:style w:type="character" w:customStyle="1" w:styleId="ListNumbering2Char">
    <w:name w:val="List Numbering 2 Char"/>
    <w:basedOn w:val="DefaultParagraphFont"/>
    <w:link w:val="ListNumbering2"/>
    <w:uiPriority w:val="98"/>
    <w:rsid w:val="00F3012E"/>
    <w:rPr>
      <w:rFonts w:eastAsia="Times New Roman"/>
      <w:bCs/>
      <w:sz w:val="22"/>
      <w:szCs w:val="28"/>
      <w:lang w:val="en-GB" w:eastAsia="zh-CN"/>
    </w:rPr>
  </w:style>
  <w:style w:type="paragraph" w:customStyle="1" w:styleId="ListNumbering3">
    <w:name w:val="List Numbering 3"/>
    <w:basedOn w:val="Normal"/>
    <w:link w:val="ListNumbering3Char"/>
    <w:uiPriority w:val="98"/>
    <w:qFormat/>
    <w:rsid w:val="00F3012E"/>
    <w:pPr>
      <w:numPr>
        <w:ilvl w:val="2"/>
        <w:numId w:val="42"/>
      </w:numPr>
      <w:outlineLvl w:val="2"/>
    </w:pPr>
    <w:rPr>
      <w:rFonts w:eastAsia="Times New Roman"/>
      <w:bCs/>
      <w:szCs w:val="28"/>
      <w:lang w:val="en-GB" w:eastAsia="zh-CN"/>
    </w:rPr>
  </w:style>
  <w:style w:type="character" w:customStyle="1" w:styleId="ListNumbering3Char">
    <w:name w:val="List Numbering 3 Char"/>
    <w:basedOn w:val="DefaultParagraphFont"/>
    <w:link w:val="ListNumbering3"/>
    <w:uiPriority w:val="98"/>
    <w:rsid w:val="00F3012E"/>
    <w:rPr>
      <w:rFonts w:eastAsia="Times New Roman"/>
      <w:bCs/>
      <w:sz w:val="22"/>
      <w:szCs w:val="28"/>
      <w:lang w:val="en-GB" w:eastAsia="zh-CN"/>
    </w:rPr>
  </w:style>
  <w:style w:type="paragraph" w:customStyle="1" w:styleId="ListNumbering4">
    <w:name w:val="List Numbering 4"/>
    <w:basedOn w:val="Normal"/>
    <w:link w:val="ListNumbering4Char"/>
    <w:uiPriority w:val="98"/>
    <w:qFormat/>
    <w:rsid w:val="00F3012E"/>
    <w:pPr>
      <w:numPr>
        <w:ilvl w:val="3"/>
        <w:numId w:val="42"/>
      </w:numPr>
      <w:outlineLvl w:val="3"/>
    </w:pPr>
    <w:rPr>
      <w:rFonts w:eastAsia="Times New Roman"/>
      <w:bCs/>
      <w:szCs w:val="28"/>
      <w:lang w:val="en-GB" w:eastAsia="zh-CN"/>
    </w:rPr>
  </w:style>
  <w:style w:type="character" w:customStyle="1" w:styleId="ListNumbering4Char">
    <w:name w:val="List Numbering 4 Char"/>
    <w:basedOn w:val="DefaultParagraphFont"/>
    <w:link w:val="ListNumbering4"/>
    <w:uiPriority w:val="98"/>
    <w:rsid w:val="00F3012E"/>
    <w:rPr>
      <w:rFonts w:eastAsia="Times New Roman"/>
      <w:bCs/>
      <w:sz w:val="22"/>
      <w:szCs w:val="28"/>
      <w:lang w:val="en-GB" w:eastAsia="zh-CN"/>
    </w:rPr>
  </w:style>
  <w:style w:type="paragraph" w:customStyle="1" w:styleId="ListNumbering5">
    <w:name w:val="List Numbering 5"/>
    <w:basedOn w:val="Normal"/>
    <w:link w:val="ListNumbering5Char"/>
    <w:uiPriority w:val="98"/>
    <w:semiHidden/>
    <w:rsid w:val="00F3012E"/>
    <w:pPr>
      <w:numPr>
        <w:ilvl w:val="4"/>
        <w:numId w:val="42"/>
      </w:numPr>
    </w:pPr>
    <w:rPr>
      <w:rFonts w:eastAsiaTheme="minorEastAsia" w:cstheme="minorBidi"/>
      <w:bCs/>
      <w:szCs w:val="28"/>
      <w:lang w:val="en-GB" w:eastAsia="zh-CN"/>
    </w:rPr>
  </w:style>
  <w:style w:type="character" w:customStyle="1" w:styleId="ListNumbering5Char">
    <w:name w:val="List Numbering 5 Char"/>
    <w:basedOn w:val="DefaultParagraphFont"/>
    <w:link w:val="ListNumbering5"/>
    <w:uiPriority w:val="98"/>
    <w:semiHidden/>
    <w:rsid w:val="00F3012E"/>
    <w:rPr>
      <w:rFonts w:eastAsiaTheme="minorEastAsia" w:cstheme="minorBidi"/>
      <w:bCs/>
      <w:sz w:val="22"/>
      <w:szCs w:val="28"/>
      <w:lang w:val="en-GB" w:eastAsia="zh-CN"/>
    </w:rPr>
  </w:style>
  <w:style w:type="paragraph" w:customStyle="1" w:styleId="ListNumbering6">
    <w:name w:val="List Numbering 6"/>
    <w:basedOn w:val="Normal"/>
    <w:link w:val="ListNumbering6Char"/>
    <w:uiPriority w:val="98"/>
    <w:semiHidden/>
    <w:rsid w:val="00F3012E"/>
    <w:pPr>
      <w:numPr>
        <w:ilvl w:val="5"/>
        <w:numId w:val="42"/>
      </w:numPr>
    </w:pPr>
    <w:rPr>
      <w:rFonts w:eastAsiaTheme="minorEastAsia" w:cstheme="minorBidi"/>
      <w:bCs/>
      <w:szCs w:val="28"/>
      <w:lang w:val="en-GB" w:eastAsia="zh-CN"/>
    </w:rPr>
  </w:style>
  <w:style w:type="character" w:customStyle="1" w:styleId="ListNumbering6Char">
    <w:name w:val="List Numbering 6 Char"/>
    <w:basedOn w:val="DefaultParagraphFont"/>
    <w:link w:val="ListNumbering6"/>
    <w:uiPriority w:val="98"/>
    <w:semiHidden/>
    <w:rsid w:val="00F3012E"/>
    <w:rPr>
      <w:rFonts w:eastAsiaTheme="minorEastAsia" w:cstheme="minorBidi"/>
      <w:bCs/>
      <w:sz w:val="22"/>
      <w:szCs w:val="28"/>
      <w:lang w:val="en-GB" w:eastAsia="zh-CN"/>
    </w:rPr>
  </w:style>
  <w:style w:type="paragraph" w:customStyle="1" w:styleId="ListNumbering7">
    <w:name w:val="List Numbering 7"/>
    <w:basedOn w:val="Normal"/>
    <w:next w:val="BodyText"/>
    <w:link w:val="ListNumbering7Char"/>
    <w:uiPriority w:val="98"/>
    <w:semiHidden/>
    <w:rsid w:val="00F3012E"/>
    <w:pPr>
      <w:numPr>
        <w:ilvl w:val="6"/>
        <w:numId w:val="42"/>
      </w:numPr>
      <w:jc w:val="both"/>
      <w:outlineLvl w:val="6"/>
    </w:pPr>
    <w:rPr>
      <w:rFonts w:eastAsiaTheme="minorEastAsia"/>
      <w:bCs/>
      <w:szCs w:val="28"/>
      <w:lang w:val="en-GB" w:eastAsia="zh-CN"/>
    </w:rPr>
  </w:style>
  <w:style w:type="character" w:customStyle="1" w:styleId="ListNumbering7Char">
    <w:name w:val="List Numbering 7 Char"/>
    <w:basedOn w:val="DefaultParagraphFont"/>
    <w:link w:val="ListNumbering7"/>
    <w:uiPriority w:val="98"/>
    <w:semiHidden/>
    <w:rsid w:val="00F3012E"/>
    <w:rPr>
      <w:rFonts w:eastAsiaTheme="minorEastAsia"/>
      <w:bCs/>
      <w:sz w:val="22"/>
      <w:szCs w:val="28"/>
      <w:lang w:val="en-GB" w:eastAsia="zh-CN"/>
    </w:rPr>
  </w:style>
  <w:style w:type="paragraph" w:customStyle="1" w:styleId="ListNumbering8">
    <w:name w:val="List Numbering 8"/>
    <w:basedOn w:val="Normal"/>
    <w:next w:val="BodyText"/>
    <w:link w:val="ListNumbering8Char"/>
    <w:uiPriority w:val="98"/>
    <w:semiHidden/>
    <w:rsid w:val="00F3012E"/>
    <w:pPr>
      <w:numPr>
        <w:ilvl w:val="7"/>
        <w:numId w:val="42"/>
      </w:numPr>
      <w:jc w:val="both"/>
      <w:outlineLvl w:val="7"/>
    </w:pPr>
    <w:rPr>
      <w:rFonts w:eastAsiaTheme="minorEastAsia"/>
      <w:bCs/>
      <w:szCs w:val="28"/>
      <w:lang w:val="en-GB" w:eastAsia="zh-CN"/>
    </w:rPr>
  </w:style>
  <w:style w:type="character" w:customStyle="1" w:styleId="ListNumbering8Char">
    <w:name w:val="List Numbering 8 Char"/>
    <w:basedOn w:val="DefaultParagraphFont"/>
    <w:link w:val="ListNumbering8"/>
    <w:uiPriority w:val="98"/>
    <w:semiHidden/>
    <w:rsid w:val="00F3012E"/>
    <w:rPr>
      <w:rFonts w:eastAsiaTheme="minorEastAsia"/>
      <w:bCs/>
      <w:sz w:val="22"/>
      <w:szCs w:val="28"/>
      <w:lang w:val="en-GB" w:eastAsia="zh-CN"/>
    </w:rPr>
  </w:style>
  <w:style w:type="paragraph" w:customStyle="1" w:styleId="ListNumbering9">
    <w:name w:val="List Numbering 9"/>
    <w:basedOn w:val="Normal"/>
    <w:next w:val="BodyText"/>
    <w:link w:val="ListNumbering9Char"/>
    <w:uiPriority w:val="98"/>
    <w:semiHidden/>
    <w:rsid w:val="00F3012E"/>
    <w:pPr>
      <w:numPr>
        <w:ilvl w:val="8"/>
        <w:numId w:val="42"/>
      </w:numPr>
      <w:jc w:val="both"/>
      <w:outlineLvl w:val="8"/>
    </w:pPr>
    <w:rPr>
      <w:rFonts w:eastAsiaTheme="minorEastAsia"/>
      <w:bCs/>
      <w:szCs w:val="28"/>
      <w:lang w:val="en-GB" w:eastAsia="zh-CN"/>
    </w:rPr>
  </w:style>
  <w:style w:type="character" w:customStyle="1" w:styleId="ListNumbering9Char">
    <w:name w:val="List Numbering 9 Char"/>
    <w:basedOn w:val="DefaultParagraphFont"/>
    <w:link w:val="ListNumbering9"/>
    <w:uiPriority w:val="98"/>
    <w:semiHidden/>
    <w:rsid w:val="00F3012E"/>
    <w:rPr>
      <w:rFonts w:eastAsiaTheme="minorEastAsia"/>
      <w:bCs/>
      <w:sz w:val="22"/>
      <w:szCs w:val="28"/>
      <w:lang w:val="en-GB" w:eastAsia="zh-CN"/>
    </w:rPr>
  </w:style>
  <w:style w:type="paragraph" w:customStyle="1" w:styleId="NoLogo">
    <w:name w:val="NoLogo"/>
    <w:basedOn w:val="BodyText"/>
    <w:uiPriority w:val="11"/>
    <w:semiHidden/>
    <w:rsid w:val="00F3012E"/>
    <w:pPr>
      <w:spacing w:after="1800"/>
    </w:pPr>
    <w:rPr>
      <w:rFonts w:asciiTheme="minorHAnsi" w:eastAsiaTheme="minorEastAsia" w:hAnsiTheme="minorHAnsi" w:cstheme="minorBidi"/>
      <w:szCs w:val="28"/>
      <w:lang w:eastAsia="zh-CN"/>
    </w:rPr>
  </w:style>
  <w:style w:type="table" w:customStyle="1" w:styleId="BMTableBW">
    <w:name w:val="BM Table (B&amp;W)"/>
    <w:basedOn w:val="TableNormal"/>
    <w:uiPriority w:val="99"/>
    <w:rsid w:val="00F3012E"/>
    <w:rPr>
      <w:sz w:val="22"/>
      <w:szCs w:val="22"/>
      <w:lang w:eastAsia="zh-CN"/>
    </w:rPr>
    <w:tblPr>
      <w:tblBorders>
        <w:top w:val="single" w:sz="4" w:space="0" w:color="404143" w:themeColor="text1"/>
        <w:left w:val="single" w:sz="4" w:space="0" w:color="404143" w:themeColor="text1"/>
        <w:bottom w:val="single" w:sz="4" w:space="0" w:color="404143" w:themeColor="text1"/>
        <w:right w:val="single" w:sz="4" w:space="0" w:color="404143" w:themeColor="text1"/>
        <w:insideH w:val="single" w:sz="4" w:space="0" w:color="404143" w:themeColor="text1"/>
        <w:insideV w:val="single" w:sz="4" w:space="0" w:color="404143" w:themeColor="text1"/>
      </w:tblBorders>
    </w:tblPr>
    <w:tcPr>
      <w:shd w:val="clear" w:color="auto" w:fill="F2F2F2" w:themeFill="background1" w:themeFillShade="F2"/>
    </w:tcPr>
    <w:tblStylePr w:type="firstRow">
      <w:pPr>
        <w:jc w:val="left"/>
      </w:pPr>
      <w:tblPr/>
      <w:trPr>
        <w:cantSplit/>
        <w:tblHeader/>
      </w:trPr>
      <w:tcPr>
        <w:tcBorders>
          <w:insideH w:val="single" w:sz="4" w:space="0" w:color="FFFFFF" w:themeColor="background1"/>
          <w:insideV w:val="single" w:sz="4" w:space="0" w:color="FFFFFF" w:themeColor="background1"/>
        </w:tcBorders>
        <w:shd w:val="clear" w:color="auto" w:fill="404143" w:themeFill="text1"/>
        <w:vAlign w:val="bottom"/>
      </w:tcPr>
    </w:tblStylePr>
    <w:tblStylePr w:type="lastRow">
      <w:rPr>
        <w:b/>
      </w:rPr>
    </w:tblStylePr>
  </w:style>
  <w:style w:type="table" w:customStyle="1" w:styleId="BMTableBlue">
    <w:name w:val="BM Table Blue"/>
    <w:basedOn w:val="TableNormal"/>
    <w:uiPriority w:val="99"/>
    <w:rsid w:val="00F3012E"/>
    <w:rPr>
      <w:sz w:val="22"/>
      <w:szCs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FFFFFF" w:themeFill="background2" w:themeFillTint="33"/>
    </w:tcPr>
    <w:tblStylePr w:type="firstRow">
      <w:pPr>
        <w:jc w:val="left"/>
      </w:pPr>
      <w:tblPr/>
      <w:trPr>
        <w:cantSplit/>
        <w:tblHeader/>
      </w:trPr>
      <w:tcPr>
        <w:shd w:val="clear" w:color="auto" w:fill="A2AD00" w:themeFill="accent4"/>
        <w:vAlign w:val="bottom"/>
      </w:tcPr>
    </w:tblStylePr>
    <w:tblStylePr w:type="lastRow">
      <w:rPr>
        <w:b/>
      </w:rPr>
    </w:tblStylePr>
  </w:style>
  <w:style w:type="table" w:customStyle="1" w:styleId="BMTableBurgundy">
    <w:name w:val="BM Table Burgundy"/>
    <w:basedOn w:val="TableNormal"/>
    <w:uiPriority w:val="99"/>
    <w:rsid w:val="00F3012E"/>
    <w:rPr>
      <w:sz w:val="22"/>
      <w:szCs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FFFFFF" w:themeFill="background2" w:themeFillTint="33"/>
    </w:tcPr>
    <w:tblStylePr w:type="firstRow">
      <w:pPr>
        <w:jc w:val="left"/>
      </w:pPr>
      <w:rPr>
        <w:color w:val="FFFFFF" w:themeColor="background1"/>
      </w:rPr>
      <w:tblPr/>
      <w:trPr>
        <w:tblHeader/>
      </w:trPr>
      <w:tcPr>
        <w:shd w:val="clear" w:color="auto" w:fill="6773B6" w:themeFill="accent3"/>
        <w:vAlign w:val="bottom"/>
      </w:tcPr>
    </w:tblStylePr>
    <w:tblStylePr w:type="lastRow">
      <w:rPr>
        <w:b/>
      </w:rPr>
      <w:tblPr/>
      <w:tcPr>
        <w:shd w:val="clear" w:color="auto" w:fill="FFFFFF" w:themeFill="background2" w:themeFillTint="33"/>
      </w:tcPr>
    </w:tblStylePr>
  </w:style>
  <w:style w:type="table" w:customStyle="1" w:styleId="BMTableGreen">
    <w:name w:val="BM Table Green"/>
    <w:basedOn w:val="TableNormal"/>
    <w:uiPriority w:val="99"/>
    <w:rsid w:val="00F3012E"/>
    <w:rPr>
      <w:sz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2" w:themeFillTint="33"/>
    </w:tcPr>
    <w:tblStylePr w:type="firstRow">
      <w:pPr>
        <w:jc w:val="left"/>
      </w:pPr>
      <w:rPr>
        <w:color w:val="FFFFFF" w:themeColor="background1"/>
      </w:rPr>
      <w:tblPr/>
      <w:trPr>
        <w:tblHeader/>
      </w:trPr>
      <w:tcPr>
        <w:shd w:val="clear" w:color="auto" w:fill="404143" w:themeFill="accent6"/>
        <w:vAlign w:val="bottom"/>
      </w:tcPr>
    </w:tblStylePr>
    <w:tblStylePr w:type="lastRow">
      <w:rPr>
        <w:b/>
      </w:rPr>
    </w:tblStylePr>
  </w:style>
  <w:style w:type="table" w:customStyle="1" w:styleId="BMTableOrange">
    <w:name w:val="BM Table Orange"/>
    <w:basedOn w:val="TableNormal"/>
    <w:uiPriority w:val="99"/>
    <w:rsid w:val="00F3012E"/>
    <w:rPr>
      <w:sz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2" w:themeFillTint="33"/>
    </w:tcPr>
    <w:tblStylePr w:type="firstRow">
      <w:pPr>
        <w:jc w:val="left"/>
      </w:pPr>
      <w:rPr>
        <w:color w:val="FFFFFF" w:themeColor="background1"/>
      </w:rPr>
      <w:tblPr/>
      <w:trPr>
        <w:tblHeader/>
      </w:trPr>
      <w:tcPr>
        <w:shd w:val="clear" w:color="auto" w:fill="8B8D8E" w:themeFill="accent5"/>
      </w:tcPr>
    </w:tblStylePr>
    <w:tblStylePr w:type="lastRow">
      <w:rPr>
        <w:b/>
      </w:rPr>
    </w:tblStylePr>
  </w:style>
  <w:style w:type="table" w:customStyle="1" w:styleId="BMTableRed">
    <w:name w:val="BM Table Red"/>
    <w:basedOn w:val="TableNormal"/>
    <w:uiPriority w:val="99"/>
    <w:rsid w:val="00F3012E"/>
    <w:rPr>
      <w:sz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FFFFFF" w:themeFill="background2" w:themeFillTint="33"/>
    </w:tcPr>
    <w:tblStylePr w:type="firstRow">
      <w:pPr>
        <w:jc w:val="left"/>
      </w:pPr>
      <w:rPr>
        <w:color w:val="FFFFFF" w:themeColor="background1"/>
        <w:sz w:val="22"/>
      </w:rPr>
      <w:tblPr/>
      <w:trPr>
        <w:cantSplit/>
        <w:tblHeader/>
      </w:trPr>
      <w:tcPr>
        <w:shd w:val="clear" w:color="auto" w:fill="A71930" w:themeFill="accent1"/>
        <w:vAlign w:val="bottom"/>
      </w:tcPr>
    </w:tblStylePr>
    <w:tblStylePr w:type="lastRow">
      <w:rPr>
        <w:b/>
      </w:rPr>
    </w:tblStylePr>
  </w:style>
  <w:style w:type="paragraph" w:customStyle="1" w:styleId="CoverTitle">
    <w:name w:val="Cover Title"/>
    <w:basedOn w:val="Normal"/>
    <w:link w:val="CoverTitleChar"/>
    <w:semiHidden/>
    <w:rsid w:val="00F3012E"/>
    <w:pPr>
      <w:pBdr>
        <w:top w:val="single" w:sz="4" w:space="30" w:color="FFFFFF" w:themeColor="background2"/>
        <w:bottom w:val="single" w:sz="4" w:space="30" w:color="FFFFFF" w:themeColor="background2"/>
      </w:pBdr>
      <w:spacing w:before="840" w:after="600"/>
    </w:pPr>
    <w:rPr>
      <w:rFonts w:eastAsia="Times New Roman"/>
      <w:b/>
      <w:color w:val="6773B6" w:themeColor="accent3"/>
      <w:sz w:val="36"/>
      <w:szCs w:val="28"/>
      <w:lang w:val="en-GB" w:eastAsia="zh-CN"/>
    </w:rPr>
  </w:style>
  <w:style w:type="character" w:customStyle="1" w:styleId="CoverTitleChar">
    <w:name w:val="Cover Title Char"/>
    <w:basedOn w:val="DefaultParagraphFont"/>
    <w:link w:val="CoverTitle"/>
    <w:semiHidden/>
    <w:rsid w:val="00F3012E"/>
    <w:rPr>
      <w:rFonts w:eastAsia="Times New Roman"/>
      <w:b/>
      <w:color w:val="6773B6" w:themeColor="accent3"/>
      <w:sz w:val="36"/>
      <w:szCs w:val="28"/>
      <w:lang w:val="en-GB" w:eastAsia="zh-CN"/>
    </w:rPr>
  </w:style>
  <w:style w:type="character" w:customStyle="1" w:styleId="Bullet0ptAfter1Char">
    <w:name w:val="Bullet (0pt After) 1 Char"/>
    <w:basedOn w:val="DefaultParagraphFont"/>
    <w:link w:val="Bullet0ptAfter1"/>
    <w:uiPriority w:val="98"/>
    <w:rsid w:val="00F3012E"/>
    <w:rPr>
      <w:rFonts w:eastAsiaTheme="minorEastAsia" w:cstheme="minorBidi"/>
      <w:bCs/>
      <w:sz w:val="22"/>
      <w:szCs w:val="28"/>
      <w:lang w:val="en-GB" w:eastAsia="zh-CN"/>
    </w:rPr>
  </w:style>
  <w:style w:type="character" w:customStyle="1" w:styleId="Bullet0ptAfter2Char">
    <w:name w:val="Bullet (0pt After) 2 Char"/>
    <w:basedOn w:val="DefaultParagraphFont"/>
    <w:link w:val="Bullet0ptAfter2"/>
    <w:uiPriority w:val="98"/>
    <w:rsid w:val="00F3012E"/>
    <w:rPr>
      <w:rFonts w:eastAsiaTheme="minorEastAsia" w:cstheme="minorBidi"/>
      <w:bCs/>
      <w:sz w:val="22"/>
      <w:szCs w:val="28"/>
      <w:lang w:val="en-GB" w:eastAsia="zh-CN"/>
    </w:rPr>
  </w:style>
  <w:style w:type="character" w:customStyle="1" w:styleId="Bullet0ptAfter3Char">
    <w:name w:val="Bullet (0pt After) 3 Char"/>
    <w:basedOn w:val="DefaultParagraphFont"/>
    <w:link w:val="Bullet0ptAfter3"/>
    <w:uiPriority w:val="98"/>
    <w:rsid w:val="00F3012E"/>
    <w:rPr>
      <w:rFonts w:eastAsiaTheme="minorEastAsia" w:cstheme="minorBidi"/>
      <w:bCs/>
      <w:sz w:val="22"/>
      <w:szCs w:val="28"/>
      <w:lang w:val="en-GB" w:eastAsia="zh-CN"/>
    </w:rPr>
  </w:style>
  <w:style w:type="character" w:customStyle="1" w:styleId="Bullet0ptAfter4Char">
    <w:name w:val="Bullet (0pt After) 4 Char"/>
    <w:basedOn w:val="DefaultParagraphFont"/>
    <w:link w:val="Bullet0ptAfter4"/>
    <w:uiPriority w:val="98"/>
    <w:semiHidden/>
    <w:rsid w:val="00F3012E"/>
    <w:rPr>
      <w:rFonts w:eastAsiaTheme="minorEastAsia" w:cstheme="minorBidi"/>
      <w:bCs/>
      <w:sz w:val="22"/>
      <w:szCs w:val="28"/>
      <w:lang w:val="en-GB" w:eastAsia="zh-CN"/>
    </w:rPr>
  </w:style>
  <w:style w:type="character" w:customStyle="1" w:styleId="Bullet0ptAfter5Char">
    <w:name w:val="Bullet (0pt After) 5 Char"/>
    <w:basedOn w:val="DefaultParagraphFont"/>
    <w:link w:val="Bullet0ptAfter5"/>
    <w:uiPriority w:val="98"/>
    <w:semiHidden/>
    <w:rsid w:val="00F3012E"/>
    <w:rPr>
      <w:rFonts w:eastAsiaTheme="minorEastAsia" w:cstheme="minorBidi"/>
      <w:bCs/>
      <w:sz w:val="22"/>
      <w:szCs w:val="28"/>
      <w:lang w:val="en-GB" w:eastAsia="zh-CN"/>
    </w:rPr>
  </w:style>
  <w:style w:type="character" w:customStyle="1" w:styleId="Bullet0ptAfter6Char">
    <w:name w:val="Bullet (0pt After) 6 Char"/>
    <w:basedOn w:val="DefaultParagraphFont"/>
    <w:link w:val="Bullet0ptAfter6"/>
    <w:uiPriority w:val="98"/>
    <w:semiHidden/>
    <w:rsid w:val="00F3012E"/>
    <w:rPr>
      <w:rFonts w:eastAsiaTheme="minorEastAsia" w:cstheme="minorBidi"/>
      <w:bCs/>
      <w:sz w:val="22"/>
      <w:szCs w:val="28"/>
      <w:lang w:val="en-GB" w:eastAsia="zh-CN"/>
    </w:rPr>
  </w:style>
  <w:style w:type="character" w:customStyle="1" w:styleId="Bullet0ptAfter7Char">
    <w:name w:val="Bullet (0pt After) 7 Char"/>
    <w:basedOn w:val="DefaultParagraphFont"/>
    <w:link w:val="Bullet0ptAfter7"/>
    <w:uiPriority w:val="98"/>
    <w:semiHidden/>
    <w:rsid w:val="00F3012E"/>
    <w:rPr>
      <w:rFonts w:eastAsiaTheme="minorEastAsia"/>
      <w:bCs/>
      <w:sz w:val="22"/>
      <w:szCs w:val="28"/>
      <w:lang w:val="en-GB" w:eastAsia="zh-CN"/>
    </w:rPr>
  </w:style>
  <w:style w:type="character" w:customStyle="1" w:styleId="Bullet0ptAfter8Char">
    <w:name w:val="Bullet (0pt After) 8 Char"/>
    <w:basedOn w:val="DefaultParagraphFont"/>
    <w:link w:val="Bullet0ptAfter8"/>
    <w:uiPriority w:val="98"/>
    <w:semiHidden/>
    <w:rsid w:val="00F3012E"/>
    <w:rPr>
      <w:rFonts w:eastAsiaTheme="minorEastAsia"/>
      <w:bCs/>
      <w:sz w:val="22"/>
      <w:szCs w:val="28"/>
      <w:lang w:val="en-GB" w:eastAsia="zh-CN"/>
    </w:rPr>
  </w:style>
  <w:style w:type="character" w:customStyle="1" w:styleId="Bullet0ptAfter9Char">
    <w:name w:val="Bullet (0pt After) 9 Char"/>
    <w:basedOn w:val="DefaultParagraphFont"/>
    <w:link w:val="Bullet0ptAfter9"/>
    <w:uiPriority w:val="98"/>
    <w:semiHidden/>
    <w:rsid w:val="00F3012E"/>
    <w:rPr>
      <w:rFonts w:eastAsiaTheme="minorEastAsia"/>
      <w:bCs/>
      <w:sz w:val="22"/>
      <w:szCs w:val="28"/>
      <w:lang w:val="en-GB" w:eastAsia="zh-CN"/>
    </w:rPr>
  </w:style>
  <w:style w:type="character" w:customStyle="1" w:styleId="Bullet12ptAfter1Char">
    <w:name w:val="Bullet (12pt After) 1 Char"/>
    <w:basedOn w:val="DefaultParagraphFont"/>
    <w:link w:val="Bullet12ptAfter1"/>
    <w:uiPriority w:val="98"/>
    <w:rsid w:val="00F3012E"/>
    <w:rPr>
      <w:rFonts w:eastAsiaTheme="minorEastAsia" w:cstheme="minorBidi"/>
      <w:bCs/>
      <w:sz w:val="22"/>
      <w:szCs w:val="28"/>
      <w:lang w:val="en-GB" w:eastAsia="zh-CN"/>
    </w:rPr>
  </w:style>
  <w:style w:type="character" w:customStyle="1" w:styleId="Bullet12ptAfter2Char">
    <w:name w:val="Bullet (12pt After) 2 Char"/>
    <w:basedOn w:val="DefaultParagraphFont"/>
    <w:link w:val="Bullet12ptAfter2"/>
    <w:uiPriority w:val="98"/>
    <w:rsid w:val="00F3012E"/>
    <w:rPr>
      <w:rFonts w:eastAsiaTheme="minorEastAsia" w:cstheme="minorBidi"/>
      <w:bCs/>
      <w:sz w:val="22"/>
      <w:szCs w:val="28"/>
      <w:lang w:val="en-GB" w:eastAsia="zh-CN"/>
    </w:rPr>
  </w:style>
  <w:style w:type="character" w:customStyle="1" w:styleId="Bullet12ptAfter3Char">
    <w:name w:val="Bullet (12pt After) 3 Char"/>
    <w:basedOn w:val="DefaultParagraphFont"/>
    <w:link w:val="Bullet12ptAfter3"/>
    <w:uiPriority w:val="98"/>
    <w:rsid w:val="00F3012E"/>
    <w:rPr>
      <w:rFonts w:eastAsiaTheme="minorEastAsia" w:cstheme="minorBidi"/>
      <w:bCs/>
      <w:sz w:val="22"/>
      <w:szCs w:val="28"/>
      <w:lang w:val="en-GB" w:eastAsia="zh-CN"/>
    </w:rPr>
  </w:style>
  <w:style w:type="character" w:customStyle="1" w:styleId="Bullet12ptAfter4Char">
    <w:name w:val="Bullet (12pt After) 4 Char"/>
    <w:basedOn w:val="DefaultParagraphFont"/>
    <w:link w:val="Bullet12ptAfter4"/>
    <w:uiPriority w:val="98"/>
    <w:semiHidden/>
    <w:rsid w:val="00F3012E"/>
    <w:rPr>
      <w:rFonts w:eastAsiaTheme="minorEastAsia" w:cstheme="minorBidi"/>
      <w:bCs/>
      <w:sz w:val="22"/>
      <w:szCs w:val="28"/>
      <w:lang w:val="en-GB" w:eastAsia="zh-CN"/>
    </w:rPr>
  </w:style>
  <w:style w:type="character" w:customStyle="1" w:styleId="Bullet12ptAfter5Char">
    <w:name w:val="Bullet (12pt After) 5 Char"/>
    <w:basedOn w:val="DefaultParagraphFont"/>
    <w:link w:val="Bullet12ptAfter5"/>
    <w:uiPriority w:val="98"/>
    <w:semiHidden/>
    <w:rsid w:val="00F3012E"/>
    <w:rPr>
      <w:rFonts w:eastAsiaTheme="minorEastAsia" w:cstheme="minorBidi"/>
      <w:bCs/>
      <w:sz w:val="22"/>
      <w:szCs w:val="28"/>
      <w:lang w:val="en-GB" w:eastAsia="zh-CN"/>
    </w:rPr>
  </w:style>
  <w:style w:type="character" w:customStyle="1" w:styleId="Bullet12ptAfter6Char">
    <w:name w:val="Bullet (12pt After) 6 Char"/>
    <w:basedOn w:val="DefaultParagraphFont"/>
    <w:link w:val="Bullet12ptAfter6"/>
    <w:uiPriority w:val="98"/>
    <w:semiHidden/>
    <w:rsid w:val="00F3012E"/>
    <w:rPr>
      <w:rFonts w:eastAsiaTheme="minorEastAsia" w:cstheme="minorBidi"/>
      <w:bCs/>
      <w:sz w:val="22"/>
      <w:szCs w:val="28"/>
      <w:lang w:val="en-GB" w:eastAsia="zh-CN"/>
    </w:rPr>
  </w:style>
  <w:style w:type="character" w:customStyle="1" w:styleId="Bullet12ptAfter7Char">
    <w:name w:val="Bullet (12pt After) 7 Char"/>
    <w:basedOn w:val="DefaultParagraphFont"/>
    <w:link w:val="Bullet12ptAfter7"/>
    <w:uiPriority w:val="98"/>
    <w:semiHidden/>
    <w:rsid w:val="00F3012E"/>
    <w:rPr>
      <w:rFonts w:eastAsiaTheme="minorEastAsia"/>
      <w:bCs/>
      <w:sz w:val="22"/>
      <w:szCs w:val="28"/>
      <w:lang w:val="en-GB" w:eastAsia="zh-CN"/>
    </w:rPr>
  </w:style>
  <w:style w:type="character" w:customStyle="1" w:styleId="Bullet12ptAfter8Char">
    <w:name w:val="Bullet (12pt After) 8 Char"/>
    <w:basedOn w:val="DefaultParagraphFont"/>
    <w:link w:val="Bullet12ptAfter8"/>
    <w:uiPriority w:val="98"/>
    <w:semiHidden/>
    <w:rsid w:val="00F3012E"/>
    <w:rPr>
      <w:rFonts w:eastAsiaTheme="minorEastAsia"/>
      <w:bCs/>
      <w:sz w:val="22"/>
      <w:szCs w:val="28"/>
      <w:lang w:val="en-GB" w:eastAsia="zh-CN"/>
    </w:rPr>
  </w:style>
  <w:style w:type="character" w:customStyle="1" w:styleId="Bullet12ptAfter9Char">
    <w:name w:val="Bullet (12pt After) 9 Char"/>
    <w:basedOn w:val="DefaultParagraphFont"/>
    <w:link w:val="Bullet12ptAfter9"/>
    <w:uiPriority w:val="98"/>
    <w:semiHidden/>
    <w:rsid w:val="00F3012E"/>
    <w:rPr>
      <w:rFonts w:eastAsiaTheme="minorEastAsia"/>
      <w:bCs/>
      <w:sz w:val="22"/>
      <w:szCs w:val="28"/>
      <w:lang w:val="en-GB" w:eastAsia="zh-CN"/>
    </w:rPr>
  </w:style>
  <w:style w:type="character" w:customStyle="1" w:styleId="CaptionChar">
    <w:name w:val="Caption Char"/>
    <w:basedOn w:val="DefaultParagraphFont"/>
    <w:link w:val="Caption"/>
    <w:rsid w:val="00F3012E"/>
    <w:rPr>
      <w:rFonts w:ascii="Arial" w:eastAsia="Times New Roman" w:hAnsi="Arial"/>
      <w:b/>
      <w:sz w:val="24"/>
      <w:szCs w:val="24"/>
      <w:lang w:val="sv-SE" w:eastAsia="en-US"/>
    </w:rPr>
  </w:style>
  <w:style w:type="character" w:customStyle="1" w:styleId="TableSourceChar">
    <w:name w:val="Table Source Char"/>
    <w:basedOn w:val="DefaultParagraphFont"/>
    <w:link w:val="TableSource"/>
    <w:uiPriority w:val="8"/>
    <w:rsid w:val="00F3012E"/>
    <w:rPr>
      <w:rFonts w:eastAsia="Times New Roman"/>
      <w:bCs/>
      <w:sz w:val="16"/>
      <w:szCs w:val="28"/>
      <w:lang w:val="en-GB" w:eastAsia="zh-CN"/>
    </w:rPr>
  </w:style>
  <w:style w:type="character" w:customStyle="1" w:styleId="TableTextChar">
    <w:name w:val="Table Text Char"/>
    <w:basedOn w:val="DefaultParagraphFont"/>
    <w:link w:val="TableText"/>
    <w:uiPriority w:val="6"/>
    <w:rsid w:val="00F3012E"/>
    <w:rPr>
      <w:sz w:val="22"/>
      <w:szCs w:val="24"/>
      <w:lang w:val="en-GB" w:eastAsia="en-US"/>
    </w:rPr>
  </w:style>
  <w:style w:type="character" w:customStyle="1" w:styleId="TableTitleChar">
    <w:name w:val="Table Title Char"/>
    <w:basedOn w:val="DefaultParagraphFont"/>
    <w:link w:val="TableTitle"/>
    <w:uiPriority w:val="9"/>
    <w:rsid w:val="00F3012E"/>
    <w:rPr>
      <w:rFonts w:eastAsia="Times New Roman"/>
      <w:b/>
      <w:bCs/>
      <w:caps/>
      <w:sz w:val="22"/>
      <w:szCs w:val="28"/>
      <w:lang w:val="en-GB" w:eastAsia="zh-CN"/>
    </w:rPr>
  </w:style>
  <w:style w:type="character" w:customStyle="1" w:styleId="TOC1Char">
    <w:name w:val="TOC 1 Char"/>
    <w:basedOn w:val="DefaultParagraphFont"/>
    <w:link w:val="TOC1"/>
    <w:uiPriority w:val="39"/>
    <w:rsid w:val="00F3012E"/>
    <w:rPr>
      <w:rFonts w:ascii="Arial" w:hAnsi="Arial"/>
      <w:b/>
      <w:sz w:val="22"/>
      <w:lang w:val="en-GB" w:eastAsia="en-US"/>
    </w:rPr>
  </w:style>
  <w:style w:type="character" w:customStyle="1" w:styleId="TOC2Char">
    <w:name w:val="TOC 2 Char"/>
    <w:basedOn w:val="TOC1Char"/>
    <w:link w:val="TOC2"/>
    <w:uiPriority w:val="39"/>
    <w:rsid w:val="00F3012E"/>
    <w:rPr>
      <w:rFonts w:ascii="Arial" w:hAnsi="Arial"/>
      <w:b/>
      <w:sz w:val="22"/>
      <w:lang w:val="en-GB" w:eastAsia="en-US"/>
    </w:rPr>
  </w:style>
  <w:style w:type="character" w:customStyle="1" w:styleId="TOC3Char">
    <w:name w:val="TOC 3 Char"/>
    <w:basedOn w:val="TOC1Char"/>
    <w:link w:val="TOC3"/>
    <w:uiPriority w:val="39"/>
    <w:rsid w:val="00F3012E"/>
    <w:rPr>
      <w:rFonts w:ascii="Arial" w:hAnsi="Arial"/>
      <w:b/>
      <w:sz w:val="22"/>
      <w:lang w:val="en-US" w:eastAsia="en-US"/>
    </w:rPr>
  </w:style>
  <w:style w:type="character" w:customStyle="1" w:styleId="TableCopyChar">
    <w:name w:val="Table Copy Char"/>
    <w:basedOn w:val="DefaultParagraphFont"/>
    <w:link w:val="TableCopy"/>
    <w:uiPriority w:val="8"/>
    <w:semiHidden/>
    <w:rsid w:val="00F3012E"/>
    <w:rPr>
      <w:rFonts w:ascii="Arial" w:hAnsi="Arial"/>
      <w:color w:val="5F5F5F"/>
      <w:szCs w:val="26"/>
      <w:lang w:val="sv-SE"/>
    </w:rPr>
  </w:style>
  <w:style w:type="character" w:customStyle="1" w:styleId="TableHeadingChar">
    <w:name w:val="Table Heading Char"/>
    <w:basedOn w:val="DefaultParagraphFont"/>
    <w:link w:val="TableHeading"/>
    <w:uiPriority w:val="8"/>
    <w:rsid w:val="00F3012E"/>
    <w:rPr>
      <w:rFonts w:ascii="Arial" w:hAnsi="Arial"/>
      <w:b/>
      <w:szCs w:val="24"/>
      <w:lang w:val="en-GB" w:eastAsia="en-US"/>
    </w:rPr>
  </w:style>
  <w:style w:type="character" w:customStyle="1" w:styleId="TOC4Char">
    <w:name w:val="TOC 4 Char"/>
    <w:basedOn w:val="TOC1Char"/>
    <w:link w:val="TOC4"/>
    <w:rsid w:val="00F3012E"/>
    <w:rPr>
      <w:rFonts w:ascii="Arial" w:hAnsi="Arial"/>
      <w:b w:val="0"/>
      <w:sz w:val="22"/>
      <w:lang w:val="en-GB" w:eastAsia="en-US"/>
    </w:rPr>
  </w:style>
  <w:style w:type="character" w:customStyle="1" w:styleId="BoxNoteHeadingChar">
    <w:name w:val="Box Note Heading Char"/>
    <w:basedOn w:val="BoxNoteChar"/>
    <w:link w:val="BoxNoteHeading"/>
    <w:uiPriority w:val="9"/>
    <w:semiHidden/>
    <w:rsid w:val="00F3012E"/>
    <w:rPr>
      <w:rFonts w:eastAsia="Times New Roman"/>
      <w:b/>
      <w:color w:val="FF0000"/>
      <w:sz w:val="18"/>
      <w:szCs w:val="28"/>
      <w:lang w:val="en-US" w:eastAsia="zh-CN"/>
    </w:rPr>
  </w:style>
  <w:style w:type="table" w:styleId="ColorfulGrid">
    <w:name w:val="Colorful Grid"/>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D8D8DA" w:themeFill="text1" w:themeFillTint="33"/>
    </w:tcPr>
    <w:tblStylePr w:type="firstRow">
      <w:rPr>
        <w:b/>
        <w:bCs/>
      </w:rPr>
      <w:tblPr/>
      <w:tcPr>
        <w:shd w:val="clear" w:color="auto" w:fill="B1B2B5" w:themeFill="text1" w:themeFillTint="66"/>
      </w:tcPr>
    </w:tblStylePr>
    <w:tblStylePr w:type="lastRow">
      <w:rPr>
        <w:b/>
        <w:bCs/>
        <w:color w:val="404143" w:themeColor="text1"/>
      </w:rPr>
      <w:tblPr/>
      <w:tcPr>
        <w:shd w:val="clear" w:color="auto" w:fill="B1B2B5" w:themeFill="text1" w:themeFillTint="66"/>
      </w:tcPr>
    </w:tblStylePr>
    <w:tblStylePr w:type="firstCol">
      <w:rPr>
        <w:color w:val="FFFFFF" w:themeColor="background1"/>
      </w:rPr>
      <w:tblPr/>
      <w:tcPr>
        <w:shd w:val="clear" w:color="auto" w:fill="303032" w:themeFill="text1" w:themeFillShade="BF"/>
      </w:tcPr>
    </w:tblStylePr>
    <w:tblStylePr w:type="lastCol">
      <w:rPr>
        <w:color w:val="FFFFFF" w:themeColor="background1"/>
      </w:rPr>
      <w:tblPr/>
      <w:tcPr>
        <w:shd w:val="clear" w:color="auto" w:fill="303032" w:themeFill="text1" w:themeFillShade="BF"/>
      </w:tcPr>
    </w:tblStylePr>
    <w:tblStylePr w:type="band1Vert">
      <w:tblPr/>
      <w:tcPr>
        <w:shd w:val="clear" w:color="auto" w:fill="9E9FA2" w:themeFill="text1" w:themeFillTint="7F"/>
      </w:tcPr>
    </w:tblStylePr>
    <w:tblStylePr w:type="band1Horz">
      <w:tblPr/>
      <w:tcPr>
        <w:shd w:val="clear" w:color="auto" w:fill="9E9FA2" w:themeFill="text1" w:themeFillTint="7F"/>
      </w:tcPr>
    </w:tblStylePr>
  </w:style>
  <w:style w:type="table" w:styleId="ColorfulGrid-Accent1">
    <w:name w:val="Colorful Grid Accent 1"/>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F6C7CF" w:themeFill="accent1" w:themeFillTint="33"/>
    </w:tcPr>
    <w:tblStylePr w:type="firstRow">
      <w:rPr>
        <w:b/>
        <w:bCs/>
      </w:rPr>
      <w:tblPr/>
      <w:tcPr>
        <w:shd w:val="clear" w:color="auto" w:fill="EE909F" w:themeFill="accent1" w:themeFillTint="66"/>
      </w:tcPr>
    </w:tblStylePr>
    <w:tblStylePr w:type="lastRow">
      <w:rPr>
        <w:b/>
        <w:bCs/>
        <w:color w:val="404143" w:themeColor="text1"/>
      </w:rPr>
      <w:tblPr/>
      <w:tcPr>
        <w:shd w:val="clear" w:color="auto" w:fill="EE909F" w:themeFill="accent1" w:themeFillTint="66"/>
      </w:tcPr>
    </w:tblStylePr>
    <w:tblStylePr w:type="firstCol">
      <w:rPr>
        <w:color w:val="FFFFFF" w:themeColor="background1"/>
      </w:rPr>
      <w:tblPr/>
      <w:tcPr>
        <w:shd w:val="clear" w:color="auto" w:fill="7C1223" w:themeFill="accent1" w:themeFillShade="BF"/>
      </w:tcPr>
    </w:tblStylePr>
    <w:tblStylePr w:type="lastCol">
      <w:rPr>
        <w:color w:val="FFFFFF" w:themeColor="background1"/>
      </w:rPr>
      <w:tblPr/>
      <w:tcPr>
        <w:shd w:val="clear" w:color="auto" w:fill="7C1223" w:themeFill="accent1" w:themeFillShade="BF"/>
      </w:tcPr>
    </w:tblStylePr>
    <w:tblStylePr w:type="band1Vert">
      <w:tblPr/>
      <w:tcPr>
        <w:shd w:val="clear" w:color="auto" w:fill="EA7587" w:themeFill="accent1" w:themeFillTint="7F"/>
      </w:tcPr>
    </w:tblStylePr>
    <w:tblStylePr w:type="band1Horz">
      <w:tblPr/>
      <w:tcPr>
        <w:shd w:val="clear" w:color="auto" w:fill="EA7587" w:themeFill="accent1" w:themeFillTint="7F"/>
      </w:tcPr>
    </w:tblStylePr>
  </w:style>
  <w:style w:type="table" w:styleId="ColorfulGrid-Accent2">
    <w:name w:val="Colorful Grid Accent 2"/>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FFF2C8" w:themeFill="accent2" w:themeFillTint="33"/>
    </w:tcPr>
    <w:tblStylePr w:type="firstRow">
      <w:rPr>
        <w:b/>
        <w:bCs/>
      </w:rPr>
      <w:tblPr/>
      <w:tcPr>
        <w:shd w:val="clear" w:color="auto" w:fill="FFE691" w:themeFill="accent2" w:themeFillTint="66"/>
      </w:tcPr>
    </w:tblStylePr>
    <w:tblStylePr w:type="lastRow">
      <w:rPr>
        <w:b/>
        <w:bCs/>
        <w:color w:val="404143" w:themeColor="text1"/>
      </w:rPr>
      <w:tblPr/>
      <w:tcPr>
        <w:shd w:val="clear" w:color="auto" w:fill="FFE691" w:themeFill="accent2" w:themeFillTint="66"/>
      </w:tcPr>
    </w:tblStylePr>
    <w:tblStylePr w:type="firstCol">
      <w:rPr>
        <w:color w:val="FFFFFF" w:themeColor="background1"/>
      </w:rPr>
      <w:tblPr/>
      <w:tcPr>
        <w:shd w:val="clear" w:color="auto" w:fill="B08800" w:themeFill="accent2" w:themeFillShade="BF"/>
      </w:tcPr>
    </w:tblStylePr>
    <w:tblStylePr w:type="lastCol">
      <w:rPr>
        <w:color w:val="FFFFFF" w:themeColor="background1"/>
      </w:rPr>
      <w:tblPr/>
      <w:tcPr>
        <w:shd w:val="clear" w:color="auto" w:fill="B08800" w:themeFill="accent2" w:themeFillShade="BF"/>
      </w:tcPr>
    </w:tblStylePr>
    <w:tblStylePr w:type="band1Vert">
      <w:tblPr/>
      <w:tcPr>
        <w:shd w:val="clear" w:color="auto" w:fill="FFE076" w:themeFill="accent2" w:themeFillTint="7F"/>
      </w:tcPr>
    </w:tblStylePr>
    <w:tblStylePr w:type="band1Horz">
      <w:tblPr/>
      <w:tcPr>
        <w:shd w:val="clear" w:color="auto" w:fill="FFE076" w:themeFill="accent2" w:themeFillTint="7F"/>
      </w:tcPr>
    </w:tblStylePr>
  </w:style>
  <w:style w:type="table" w:styleId="ColorfulGrid-Accent3">
    <w:name w:val="Colorful Grid Accent 3"/>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E0E2F0" w:themeFill="accent3" w:themeFillTint="33"/>
    </w:tcPr>
    <w:tblStylePr w:type="firstRow">
      <w:rPr>
        <w:b/>
        <w:bCs/>
      </w:rPr>
      <w:tblPr/>
      <w:tcPr>
        <w:shd w:val="clear" w:color="auto" w:fill="C2C6E1" w:themeFill="accent3" w:themeFillTint="66"/>
      </w:tcPr>
    </w:tblStylePr>
    <w:tblStylePr w:type="lastRow">
      <w:rPr>
        <w:b/>
        <w:bCs/>
        <w:color w:val="404143" w:themeColor="text1"/>
      </w:rPr>
      <w:tblPr/>
      <w:tcPr>
        <w:shd w:val="clear" w:color="auto" w:fill="C2C6E1" w:themeFill="accent3" w:themeFillTint="66"/>
      </w:tcPr>
    </w:tblStylePr>
    <w:tblStylePr w:type="firstCol">
      <w:rPr>
        <w:color w:val="FFFFFF" w:themeColor="background1"/>
      </w:rPr>
      <w:tblPr/>
      <w:tcPr>
        <w:shd w:val="clear" w:color="auto" w:fill="455090" w:themeFill="accent3" w:themeFillShade="BF"/>
      </w:tcPr>
    </w:tblStylePr>
    <w:tblStylePr w:type="lastCol">
      <w:rPr>
        <w:color w:val="FFFFFF" w:themeColor="background1"/>
      </w:rPr>
      <w:tblPr/>
      <w:tcPr>
        <w:shd w:val="clear" w:color="auto" w:fill="455090" w:themeFill="accent3" w:themeFillShade="BF"/>
      </w:tcPr>
    </w:tblStylePr>
    <w:tblStylePr w:type="band1Vert">
      <w:tblPr/>
      <w:tcPr>
        <w:shd w:val="clear" w:color="auto" w:fill="B3B8DA" w:themeFill="accent3" w:themeFillTint="7F"/>
      </w:tcPr>
    </w:tblStylePr>
    <w:tblStylePr w:type="band1Horz">
      <w:tblPr/>
      <w:tcPr>
        <w:shd w:val="clear" w:color="auto" w:fill="B3B8DA" w:themeFill="accent3" w:themeFillTint="7F"/>
      </w:tcPr>
    </w:tblStylePr>
  </w:style>
  <w:style w:type="table" w:styleId="ColorfulGrid-Accent4">
    <w:name w:val="Colorful Grid Accent 4"/>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FAFFBB" w:themeFill="accent4" w:themeFillTint="33"/>
    </w:tcPr>
    <w:tblStylePr w:type="firstRow">
      <w:rPr>
        <w:b/>
        <w:bCs/>
      </w:rPr>
      <w:tblPr/>
      <w:tcPr>
        <w:shd w:val="clear" w:color="auto" w:fill="F6FF78" w:themeFill="accent4" w:themeFillTint="66"/>
      </w:tcPr>
    </w:tblStylePr>
    <w:tblStylePr w:type="lastRow">
      <w:rPr>
        <w:b/>
        <w:bCs/>
        <w:color w:val="404143" w:themeColor="text1"/>
      </w:rPr>
      <w:tblPr/>
      <w:tcPr>
        <w:shd w:val="clear" w:color="auto" w:fill="F6FF78" w:themeFill="accent4" w:themeFillTint="66"/>
      </w:tcPr>
    </w:tblStylePr>
    <w:tblStylePr w:type="firstCol">
      <w:rPr>
        <w:color w:val="FFFFFF" w:themeColor="background1"/>
      </w:rPr>
      <w:tblPr/>
      <w:tcPr>
        <w:shd w:val="clear" w:color="auto" w:fill="788100" w:themeFill="accent4" w:themeFillShade="BF"/>
      </w:tcPr>
    </w:tblStylePr>
    <w:tblStylePr w:type="lastCol">
      <w:rPr>
        <w:color w:val="FFFFFF" w:themeColor="background1"/>
      </w:rPr>
      <w:tblPr/>
      <w:tcPr>
        <w:shd w:val="clear" w:color="auto" w:fill="788100" w:themeFill="accent4" w:themeFillShade="BF"/>
      </w:tcPr>
    </w:tblStylePr>
    <w:tblStylePr w:type="band1Vert">
      <w:tblPr/>
      <w:tcPr>
        <w:shd w:val="clear" w:color="auto" w:fill="F3FF57" w:themeFill="accent4" w:themeFillTint="7F"/>
      </w:tcPr>
    </w:tblStylePr>
    <w:tblStylePr w:type="band1Horz">
      <w:tblPr/>
      <w:tcPr>
        <w:shd w:val="clear" w:color="auto" w:fill="F3FF57" w:themeFill="accent4" w:themeFillTint="7F"/>
      </w:tcPr>
    </w:tblStylePr>
  </w:style>
  <w:style w:type="table" w:styleId="ColorfulGrid-Accent5">
    <w:name w:val="Colorful Grid Accent 5"/>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E7E8E8" w:themeFill="accent5" w:themeFillTint="33"/>
    </w:tcPr>
    <w:tblStylePr w:type="firstRow">
      <w:rPr>
        <w:b/>
        <w:bCs/>
      </w:rPr>
      <w:tblPr/>
      <w:tcPr>
        <w:shd w:val="clear" w:color="auto" w:fill="D0D1D1" w:themeFill="accent5" w:themeFillTint="66"/>
      </w:tcPr>
    </w:tblStylePr>
    <w:tblStylePr w:type="lastRow">
      <w:rPr>
        <w:b/>
        <w:bCs/>
        <w:color w:val="404143" w:themeColor="text1"/>
      </w:rPr>
      <w:tblPr/>
      <w:tcPr>
        <w:shd w:val="clear" w:color="auto" w:fill="D0D1D1" w:themeFill="accent5" w:themeFillTint="66"/>
      </w:tcPr>
    </w:tblStylePr>
    <w:tblStylePr w:type="firstCol">
      <w:rPr>
        <w:color w:val="FFFFFF" w:themeColor="background1"/>
      </w:rPr>
      <w:tblPr/>
      <w:tcPr>
        <w:shd w:val="clear" w:color="auto" w:fill="67696A" w:themeFill="accent5" w:themeFillShade="BF"/>
      </w:tcPr>
    </w:tblStylePr>
    <w:tblStylePr w:type="lastCol">
      <w:rPr>
        <w:color w:val="FFFFFF" w:themeColor="background1"/>
      </w:rPr>
      <w:tblPr/>
      <w:tcPr>
        <w:shd w:val="clear" w:color="auto" w:fill="67696A" w:themeFill="accent5" w:themeFillShade="BF"/>
      </w:tcPr>
    </w:tblStylePr>
    <w:tblStylePr w:type="band1Vert">
      <w:tblPr/>
      <w:tcPr>
        <w:shd w:val="clear" w:color="auto" w:fill="C5C6C6" w:themeFill="accent5" w:themeFillTint="7F"/>
      </w:tcPr>
    </w:tblStylePr>
    <w:tblStylePr w:type="band1Horz">
      <w:tblPr/>
      <w:tcPr>
        <w:shd w:val="clear" w:color="auto" w:fill="C5C6C6" w:themeFill="accent5" w:themeFillTint="7F"/>
      </w:tcPr>
    </w:tblStylePr>
  </w:style>
  <w:style w:type="table" w:styleId="ColorfulGrid-Accent6">
    <w:name w:val="Colorful Grid Accent 6"/>
    <w:basedOn w:val="TableNormal"/>
    <w:uiPriority w:val="73"/>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insideH w:val="single" w:sz="4" w:space="0" w:color="FFFFFF" w:themeColor="background1"/>
      </w:tblBorders>
    </w:tblPr>
    <w:tcPr>
      <w:shd w:val="clear" w:color="auto" w:fill="D8D8DA" w:themeFill="accent6" w:themeFillTint="33"/>
    </w:tcPr>
    <w:tblStylePr w:type="firstRow">
      <w:rPr>
        <w:b/>
        <w:bCs/>
      </w:rPr>
      <w:tblPr/>
      <w:tcPr>
        <w:shd w:val="clear" w:color="auto" w:fill="B1B2B5" w:themeFill="accent6" w:themeFillTint="66"/>
      </w:tcPr>
    </w:tblStylePr>
    <w:tblStylePr w:type="lastRow">
      <w:rPr>
        <w:b/>
        <w:bCs/>
        <w:color w:val="404143" w:themeColor="text1"/>
      </w:rPr>
      <w:tblPr/>
      <w:tcPr>
        <w:shd w:val="clear" w:color="auto" w:fill="B1B2B5" w:themeFill="accent6" w:themeFillTint="66"/>
      </w:tcPr>
    </w:tblStylePr>
    <w:tblStylePr w:type="firstCol">
      <w:rPr>
        <w:color w:val="FFFFFF" w:themeColor="background1"/>
      </w:rPr>
      <w:tblPr/>
      <w:tcPr>
        <w:shd w:val="clear" w:color="auto" w:fill="303032" w:themeFill="accent6" w:themeFillShade="BF"/>
      </w:tcPr>
    </w:tblStylePr>
    <w:tblStylePr w:type="lastCol">
      <w:rPr>
        <w:color w:val="FFFFFF" w:themeColor="background1"/>
      </w:rPr>
      <w:tblPr/>
      <w:tcPr>
        <w:shd w:val="clear" w:color="auto" w:fill="303032" w:themeFill="accent6" w:themeFillShade="BF"/>
      </w:tcPr>
    </w:tblStylePr>
    <w:tblStylePr w:type="band1Vert">
      <w:tblPr/>
      <w:tcPr>
        <w:shd w:val="clear" w:color="auto" w:fill="9E9FA2" w:themeFill="accent6" w:themeFillTint="7F"/>
      </w:tcPr>
    </w:tblStylePr>
    <w:tblStylePr w:type="band1Horz">
      <w:tblPr/>
      <w:tcPr>
        <w:shd w:val="clear" w:color="auto" w:fill="9E9FA2" w:themeFill="accent6" w:themeFillTint="7F"/>
      </w:tcPr>
    </w:tblStylePr>
  </w:style>
  <w:style w:type="table" w:styleId="ColorfulList">
    <w:name w:val="Colorful List"/>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EBECEC" w:themeFill="text1" w:themeFillTint="19"/>
    </w:tcPr>
    <w:tblStylePr w:type="firstRow">
      <w:rPr>
        <w:b/>
        <w:bCs/>
        <w:color w:val="FFFFFF" w:themeColor="background1"/>
      </w:rPr>
      <w:tblPr/>
      <w:tcPr>
        <w:tcBorders>
          <w:bottom w:val="single" w:sz="12" w:space="0" w:color="FFFFFF" w:themeColor="background1"/>
        </w:tcBorders>
        <w:shd w:val="clear" w:color="auto" w:fill="BC9100" w:themeFill="accent2" w:themeFillShade="CC"/>
      </w:tcPr>
    </w:tblStylePr>
    <w:tblStylePr w:type="lastRow">
      <w:rPr>
        <w:b/>
        <w:bCs/>
        <w:color w:val="BC9100" w:themeColor="accent2"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1" w:themeFill="text1" w:themeFillTint="3F"/>
      </w:tcPr>
    </w:tblStylePr>
    <w:tblStylePr w:type="band1Horz">
      <w:tblPr/>
      <w:tcPr>
        <w:shd w:val="clear" w:color="auto" w:fill="D8D8DA" w:themeFill="text1" w:themeFillTint="33"/>
      </w:tcPr>
    </w:tblStylePr>
  </w:style>
  <w:style w:type="table" w:styleId="ColorfulList-Accent1">
    <w:name w:val="Colorful List Accent 1"/>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FBE3E7" w:themeFill="accent1" w:themeFillTint="19"/>
    </w:tcPr>
    <w:tblStylePr w:type="firstRow">
      <w:rPr>
        <w:b/>
        <w:bCs/>
        <w:color w:val="FFFFFF" w:themeColor="background1"/>
      </w:rPr>
      <w:tblPr/>
      <w:tcPr>
        <w:tcBorders>
          <w:bottom w:val="single" w:sz="12" w:space="0" w:color="FFFFFF" w:themeColor="background1"/>
        </w:tcBorders>
        <w:shd w:val="clear" w:color="auto" w:fill="BC9100" w:themeFill="accent2" w:themeFillShade="CC"/>
      </w:tcPr>
    </w:tblStylePr>
    <w:tblStylePr w:type="lastRow">
      <w:rPr>
        <w:b/>
        <w:bCs/>
        <w:color w:val="BC9100" w:themeColor="accent2"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AC3" w:themeFill="accent1" w:themeFillTint="3F"/>
      </w:tcPr>
    </w:tblStylePr>
    <w:tblStylePr w:type="band1Horz">
      <w:tblPr/>
      <w:tcPr>
        <w:shd w:val="clear" w:color="auto" w:fill="F6C7CF" w:themeFill="accent1" w:themeFillTint="33"/>
      </w:tcPr>
    </w:tblStylePr>
  </w:style>
  <w:style w:type="table" w:styleId="ColorfulList-Accent2">
    <w:name w:val="Colorful List Accent 2"/>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FFF8E4" w:themeFill="accent2" w:themeFillTint="19"/>
    </w:tcPr>
    <w:tblStylePr w:type="firstRow">
      <w:rPr>
        <w:b/>
        <w:bCs/>
        <w:color w:val="FFFFFF" w:themeColor="background1"/>
      </w:rPr>
      <w:tblPr/>
      <w:tcPr>
        <w:tcBorders>
          <w:bottom w:val="single" w:sz="12" w:space="0" w:color="FFFFFF" w:themeColor="background1"/>
        </w:tcBorders>
        <w:shd w:val="clear" w:color="auto" w:fill="BC9100" w:themeFill="accent2" w:themeFillShade="CC"/>
      </w:tcPr>
    </w:tblStylePr>
    <w:tblStylePr w:type="lastRow">
      <w:rPr>
        <w:b/>
        <w:bCs/>
        <w:color w:val="BC9100" w:themeColor="accent2"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B" w:themeFill="accent2" w:themeFillTint="3F"/>
      </w:tcPr>
    </w:tblStylePr>
    <w:tblStylePr w:type="band1Horz">
      <w:tblPr/>
      <w:tcPr>
        <w:shd w:val="clear" w:color="auto" w:fill="FFF2C8" w:themeFill="accent2" w:themeFillTint="33"/>
      </w:tcPr>
    </w:tblStylePr>
  </w:style>
  <w:style w:type="table" w:styleId="ColorfulList-Accent3">
    <w:name w:val="Colorful List Accent 3"/>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EFF1F7" w:themeFill="accent3" w:themeFillTint="19"/>
    </w:tcPr>
    <w:tblStylePr w:type="firstRow">
      <w:rPr>
        <w:b/>
        <w:bCs/>
        <w:color w:val="FFFFFF" w:themeColor="background1"/>
      </w:rPr>
      <w:tblPr/>
      <w:tcPr>
        <w:tcBorders>
          <w:bottom w:val="single" w:sz="12" w:space="0" w:color="FFFFFF" w:themeColor="background1"/>
        </w:tcBorders>
        <w:shd w:val="clear" w:color="auto" w:fill="818A00" w:themeFill="accent4" w:themeFillShade="CC"/>
      </w:tcPr>
    </w:tblStylePr>
    <w:tblStylePr w:type="lastRow">
      <w:rPr>
        <w:b/>
        <w:bCs/>
        <w:color w:val="818A00" w:themeColor="accent4"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CED" w:themeFill="accent3" w:themeFillTint="3F"/>
      </w:tcPr>
    </w:tblStylePr>
    <w:tblStylePr w:type="band1Horz">
      <w:tblPr/>
      <w:tcPr>
        <w:shd w:val="clear" w:color="auto" w:fill="E0E2F0" w:themeFill="accent3" w:themeFillTint="33"/>
      </w:tcPr>
    </w:tblStylePr>
  </w:style>
  <w:style w:type="table" w:styleId="ColorfulList-Accent4">
    <w:name w:val="Colorful List Accent 4"/>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FCFFDD" w:themeFill="accent4" w:themeFillTint="19"/>
    </w:tcPr>
    <w:tblStylePr w:type="firstRow">
      <w:rPr>
        <w:b/>
        <w:bCs/>
        <w:color w:val="FFFFFF" w:themeColor="background1"/>
      </w:rPr>
      <w:tblPr/>
      <w:tcPr>
        <w:tcBorders>
          <w:bottom w:val="single" w:sz="12" w:space="0" w:color="FFFFFF" w:themeColor="background1"/>
        </w:tcBorders>
        <w:shd w:val="clear" w:color="auto" w:fill="4A559A" w:themeFill="accent3" w:themeFillShade="CC"/>
      </w:tcPr>
    </w:tblStylePr>
    <w:tblStylePr w:type="lastRow">
      <w:rPr>
        <w:b/>
        <w:bCs/>
        <w:color w:val="4A559A" w:themeColor="accent3"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FAB" w:themeFill="accent4" w:themeFillTint="3F"/>
      </w:tcPr>
    </w:tblStylePr>
    <w:tblStylePr w:type="band1Horz">
      <w:tblPr/>
      <w:tcPr>
        <w:shd w:val="clear" w:color="auto" w:fill="FAFFBB" w:themeFill="accent4" w:themeFillTint="33"/>
      </w:tcPr>
    </w:tblStylePr>
  </w:style>
  <w:style w:type="table" w:styleId="ColorfulList-Accent5">
    <w:name w:val="Colorful List Accent 5"/>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F3F3F3" w:themeFill="accent5" w:themeFillTint="19"/>
    </w:tcPr>
    <w:tblStylePr w:type="firstRow">
      <w:rPr>
        <w:b/>
        <w:bCs/>
        <w:color w:val="FFFFFF" w:themeColor="background1"/>
      </w:rPr>
      <w:tblPr/>
      <w:tcPr>
        <w:tcBorders>
          <w:bottom w:val="single" w:sz="12" w:space="0" w:color="FFFFFF" w:themeColor="background1"/>
        </w:tcBorders>
        <w:shd w:val="clear" w:color="auto" w:fill="333335" w:themeFill="accent6" w:themeFillShade="CC"/>
      </w:tcPr>
    </w:tblStylePr>
    <w:tblStylePr w:type="lastRow">
      <w:rPr>
        <w:b/>
        <w:bCs/>
        <w:color w:val="333335" w:themeColor="accent6"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2E3" w:themeFill="accent5" w:themeFillTint="3F"/>
      </w:tcPr>
    </w:tblStylePr>
    <w:tblStylePr w:type="band1Horz">
      <w:tblPr/>
      <w:tcPr>
        <w:shd w:val="clear" w:color="auto" w:fill="E7E8E8" w:themeFill="accent5" w:themeFillTint="33"/>
      </w:tcPr>
    </w:tblStylePr>
  </w:style>
  <w:style w:type="table" w:styleId="ColorfulList-Accent6">
    <w:name w:val="Colorful List Accent 6"/>
    <w:basedOn w:val="TableNormal"/>
    <w:uiPriority w:val="72"/>
    <w:semiHidden/>
    <w:unhideWhenUsed/>
    <w:rsid w:val="00F3012E"/>
    <w:rPr>
      <w:rFonts w:asciiTheme="minorHAnsi" w:hAnsiTheme="minorHAnsi" w:cstheme="minorBidi"/>
      <w:color w:val="404143" w:themeColor="text1"/>
      <w:sz w:val="22"/>
      <w:szCs w:val="22"/>
      <w:lang w:eastAsia="zh-CN"/>
    </w:rPr>
    <w:tblPr>
      <w:tblStyleRowBandSize w:val="1"/>
      <w:tblStyleColBandSize w:val="1"/>
    </w:tblPr>
    <w:tcPr>
      <w:shd w:val="clear" w:color="auto" w:fill="EBECEC" w:themeFill="accent6" w:themeFillTint="19"/>
    </w:tcPr>
    <w:tblStylePr w:type="firstRow">
      <w:rPr>
        <w:b/>
        <w:bCs/>
        <w:color w:val="FFFFFF" w:themeColor="background1"/>
      </w:rPr>
      <w:tblPr/>
      <w:tcPr>
        <w:tcBorders>
          <w:bottom w:val="single" w:sz="12" w:space="0" w:color="FFFFFF" w:themeColor="background1"/>
        </w:tcBorders>
        <w:shd w:val="clear" w:color="auto" w:fill="6F7071" w:themeFill="accent5" w:themeFillShade="CC"/>
      </w:tcPr>
    </w:tblStylePr>
    <w:tblStylePr w:type="lastRow">
      <w:rPr>
        <w:b/>
        <w:bCs/>
        <w:color w:val="6F7071" w:themeColor="accent5" w:themeShade="CC"/>
      </w:rPr>
      <w:tblPr/>
      <w:tcPr>
        <w:tcBorders>
          <w:top w:val="single" w:sz="12" w:space="0" w:color="40414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1" w:themeFill="accent6" w:themeFillTint="3F"/>
      </w:tcPr>
    </w:tblStylePr>
    <w:tblStylePr w:type="band1Horz">
      <w:tblPr/>
      <w:tcPr>
        <w:shd w:val="clear" w:color="auto" w:fill="D8D8DA" w:themeFill="accent6" w:themeFillTint="33"/>
      </w:tcPr>
    </w:tblStylePr>
  </w:style>
  <w:style w:type="table" w:styleId="ColorfulShading">
    <w:name w:val="Colorful Shading"/>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EBB700" w:themeColor="accent2"/>
        <w:left w:val="single" w:sz="4" w:space="0" w:color="404143" w:themeColor="text1"/>
        <w:bottom w:val="single" w:sz="4" w:space="0" w:color="404143" w:themeColor="text1"/>
        <w:right w:val="single" w:sz="4" w:space="0" w:color="404143" w:themeColor="text1"/>
        <w:insideH w:val="single" w:sz="4" w:space="0" w:color="FFFFFF" w:themeColor="background1"/>
        <w:insideV w:val="single" w:sz="4" w:space="0" w:color="FFFFFF" w:themeColor="background1"/>
      </w:tblBorders>
    </w:tblPr>
    <w:tcPr>
      <w:shd w:val="clear" w:color="auto" w:fill="EBECEC" w:themeFill="text1" w:themeFillTint="19"/>
    </w:tcPr>
    <w:tblStylePr w:type="firstRow">
      <w:rPr>
        <w:b/>
        <w:bCs/>
      </w:rPr>
      <w:tblPr/>
      <w:tcPr>
        <w:tcBorders>
          <w:top w:val="nil"/>
          <w:left w:val="nil"/>
          <w:bottom w:val="single" w:sz="24" w:space="0" w:color="EB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8" w:themeFill="text1" w:themeFillShade="99"/>
      </w:tcPr>
    </w:tblStylePr>
    <w:tblStylePr w:type="firstCol">
      <w:rPr>
        <w:color w:val="FFFFFF" w:themeColor="background1"/>
      </w:rPr>
      <w:tblPr/>
      <w:tcPr>
        <w:tcBorders>
          <w:top w:val="nil"/>
          <w:left w:val="nil"/>
          <w:bottom w:val="nil"/>
          <w:right w:val="nil"/>
          <w:insideH w:val="single" w:sz="4" w:space="0" w:color="262628" w:themeColor="text1" w:themeShade="99"/>
          <w:insideV w:val="nil"/>
        </w:tcBorders>
        <w:shd w:val="clear" w:color="auto" w:fill="2626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2" w:themeFill="text1" w:themeFillShade="BF"/>
      </w:tcPr>
    </w:tblStylePr>
    <w:tblStylePr w:type="band1Vert">
      <w:tblPr/>
      <w:tcPr>
        <w:shd w:val="clear" w:color="auto" w:fill="B1B2B5" w:themeFill="text1" w:themeFillTint="66"/>
      </w:tcPr>
    </w:tblStylePr>
    <w:tblStylePr w:type="band1Horz">
      <w:tblPr/>
      <w:tcPr>
        <w:shd w:val="clear" w:color="auto" w:fill="9E9FA2" w:themeFill="text1" w:themeFillTint="7F"/>
      </w:tcPr>
    </w:tblStylePr>
    <w:tblStylePr w:type="neCell">
      <w:rPr>
        <w:color w:val="404143" w:themeColor="text1"/>
      </w:rPr>
    </w:tblStylePr>
    <w:tblStylePr w:type="nwCell">
      <w:rPr>
        <w:color w:val="404143" w:themeColor="text1"/>
      </w:rPr>
    </w:tblStylePr>
  </w:style>
  <w:style w:type="table" w:styleId="ColorfulShading-Accent1">
    <w:name w:val="Colorful Shading Accent 1"/>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EBB700" w:themeColor="accent2"/>
        <w:left w:val="single" w:sz="4" w:space="0" w:color="A71930" w:themeColor="accent1"/>
        <w:bottom w:val="single" w:sz="4" w:space="0" w:color="A71930" w:themeColor="accent1"/>
        <w:right w:val="single" w:sz="4" w:space="0" w:color="A71930" w:themeColor="accent1"/>
        <w:insideH w:val="single" w:sz="4" w:space="0" w:color="FFFFFF" w:themeColor="background1"/>
        <w:insideV w:val="single" w:sz="4" w:space="0" w:color="FFFFFF" w:themeColor="background1"/>
      </w:tblBorders>
    </w:tblPr>
    <w:tcPr>
      <w:shd w:val="clear" w:color="auto" w:fill="FBE3E7" w:themeFill="accent1" w:themeFillTint="19"/>
    </w:tcPr>
    <w:tblStylePr w:type="firstRow">
      <w:rPr>
        <w:b/>
        <w:bCs/>
      </w:rPr>
      <w:tblPr/>
      <w:tcPr>
        <w:tcBorders>
          <w:top w:val="nil"/>
          <w:left w:val="nil"/>
          <w:bottom w:val="single" w:sz="24" w:space="0" w:color="EB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0F1C" w:themeFill="accent1" w:themeFillShade="99"/>
      </w:tcPr>
    </w:tblStylePr>
    <w:tblStylePr w:type="firstCol">
      <w:rPr>
        <w:color w:val="FFFFFF" w:themeColor="background1"/>
      </w:rPr>
      <w:tblPr/>
      <w:tcPr>
        <w:tcBorders>
          <w:top w:val="nil"/>
          <w:left w:val="nil"/>
          <w:bottom w:val="nil"/>
          <w:right w:val="nil"/>
          <w:insideH w:val="single" w:sz="4" w:space="0" w:color="640F1C" w:themeColor="accent1" w:themeShade="99"/>
          <w:insideV w:val="nil"/>
        </w:tcBorders>
        <w:shd w:val="clear" w:color="auto" w:fill="640F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40F1C" w:themeFill="accent1" w:themeFillShade="99"/>
      </w:tcPr>
    </w:tblStylePr>
    <w:tblStylePr w:type="band1Vert">
      <w:tblPr/>
      <w:tcPr>
        <w:shd w:val="clear" w:color="auto" w:fill="EE909F" w:themeFill="accent1" w:themeFillTint="66"/>
      </w:tcPr>
    </w:tblStylePr>
    <w:tblStylePr w:type="band1Horz">
      <w:tblPr/>
      <w:tcPr>
        <w:shd w:val="clear" w:color="auto" w:fill="EA7587" w:themeFill="accent1" w:themeFillTint="7F"/>
      </w:tcPr>
    </w:tblStylePr>
    <w:tblStylePr w:type="neCell">
      <w:rPr>
        <w:color w:val="404143" w:themeColor="text1"/>
      </w:rPr>
    </w:tblStylePr>
    <w:tblStylePr w:type="nwCell">
      <w:rPr>
        <w:color w:val="404143" w:themeColor="text1"/>
      </w:rPr>
    </w:tblStylePr>
  </w:style>
  <w:style w:type="table" w:styleId="ColorfulShading-Accent2">
    <w:name w:val="Colorful Shading Accent 2"/>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EBB700" w:themeColor="accent2"/>
        <w:left w:val="single" w:sz="4" w:space="0" w:color="EBB700" w:themeColor="accent2"/>
        <w:bottom w:val="single" w:sz="4" w:space="0" w:color="EBB700" w:themeColor="accent2"/>
        <w:right w:val="single" w:sz="4" w:space="0" w:color="EBB700" w:themeColor="accent2"/>
        <w:insideH w:val="single" w:sz="4" w:space="0" w:color="FFFFFF" w:themeColor="background1"/>
        <w:insideV w:val="single" w:sz="4" w:space="0" w:color="FFFFFF" w:themeColor="background1"/>
      </w:tblBorders>
    </w:tblPr>
    <w:tcPr>
      <w:shd w:val="clear" w:color="auto" w:fill="FFF8E4" w:themeFill="accent2" w:themeFillTint="19"/>
    </w:tcPr>
    <w:tblStylePr w:type="firstRow">
      <w:rPr>
        <w:b/>
        <w:bCs/>
      </w:rPr>
      <w:tblPr/>
      <w:tcPr>
        <w:tcBorders>
          <w:top w:val="nil"/>
          <w:left w:val="nil"/>
          <w:bottom w:val="single" w:sz="24" w:space="0" w:color="EB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6D00" w:themeFill="accent2" w:themeFillShade="99"/>
      </w:tcPr>
    </w:tblStylePr>
    <w:tblStylePr w:type="firstCol">
      <w:rPr>
        <w:color w:val="FFFFFF" w:themeColor="background1"/>
      </w:rPr>
      <w:tblPr/>
      <w:tcPr>
        <w:tcBorders>
          <w:top w:val="nil"/>
          <w:left w:val="nil"/>
          <w:bottom w:val="nil"/>
          <w:right w:val="nil"/>
          <w:insideH w:val="single" w:sz="4" w:space="0" w:color="8D6D00" w:themeColor="accent2" w:themeShade="99"/>
          <w:insideV w:val="nil"/>
        </w:tcBorders>
        <w:shd w:val="clear" w:color="auto" w:fill="8D6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D6D00" w:themeFill="accent2" w:themeFillShade="99"/>
      </w:tcPr>
    </w:tblStylePr>
    <w:tblStylePr w:type="band1Vert">
      <w:tblPr/>
      <w:tcPr>
        <w:shd w:val="clear" w:color="auto" w:fill="FFE691" w:themeFill="accent2" w:themeFillTint="66"/>
      </w:tcPr>
    </w:tblStylePr>
    <w:tblStylePr w:type="band1Horz">
      <w:tblPr/>
      <w:tcPr>
        <w:shd w:val="clear" w:color="auto" w:fill="FFE076" w:themeFill="accent2" w:themeFillTint="7F"/>
      </w:tcPr>
    </w:tblStylePr>
    <w:tblStylePr w:type="neCell">
      <w:rPr>
        <w:color w:val="404143" w:themeColor="text1"/>
      </w:rPr>
    </w:tblStylePr>
    <w:tblStylePr w:type="nwCell">
      <w:rPr>
        <w:color w:val="404143" w:themeColor="text1"/>
      </w:rPr>
    </w:tblStylePr>
  </w:style>
  <w:style w:type="table" w:styleId="ColorfulShading-Accent3">
    <w:name w:val="Colorful Shading Accent 3"/>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A2AD00" w:themeColor="accent4"/>
        <w:left w:val="single" w:sz="4" w:space="0" w:color="6773B6" w:themeColor="accent3"/>
        <w:bottom w:val="single" w:sz="4" w:space="0" w:color="6773B6" w:themeColor="accent3"/>
        <w:right w:val="single" w:sz="4" w:space="0" w:color="6773B6" w:themeColor="accent3"/>
        <w:insideH w:val="single" w:sz="4" w:space="0" w:color="FFFFFF" w:themeColor="background1"/>
        <w:insideV w:val="single" w:sz="4" w:space="0" w:color="FFFFFF" w:themeColor="background1"/>
      </w:tblBorders>
    </w:tblPr>
    <w:tcPr>
      <w:shd w:val="clear" w:color="auto" w:fill="EFF1F7" w:themeFill="accent3" w:themeFillTint="19"/>
    </w:tcPr>
    <w:tblStylePr w:type="firstRow">
      <w:rPr>
        <w:b/>
        <w:bCs/>
      </w:rPr>
      <w:tblPr/>
      <w:tcPr>
        <w:tcBorders>
          <w:top w:val="nil"/>
          <w:left w:val="nil"/>
          <w:bottom w:val="single" w:sz="24" w:space="0" w:color="A2AD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4073" w:themeFill="accent3" w:themeFillShade="99"/>
      </w:tcPr>
    </w:tblStylePr>
    <w:tblStylePr w:type="firstCol">
      <w:rPr>
        <w:color w:val="FFFFFF" w:themeColor="background1"/>
      </w:rPr>
      <w:tblPr/>
      <w:tcPr>
        <w:tcBorders>
          <w:top w:val="nil"/>
          <w:left w:val="nil"/>
          <w:bottom w:val="nil"/>
          <w:right w:val="nil"/>
          <w:insideH w:val="single" w:sz="4" w:space="0" w:color="374073" w:themeColor="accent3" w:themeShade="99"/>
          <w:insideV w:val="nil"/>
        </w:tcBorders>
        <w:shd w:val="clear" w:color="auto" w:fill="3740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74073" w:themeFill="accent3" w:themeFillShade="99"/>
      </w:tcPr>
    </w:tblStylePr>
    <w:tblStylePr w:type="band1Vert">
      <w:tblPr/>
      <w:tcPr>
        <w:shd w:val="clear" w:color="auto" w:fill="C2C6E1" w:themeFill="accent3" w:themeFillTint="66"/>
      </w:tcPr>
    </w:tblStylePr>
    <w:tblStylePr w:type="band1Horz">
      <w:tblPr/>
      <w:tcPr>
        <w:shd w:val="clear" w:color="auto" w:fill="B3B8DA" w:themeFill="accent3" w:themeFillTint="7F"/>
      </w:tcPr>
    </w:tblStylePr>
  </w:style>
  <w:style w:type="table" w:styleId="ColorfulShading-Accent4">
    <w:name w:val="Colorful Shading Accent 4"/>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6773B6" w:themeColor="accent3"/>
        <w:left w:val="single" w:sz="4" w:space="0" w:color="A2AD00" w:themeColor="accent4"/>
        <w:bottom w:val="single" w:sz="4" w:space="0" w:color="A2AD00" w:themeColor="accent4"/>
        <w:right w:val="single" w:sz="4" w:space="0" w:color="A2AD00" w:themeColor="accent4"/>
        <w:insideH w:val="single" w:sz="4" w:space="0" w:color="FFFFFF" w:themeColor="background1"/>
        <w:insideV w:val="single" w:sz="4" w:space="0" w:color="FFFFFF" w:themeColor="background1"/>
      </w:tblBorders>
    </w:tblPr>
    <w:tcPr>
      <w:shd w:val="clear" w:color="auto" w:fill="FCFFDD" w:themeFill="accent4" w:themeFillTint="19"/>
    </w:tcPr>
    <w:tblStylePr w:type="firstRow">
      <w:rPr>
        <w:b/>
        <w:bCs/>
      </w:rPr>
      <w:tblPr/>
      <w:tcPr>
        <w:tcBorders>
          <w:top w:val="nil"/>
          <w:left w:val="nil"/>
          <w:bottom w:val="single" w:sz="24" w:space="0" w:color="6773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00" w:themeFill="accent4" w:themeFillShade="99"/>
      </w:tcPr>
    </w:tblStylePr>
    <w:tblStylePr w:type="firstCol">
      <w:rPr>
        <w:color w:val="FFFFFF" w:themeColor="background1"/>
      </w:rPr>
      <w:tblPr/>
      <w:tcPr>
        <w:tcBorders>
          <w:top w:val="nil"/>
          <w:left w:val="nil"/>
          <w:bottom w:val="nil"/>
          <w:right w:val="nil"/>
          <w:insideH w:val="single" w:sz="4" w:space="0" w:color="606700" w:themeColor="accent4" w:themeShade="99"/>
          <w:insideV w:val="nil"/>
        </w:tcBorders>
        <w:shd w:val="clear" w:color="auto" w:fill="606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6700" w:themeFill="accent4" w:themeFillShade="99"/>
      </w:tcPr>
    </w:tblStylePr>
    <w:tblStylePr w:type="band1Vert">
      <w:tblPr/>
      <w:tcPr>
        <w:shd w:val="clear" w:color="auto" w:fill="F6FF78" w:themeFill="accent4" w:themeFillTint="66"/>
      </w:tcPr>
    </w:tblStylePr>
    <w:tblStylePr w:type="band1Horz">
      <w:tblPr/>
      <w:tcPr>
        <w:shd w:val="clear" w:color="auto" w:fill="F3FF57" w:themeFill="accent4" w:themeFillTint="7F"/>
      </w:tcPr>
    </w:tblStylePr>
    <w:tblStylePr w:type="neCell">
      <w:rPr>
        <w:color w:val="404143" w:themeColor="text1"/>
      </w:rPr>
    </w:tblStylePr>
    <w:tblStylePr w:type="nwCell">
      <w:rPr>
        <w:color w:val="404143" w:themeColor="text1"/>
      </w:rPr>
    </w:tblStylePr>
  </w:style>
  <w:style w:type="table" w:styleId="ColorfulShading-Accent5">
    <w:name w:val="Colorful Shading Accent 5"/>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404143" w:themeColor="accent6"/>
        <w:left w:val="single" w:sz="4" w:space="0" w:color="8B8D8E" w:themeColor="accent5"/>
        <w:bottom w:val="single" w:sz="4" w:space="0" w:color="8B8D8E" w:themeColor="accent5"/>
        <w:right w:val="single" w:sz="4" w:space="0" w:color="8B8D8E" w:themeColor="accent5"/>
        <w:insideH w:val="single" w:sz="4" w:space="0" w:color="FFFFFF" w:themeColor="background1"/>
        <w:insideV w:val="single" w:sz="4" w:space="0" w:color="FFFFFF" w:themeColor="background1"/>
      </w:tblBorders>
    </w:tblPr>
    <w:tcPr>
      <w:shd w:val="clear" w:color="auto" w:fill="F3F3F3" w:themeFill="accent5" w:themeFillTint="19"/>
    </w:tcPr>
    <w:tblStylePr w:type="firstRow">
      <w:rPr>
        <w:b/>
        <w:bCs/>
      </w:rPr>
      <w:tblPr/>
      <w:tcPr>
        <w:tcBorders>
          <w:top w:val="nil"/>
          <w:left w:val="nil"/>
          <w:bottom w:val="single" w:sz="24" w:space="0" w:color="40414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5455" w:themeFill="accent5" w:themeFillShade="99"/>
      </w:tcPr>
    </w:tblStylePr>
    <w:tblStylePr w:type="firstCol">
      <w:rPr>
        <w:color w:val="FFFFFF" w:themeColor="background1"/>
      </w:rPr>
      <w:tblPr/>
      <w:tcPr>
        <w:tcBorders>
          <w:top w:val="nil"/>
          <w:left w:val="nil"/>
          <w:bottom w:val="nil"/>
          <w:right w:val="nil"/>
          <w:insideH w:val="single" w:sz="4" w:space="0" w:color="535455" w:themeColor="accent5" w:themeShade="99"/>
          <w:insideV w:val="nil"/>
        </w:tcBorders>
        <w:shd w:val="clear" w:color="auto" w:fill="5354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35455" w:themeFill="accent5" w:themeFillShade="99"/>
      </w:tcPr>
    </w:tblStylePr>
    <w:tblStylePr w:type="band1Vert">
      <w:tblPr/>
      <w:tcPr>
        <w:shd w:val="clear" w:color="auto" w:fill="D0D1D1" w:themeFill="accent5" w:themeFillTint="66"/>
      </w:tcPr>
    </w:tblStylePr>
    <w:tblStylePr w:type="band1Horz">
      <w:tblPr/>
      <w:tcPr>
        <w:shd w:val="clear" w:color="auto" w:fill="C5C6C6" w:themeFill="accent5" w:themeFillTint="7F"/>
      </w:tcPr>
    </w:tblStylePr>
    <w:tblStylePr w:type="neCell">
      <w:rPr>
        <w:color w:val="404143" w:themeColor="text1"/>
      </w:rPr>
    </w:tblStylePr>
    <w:tblStylePr w:type="nwCell">
      <w:rPr>
        <w:color w:val="404143" w:themeColor="text1"/>
      </w:rPr>
    </w:tblStylePr>
  </w:style>
  <w:style w:type="table" w:styleId="ColorfulShading-Accent6">
    <w:name w:val="Colorful Shading Accent 6"/>
    <w:basedOn w:val="TableNormal"/>
    <w:uiPriority w:val="71"/>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24" w:space="0" w:color="8B8D8E" w:themeColor="accent5"/>
        <w:left w:val="single" w:sz="4" w:space="0" w:color="404143" w:themeColor="accent6"/>
        <w:bottom w:val="single" w:sz="4" w:space="0" w:color="404143" w:themeColor="accent6"/>
        <w:right w:val="single" w:sz="4" w:space="0" w:color="404143" w:themeColor="accent6"/>
        <w:insideH w:val="single" w:sz="4" w:space="0" w:color="FFFFFF" w:themeColor="background1"/>
        <w:insideV w:val="single" w:sz="4" w:space="0" w:color="FFFFFF" w:themeColor="background1"/>
      </w:tblBorders>
    </w:tblPr>
    <w:tcPr>
      <w:shd w:val="clear" w:color="auto" w:fill="EBECEC" w:themeFill="accent6" w:themeFillTint="19"/>
    </w:tcPr>
    <w:tblStylePr w:type="firstRow">
      <w:rPr>
        <w:b/>
        <w:bCs/>
      </w:rPr>
      <w:tblPr/>
      <w:tcPr>
        <w:tcBorders>
          <w:top w:val="nil"/>
          <w:left w:val="nil"/>
          <w:bottom w:val="single" w:sz="24" w:space="0" w:color="8B8D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8" w:themeFill="accent6" w:themeFillShade="99"/>
      </w:tcPr>
    </w:tblStylePr>
    <w:tblStylePr w:type="firstCol">
      <w:rPr>
        <w:color w:val="FFFFFF" w:themeColor="background1"/>
      </w:rPr>
      <w:tblPr/>
      <w:tcPr>
        <w:tcBorders>
          <w:top w:val="nil"/>
          <w:left w:val="nil"/>
          <w:bottom w:val="nil"/>
          <w:right w:val="nil"/>
          <w:insideH w:val="single" w:sz="4" w:space="0" w:color="262628" w:themeColor="accent6" w:themeShade="99"/>
          <w:insideV w:val="nil"/>
        </w:tcBorders>
        <w:shd w:val="clear" w:color="auto" w:fill="2626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62628" w:themeFill="accent6" w:themeFillShade="99"/>
      </w:tcPr>
    </w:tblStylePr>
    <w:tblStylePr w:type="band1Vert">
      <w:tblPr/>
      <w:tcPr>
        <w:shd w:val="clear" w:color="auto" w:fill="B1B2B5" w:themeFill="accent6" w:themeFillTint="66"/>
      </w:tcPr>
    </w:tblStylePr>
    <w:tblStylePr w:type="band1Horz">
      <w:tblPr/>
      <w:tcPr>
        <w:shd w:val="clear" w:color="auto" w:fill="9E9FA2" w:themeFill="accent6" w:themeFillTint="7F"/>
      </w:tcPr>
    </w:tblStylePr>
    <w:tblStylePr w:type="neCell">
      <w:rPr>
        <w:color w:val="404143" w:themeColor="text1"/>
      </w:rPr>
    </w:tblStylePr>
    <w:tblStylePr w:type="nwCell">
      <w:rPr>
        <w:color w:val="404143" w:themeColor="text1"/>
      </w:rPr>
    </w:tblStylePr>
  </w:style>
  <w:style w:type="table" w:styleId="DarkList">
    <w:name w:val="Dark List"/>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404143"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1F20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2" w:themeFill="text1" w:themeFillShade="BF"/>
      </w:tcPr>
    </w:tblStylePr>
    <w:tblStylePr w:type="band1Vert">
      <w:tblPr/>
      <w:tcPr>
        <w:tcBorders>
          <w:top w:val="nil"/>
          <w:left w:val="nil"/>
          <w:bottom w:val="nil"/>
          <w:right w:val="nil"/>
          <w:insideH w:val="nil"/>
          <w:insideV w:val="nil"/>
        </w:tcBorders>
        <w:shd w:val="clear" w:color="auto" w:fill="303032" w:themeFill="text1" w:themeFillShade="BF"/>
      </w:tcPr>
    </w:tblStylePr>
    <w:tblStylePr w:type="band1Horz">
      <w:tblPr/>
      <w:tcPr>
        <w:tcBorders>
          <w:top w:val="nil"/>
          <w:left w:val="nil"/>
          <w:bottom w:val="nil"/>
          <w:right w:val="nil"/>
          <w:insideH w:val="nil"/>
          <w:insideV w:val="nil"/>
        </w:tcBorders>
        <w:shd w:val="clear" w:color="auto" w:fill="303032" w:themeFill="text1" w:themeFillShade="BF"/>
      </w:tcPr>
    </w:tblStylePr>
  </w:style>
  <w:style w:type="table" w:styleId="DarkList-Accent1">
    <w:name w:val="Dark List Accent 1"/>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A719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520C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12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1223" w:themeFill="accent1" w:themeFillShade="BF"/>
      </w:tcPr>
    </w:tblStylePr>
    <w:tblStylePr w:type="band1Vert">
      <w:tblPr/>
      <w:tcPr>
        <w:tcBorders>
          <w:top w:val="nil"/>
          <w:left w:val="nil"/>
          <w:bottom w:val="nil"/>
          <w:right w:val="nil"/>
          <w:insideH w:val="nil"/>
          <w:insideV w:val="nil"/>
        </w:tcBorders>
        <w:shd w:val="clear" w:color="auto" w:fill="7C1223" w:themeFill="accent1" w:themeFillShade="BF"/>
      </w:tcPr>
    </w:tblStylePr>
    <w:tblStylePr w:type="band1Horz">
      <w:tblPr/>
      <w:tcPr>
        <w:tcBorders>
          <w:top w:val="nil"/>
          <w:left w:val="nil"/>
          <w:bottom w:val="nil"/>
          <w:right w:val="nil"/>
          <w:insideH w:val="nil"/>
          <w:insideV w:val="nil"/>
        </w:tcBorders>
        <w:shd w:val="clear" w:color="auto" w:fill="7C1223" w:themeFill="accent1" w:themeFillShade="BF"/>
      </w:tcPr>
    </w:tblStylePr>
  </w:style>
  <w:style w:type="table" w:styleId="DarkList-Accent2">
    <w:name w:val="Dark List Accent 2"/>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EBB7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75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08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08800" w:themeFill="accent2" w:themeFillShade="BF"/>
      </w:tcPr>
    </w:tblStylePr>
    <w:tblStylePr w:type="band1Vert">
      <w:tblPr/>
      <w:tcPr>
        <w:tcBorders>
          <w:top w:val="nil"/>
          <w:left w:val="nil"/>
          <w:bottom w:val="nil"/>
          <w:right w:val="nil"/>
          <w:insideH w:val="nil"/>
          <w:insideV w:val="nil"/>
        </w:tcBorders>
        <w:shd w:val="clear" w:color="auto" w:fill="B08800" w:themeFill="accent2" w:themeFillShade="BF"/>
      </w:tcPr>
    </w:tblStylePr>
    <w:tblStylePr w:type="band1Horz">
      <w:tblPr/>
      <w:tcPr>
        <w:tcBorders>
          <w:top w:val="nil"/>
          <w:left w:val="nil"/>
          <w:bottom w:val="nil"/>
          <w:right w:val="nil"/>
          <w:insideH w:val="nil"/>
          <w:insideV w:val="nil"/>
        </w:tcBorders>
        <w:shd w:val="clear" w:color="auto" w:fill="B08800" w:themeFill="accent2" w:themeFillShade="BF"/>
      </w:tcPr>
    </w:tblStylePr>
  </w:style>
  <w:style w:type="table" w:styleId="DarkList-Accent3">
    <w:name w:val="Dark List Accent 3"/>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6773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2E35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5509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55090" w:themeFill="accent3" w:themeFillShade="BF"/>
      </w:tcPr>
    </w:tblStylePr>
    <w:tblStylePr w:type="band1Vert">
      <w:tblPr/>
      <w:tcPr>
        <w:tcBorders>
          <w:top w:val="nil"/>
          <w:left w:val="nil"/>
          <w:bottom w:val="nil"/>
          <w:right w:val="nil"/>
          <w:insideH w:val="nil"/>
          <w:insideV w:val="nil"/>
        </w:tcBorders>
        <w:shd w:val="clear" w:color="auto" w:fill="455090" w:themeFill="accent3" w:themeFillShade="BF"/>
      </w:tcPr>
    </w:tblStylePr>
    <w:tblStylePr w:type="band1Horz">
      <w:tblPr/>
      <w:tcPr>
        <w:tcBorders>
          <w:top w:val="nil"/>
          <w:left w:val="nil"/>
          <w:bottom w:val="nil"/>
          <w:right w:val="nil"/>
          <w:insideH w:val="nil"/>
          <w:insideV w:val="nil"/>
        </w:tcBorders>
        <w:shd w:val="clear" w:color="auto" w:fill="455090" w:themeFill="accent3" w:themeFillShade="BF"/>
      </w:tcPr>
    </w:tblStylePr>
  </w:style>
  <w:style w:type="table" w:styleId="DarkList-Accent4">
    <w:name w:val="Dark List Accent 4"/>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A2AD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50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81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8100" w:themeFill="accent4" w:themeFillShade="BF"/>
      </w:tcPr>
    </w:tblStylePr>
    <w:tblStylePr w:type="band1Vert">
      <w:tblPr/>
      <w:tcPr>
        <w:tcBorders>
          <w:top w:val="nil"/>
          <w:left w:val="nil"/>
          <w:bottom w:val="nil"/>
          <w:right w:val="nil"/>
          <w:insideH w:val="nil"/>
          <w:insideV w:val="nil"/>
        </w:tcBorders>
        <w:shd w:val="clear" w:color="auto" w:fill="788100" w:themeFill="accent4" w:themeFillShade="BF"/>
      </w:tcPr>
    </w:tblStylePr>
    <w:tblStylePr w:type="band1Horz">
      <w:tblPr/>
      <w:tcPr>
        <w:tcBorders>
          <w:top w:val="nil"/>
          <w:left w:val="nil"/>
          <w:bottom w:val="nil"/>
          <w:right w:val="nil"/>
          <w:insideH w:val="nil"/>
          <w:insideV w:val="nil"/>
        </w:tcBorders>
        <w:shd w:val="clear" w:color="auto" w:fill="788100" w:themeFill="accent4" w:themeFillShade="BF"/>
      </w:tcPr>
    </w:tblStylePr>
  </w:style>
  <w:style w:type="table" w:styleId="DarkList-Accent5">
    <w:name w:val="Dark List Accent 5"/>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8B8D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4546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769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7696A" w:themeFill="accent5" w:themeFillShade="BF"/>
      </w:tcPr>
    </w:tblStylePr>
    <w:tblStylePr w:type="band1Vert">
      <w:tblPr/>
      <w:tcPr>
        <w:tcBorders>
          <w:top w:val="nil"/>
          <w:left w:val="nil"/>
          <w:bottom w:val="nil"/>
          <w:right w:val="nil"/>
          <w:insideH w:val="nil"/>
          <w:insideV w:val="nil"/>
        </w:tcBorders>
        <w:shd w:val="clear" w:color="auto" w:fill="67696A" w:themeFill="accent5" w:themeFillShade="BF"/>
      </w:tcPr>
    </w:tblStylePr>
    <w:tblStylePr w:type="band1Horz">
      <w:tblPr/>
      <w:tcPr>
        <w:tcBorders>
          <w:top w:val="nil"/>
          <w:left w:val="nil"/>
          <w:bottom w:val="nil"/>
          <w:right w:val="nil"/>
          <w:insideH w:val="nil"/>
          <w:insideV w:val="nil"/>
        </w:tcBorders>
        <w:shd w:val="clear" w:color="auto" w:fill="67696A" w:themeFill="accent5" w:themeFillShade="BF"/>
      </w:tcPr>
    </w:tblStylePr>
  </w:style>
  <w:style w:type="table" w:styleId="DarkList-Accent6">
    <w:name w:val="Dark List Accent 6"/>
    <w:basedOn w:val="TableNormal"/>
    <w:uiPriority w:val="70"/>
    <w:semiHidden/>
    <w:unhideWhenUsed/>
    <w:rsid w:val="00F3012E"/>
    <w:rPr>
      <w:rFonts w:asciiTheme="minorHAnsi" w:hAnsiTheme="minorHAnsi" w:cstheme="minorBidi"/>
      <w:color w:val="FFFFFF" w:themeColor="background1"/>
      <w:sz w:val="22"/>
      <w:szCs w:val="22"/>
      <w:lang w:eastAsia="zh-CN"/>
    </w:rPr>
    <w:tblPr>
      <w:tblStyleRowBandSize w:val="1"/>
      <w:tblStyleColBandSize w:val="1"/>
    </w:tblPr>
    <w:tcPr>
      <w:shd w:val="clear" w:color="auto" w:fill="40414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143" w:themeFill="text1"/>
      </w:tcPr>
    </w:tblStylePr>
    <w:tblStylePr w:type="lastRow">
      <w:tblPr/>
      <w:tcPr>
        <w:tcBorders>
          <w:top w:val="single" w:sz="18" w:space="0" w:color="FFFFFF" w:themeColor="background1"/>
          <w:left w:val="nil"/>
          <w:bottom w:val="nil"/>
          <w:right w:val="nil"/>
          <w:insideH w:val="nil"/>
          <w:insideV w:val="nil"/>
        </w:tcBorders>
        <w:shd w:val="clear" w:color="auto" w:fill="1F20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030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03032" w:themeFill="accent6" w:themeFillShade="BF"/>
      </w:tcPr>
    </w:tblStylePr>
    <w:tblStylePr w:type="band1Vert">
      <w:tblPr/>
      <w:tcPr>
        <w:tcBorders>
          <w:top w:val="nil"/>
          <w:left w:val="nil"/>
          <w:bottom w:val="nil"/>
          <w:right w:val="nil"/>
          <w:insideH w:val="nil"/>
          <w:insideV w:val="nil"/>
        </w:tcBorders>
        <w:shd w:val="clear" w:color="auto" w:fill="303032" w:themeFill="accent6" w:themeFillShade="BF"/>
      </w:tcPr>
    </w:tblStylePr>
    <w:tblStylePr w:type="band1Horz">
      <w:tblPr/>
      <w:tcPr>
        <w:tcBorders>
          <w:top w:val="nil"/>
          <w:left w:val="nil"/>
          <w:bottom w:val="nil"/>
          <w:right w:val="nil"/>
          <w:insideH w:val="nil"/>
          <w:insideV w:val="nil"/>
        </w:tcBorders>
        <w:shd w:val="clear" w:color="auto" w:fill="303032" w:themeFill="accent6" w:themeFillShade="BF"/>
      </w:tcPr>
    </w:tblStylePr>
  </w:style>
  <w:style w:type="table" w:styleId="GridTable1Light">
    <w:name w:val="Grid Table 1 Light"/>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B1B2B5" w:themeColor="text1" w:themeTint="66"/>
        <w:left w:val="single" w:sz="4" w:space="0" w:color="B1B2B5" w:themeColor="text1" w:themeTint="66"/>
        <w:bottom w:val="single" w:sz="4" w:space="0" w:color="B1B2B5" w:themeColor="text1" w:themeTint="66"/>
        <w:right w:val="single" w:sz="4" w:space="0" w:color="B1B2B5" w:themeColor="text1" w:themeTint="66"/>
        <w:insideH w:val="single" w:sz="4" w:space="0" w:color="B1B2B5" w:themeColor="text1" w:themeTint="66"/>
        <w:insideV w:val="single" w:sz="4" w:space="0" w:color="B1B2B5" w:themeColor="text1" w:themeTint="66"/>
      </w:tblBorders>
    </w:tblPr>
    <w:tblStylePr w:type="firstRow">
      <w:rPr>
        <w:b/>
        <w:bCs/>
      </w:rPr>
      <w:tblPr/>
      <w:tcPr>
        <w:tcBorders>
          <w:bottom w:val="single" w:sz="12" w:space="0" w:color="8A8C8F" w:themeColor="text1" w:themeTint="99"/>
        </w:tcBorders>
      </w:tcPr>
    </w:tblStylePr>
    <w:tblStylePr w:type="lastRow">
      <w:rPr>
        <w:b/>
        <w:bCs/>
      </w:rPr>
      <w:tblPr/>
      <w:tcPr>
        <w:tcBorders>
          <w:top w:val="double" w:sz="2" w:space="0" w:color="8A8C8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EE909F" w:themeColor="accent1" w:themeTint="66"/>
        <w:left w:val="single" w:sz="4" w:space="0" w:color="EE909F" w:themeColor="accent1" w:themeTint="66"/>
        <w:bottom w:val="single" w:sz="4" w:space="0" w:color="EE909F" w:themeColor="accent1" w:themeTint="66"/>
        <w:right w:val="single" w:sz="4" w:space="0" w:color="EE909F" w:themeColor="accent1" w:themeTint="66"/>
        <w:insideH w:val="single" w:sz="4" w:space="0" w:color="EE909F" w:themeColor="accent1" w:themeTint="66"/>
        <w:insideV w:val="single" w:sz="4" w:space="0" w:color="EE909F" w:themeColor="accent1" w:themeTint="66"/>
      </w:tblBorders>
    </w:tblPr>
    <w:tblStylePr w:type="firstRow">
      <w:rPr>
        <w:b/>
        <w:bCs/>
      </w:rPr>
      <w:tblPr/>
      <w:tcPr>
        <w:tcBorders>
          <w:bottom w:val="single" w:sz="12" w:space="0" w:color="E6586F" w:themeColor="accent1" w:themeTint="99"/>
        </w:tcBorders>
      </w:tcPr>
    </w:tblStylePr>
    <w:tblStylePr w:type="lastRow">
      <w:rPr>
        <w:b/>
        <w:bCs/>
      </w:rPr>
      <w:tblPr/>
      <w:tcPr>
        <w:tcBorders>
          <w:top w:val="double" w:sz="2" w:space="0" w:color="E6586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FFE691" w:themeColor="accent2" w:themeTint="66"/>
        <w:left w:val="single" w:sz="4" w:space="0" w:color="FFE691" w:themeColor="accent2" w:themeTint="66"/>
        <w:bottom w:val="single" w:sz="4" w:space="0" w:color="FFE691" w:themeColor="accent2" w:themeTint="66"/>
        <w:right w:val="single" w:sz="4" w:space="0" w:color="FFE691" w:themeColor="accent2" w:themeTint="66"/>
        <w:insideH w:val="single" w:sz="4" w:space="0" w:color="FFE691" w:themeColor="accent2" w:themeTint="66"/>
        <w:insideV w:val="single" w:sz="4" w:space="0" w:color="FFE691" w:themeColor="accent2" w:themeTint="66"/>
      </w:tblBorders>
    </w:tblPr>
    <w:tblStylePr w:type="firstRow">
      <w:rPr>
        <w:b/>
        <w:bCs/>
      </w:rPr>
      <w:tblPr/>
      <w:tcPr>
        <w:tcBorders>
          <w:bottom w:val="single" w:sz="12" w:space="0" w:color="FFDA5A" w:themeColor="accent2" w:themeTint="99"/>
        </w:tcBorders>
      </w:tcPr>
    </w:tblStylePr>
    <w:tblStylePr w:type="lastRow">
      <w:rPr>
        <w:b/>
        <w:bCs/>
      </w:rPr>
      <w:tblPr/>
      <w:tcPr>
        <w:tcBorders>
          <w:top w:val="double" w:sz="2" w:space="0" w:color="FFDA5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C2C6E1" w:themeColor="accent3" w:themeTint="66"/>
        <w:left w:val="single" w:sz="4" w:space="0" w:color="C2C6E1" w:themeColor="accent3" w:themeTint="66"/>
        <w:bottom w:val="single" w:sz="4" w:space="0" w:color="C2C6E1" w:themeColor="accent3" w:themeTint="66"/>
        <w:right w:val="single" w:sz="4" w:space="0" w:color="C2C6E1" w:themeColor="accent3" w:themeTint="66"/>
        <w:insideH w:val="single" w:sz="4" w:space="0" w:color="C2C6E1" w:themeColor="accent3" w:themeTint="66"/>
        <w:insideV w:val="single" w:sz="4" w:space="0" w:color="C2C6E1" w:themeColor="accent3" w:themeTint="66"/>
      </w:tblBorders>
    </w:tblPr>
    <w:tblStylePr w:type="firstRow">
      <w:rPr>
        <w:b/>
        <w:bCs/>
      </w:rPr>
      <w:tblPr/>
      <w:tcPr>
        <w:tcBorders>
          <w:bottom w:val="single" w:sz="12" w:space="0" w:color="A3AAD3" w:themeColor="accent3" w:themeTint="99"/>
        </w:tcBorders>
      </w:tcPr>
    </w:tblStylePr>
    <w:tblStylePr w:type="lastRow">
      <w:rPr>
        <w:b/>
        <w:bCs/>
      </w:rPr>
      <w:tblPr/>
      <w:tcPr>
        <w:tcBorders>
          <w:top w:val="double" w:sz="2" w:space="0" w:color="A3AA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F6FF78" w:themeColor="accent4" w:themeTint="66"/>
        <w:left w:val="single" w:sz="4" w:space="0" w:color="F6FF78" w:themeColor="accent4" w:themeTint="66"/>
        <w:bottom w:val="single" w:sz="4" w:space="0" w:color="F6FF78" w:themeColor="accent4" w:themeTint="66"/>
        <w:right w:val="single" w:sz="4" w:space="0" w:color="F6FF78" w:themeColor="accent4" w:themeTint="66"/>
        <w:insideH w:val="single" w:sz="4" w:space="0" w:color="F6FF78" w:themeColor="accent4" w:themeTint="66"/>
        <w:insideV w:val="single" w:sz="4" w:space="0" w:color="F6FF78" w:themeColor="accent4" w:themeTint="66"/>
      </w:tblBorders>
    </w:tblPr>
    <w:tblStylePr w:type="firstRow">
      <w:rPr>
        <w:b/>
        <w:bCs/>
      </w:rPr>
      <w:tblPr/>
      <w:tcPr>
        <w:tcBorders>
          <w:bottom w:val="single" w:sz="12" w:space="0" w:color="F1FF34" w:themeColor="accent4" w:themeTint="99"/>
        </w:tcBorders>
      </w:tcPr>
    </w:tblStylePr>
    <w:tblStylePr w:type="lastRow">
      <w:rPr>
        <w:b/>
        <w:bCs/>
      </w:rPr>
      <w:tblPr/>
      <w:tcPr>
        <w:tcBorders>
          <w:top w:val="double" w:sz="2" w:space="0" w:color="F1FF3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D0D1D1" w:themeColor="accent5" w:themeTint="66"/>
        <w:left w:val="single" w:sz="4" w:space="0" w:color="D0D1D1" w:themeColor="accent5" w:themeTint="66"/>
        <w:bottom w:val="single" w:sz="4" w:space="0" w:color="D0D1D1" w:themeColor="accent5" w:themeTint="66"/>
        <w:right w:val="single" w:sz="4" w:space="0" w:color="D0D1D1" w:themeColor="accent5" w:themeTint="66"/>
        <w:insideH w:val="single" w:sz="4" w:space="0" w:color="D0D1D1" w:themeColor="accent5" w:themeTint="66"/>
        <w:insideV w:val="single" w:sz="4" w:space="0" w:color="D0D1D1" w:themeColor="accent5" w:themeTint="66"/>
      </w:tblBorders>
    </w:tblPr>
    <w:tblStylePr w:type="firstRow">
      <w:rPr>
        <w:b/>
        <w:bCs/>
      </w:rPr>
      <w:tblPr/>
      <w:tcPr>
        <w:tcBorders>
          <w:bottom w:val="single" w:sz="12" w:space="0" w:color="B9BABB" w:themeColor="accent5" w:themeTint="99"/>
        </w:tcBorders>
      </w:tcPr>
    </w:tblStylePr>
    <w:tblStylePr w:type="lastRow">
      <w:rPr>
        <w:b/>
        <w:bCs/>
      </w:rPr>
      <w:tblPr/>
      <w:tcPr>
        <w:tcBorders>
          <w:top w:val="double" w:sz="2" w:space="0" w:color="B9B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012E"/>
    <w:rPr>
      <w:rFonts w:asciiTheme="minorHAnsi" w:hAnsiTheme="minorHAnsi" w:cstheme="minorBidi"/>
      <w:sz w:val="22"/>
      <w:szCs w:val="22"/>
      <w:lang w:eastAsia="zh-CN"/>
    </w:rPr>
    <w:tblPr>
      <w:tblStyleRowBandSize w:val="1"/>
      <w:tblStyleColBandSize w:val="1"/>
      <w:tblBorders>
        <w:top w:val="single" w:sz="4" w:space="0" w:color="B1B2B5" w:themeColor="accent6" w:themeTint="66"/>
        <w:left w:val="single" w:sz="4" w:space="0" w:color="B1B2B5" w:themeColor="accent6" w:themeTint="66"/>
        <w:bottom w:val="single" w:sz="4" w:space="0" w:color="B1B2B5" w:themeColor="accent6" w:themeTint="66"/>
        <w:right w:val="single" w:sz="4" w:space="0" w:color="B1B2B5" w:themeColor="accent6" w:themeTint="66"/>
        <w:insideH w:val="single" w:sz="4" w:space="0" w:color="B1B2B5" w:themeColor="accent6" w:themeTint="66"/>
        <w:insideV w:val="single" w:sz="4" w:space="0" w:color="B1B2B5" w:themeColor="accent6" w:themeTint="66"/>
      </w:tblBorders>
    </w:tblPr>
    <w:tblStylePr w:type="firstRow">
      <w:rPr>
        <w:b/>
        <w:bCs/>
      </w:rPr>
      <w:tblPr/>
      <w:tcPr>
        <w:tcBorders>
          <w:bottom w:val="single" w:sz="12" w:space="0" w:color="8A8C8F" w:themeColor="accent6" w:themeTint="99"/>
        </w:tcBorders>
      </w:tcPr>
    </w:tblStylePr>
    <w:tblStylePr w:type="lastRow">
      <w:rPr>
        <w:b/>
        <w:bCs/>
      </w:rPr>
      <w:tblPr/>
      <w:tcPr>
        <w:tcBorders>
          <w:top w:val="double" w:sz="2" w:space="0" w:color="8A8C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8A8C8F" w:themeColor="text1" w:themeTint="99"/>
        <w:bottom w:val="single" w:sz="2" w:space="0" w:color="8A8C8F" w:themeColor="text1" w:themeTint="99"/>
        <w:insideH w:val="single" w:sz="2" w:space="0" w:color="8A8C8F" w:themeColor="text1" w:themeTint="99"/>
        <w:insideV w:val="single" w:sz="2" w:space="0" w:color="8A8C8F" w:themeColor="text1" w:themeTint="99"/>
      </w:tblBorders>
    </w:tblPr>
    <w:tblStylePr w:type="firstRow">
      <w:rPr>
        <w:b/>
        <w:bCs/>
      </w:rPr>
      <w:tblPr/>
      <w:tcPr>
        <w:tcBorders>
          <w:top w:val="nil"/>
          <w:bottom w:val="single" w:sz="12" w:space="0" w:color="8A8C8F" w:themeColor="text1" w:themeTint="99"/>
          <w:insideH w:val="nil"/>
          <w:insideV w:val="nil"/>
        </w:tcBorders>
        <w:shd w:val="clear" w:color="auto" w:fill="FFFFFF" w:themeFill="background1"/>
      </w:tcPr>
    </w:tblStylePr>
    <w:tblStylePr w:type="lastRow">
      <w:rPr>
        <w:b/>
        <w:bCs/>
      </w:rPr>
      <w:tblPr/>
      <w:tcPr>
        <w:tcBorders>
          <w:top w:val="double" w:sz="2" w:space="0" w:color="8A8C8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GridTable2-Accent1">
    <w:name w:val="Grid Table 2 Accent 1"/>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E6586F" w:themeColor="accent1" w:themeTint="99"/>
        <w:bottom w:val="single" w:sz="2" w:space="0" w:color="E6586F" w:themeColor="accent1" w:themeTint="99"/>
        <w:insideH w:val="single" w:sz="2" w:space="0" w:color="E6586F" w:themeColor="accent1" w:themeTint="99"/>
        <w:insideV w:val="single" w:sz="2" w:space="0" w:color="E6586F" w:themeColor="accent1" w:themeTint="99"/>
      </w:tblBorders>
    </w:tblPr>
    <w:tblStylePr w:type="firstRow">
      <w:rPr>
        <w:b/>
        <w:bCs/>
      </w:rPr>
      <w:tblPr/>
      <w:tcPr>
        <w:tcBorders>
          <w:top w:val="nil"/>
          <w:bottom w:val="single" w:sz="12" w:space="0" w:color="E6586F" w:themeColor="accent1" w:themeTint="99"/>
          <w:insideH w:val="nil"/>
          <w:insideV w:val="nil"/>
        </w:tcBorders>
        <w:shd w:val="clear" w:color="auto" w:fill="FFFFFF" w:themeFill="background1"/>
      </w:tcPr>
    </w:tblStylePr>
    <w:tblStylePr w:type="lastRow">
      <w:rPr>
        <w:b/>
        <w:bCs/>
      </w:rPr>
      <w:tblPr/>
      <w:tcPr>
        <w:tcBorders>
          <w:top w:val="double" w:sz="2" w:space="0" w:color="E6586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GridTable2-Accent2">
    <w:name w:val="Grid Table 2 Accent 2"/>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FFDA5A" w:themeColor="accent2" w:themeTint="99"/>
        <w:bottom w:val="single" w:sz="2" w:space="0" w:color="FFDA5A" w:themeColor="accent2" w:themeTint="99"/>
        <w:insideH w:val="single" w:sz="2" w:space="0" w:color="FFDA5A" w:themeColor="accent2" w:themeTint="99"/>
        <w:insideV w:val="single" w:sz="2" w:space="0" w:color="FFDA5A" w:themeColor="accent2" w:themeTint="99"/>
      </w:tblBorders>
    </w:tblPr>
    <w:tblStylePr w:type="firstRow">
      <w:rPr>
        <w:b/>
        <w:bCs/>
      </w:rPr>
      <w:tblPr/>
      <w:tcPr>
        <w:tcBorders>
          <w:top w:val="nil"/>
          <w:bottom w:val="single" w:sz="12" w:space="0" w:color="FFDA5A" w:themeColor="accent2" w:themeTint="99"/>
          <w:insideH w:val="nil"/>
          <w:insideV w:val="nil"/>
        </w:tcBorders>
        <w:shd w:val="clear" w:color="auto" w:fill="FFFFFF" w:themeFill="background1"/>
      </w:tcPr>
    </w:tblStylePr>
    <w:tblStylePr w:type="lastRow">
      <w:rPr>
        <w:b/>
        <w:bCs/>
      </w:rPr>
      <w:tblPr/>
      <w:tcPr>
        <w:tcBorders>
          <w:top w:val="double" w:sz="2" w:space="0" w:color="FFDA5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GridTable2-Accent3">
    <w:name w:val="Grid Table 2 Accent 3"/>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A3AAD3" w:themeColor="accent3" w:themeTint="99"/>
        <w:bottom w:val="single" w:sz="2" w:space="0" w:color="A3AAD3" w:themeColor="accent3" w:themeTint="99"/>
        <w:insideH w:val="single" w:sz="2" w:space="0" w:color="A3AAD3" w:themeColor="accent3" w:themeTint="99"/>
        <w:insideV w:val="single" w:sz="2" w:space="0" w:color="A3AAD3" w:themeColor="accent3" w:themeTint="99"/>
      </w:tblBorders>
    </w:tblPr>
    <w:tblStylePr w:type="firstRow">
      <w:rPr>
        <w:b/>
        <w:bCs/>
      </w:rPr>
      <w:tblPr/>
      <w:tcPr>
        <w:tcBorders>
          <w:top w:val="nil"/>
          <w:bottom w:val="single" w:sz="12" w:space="0" w:color="A3AAD3" w:themeColor="accent3" w:themeTint="99"/>
          <w:insideH w:val="nil"/>
          <w:insideV w:val="nil"/>
        </w:tcBorders>
        <w:shd w:val="clear" w:color="auto" w:fill="FFFFFF" w:themeFill="background1"/>
      </w:tcPr>
    </w:tblStylePr>
    <w:tblStylePr w:type="lastRow">
      <w:rPr>
        <w:b/>
        <w:bCs/>
      </w:rPr>
      <w:tblPr/>
      <w:tcPr>
        <w:tcBorders>
          <w:top w:val="double" w:sz="2" w:space="0" w:color="A3AA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GridTable2-Accent4">
    <w:name w:val="Grid Table 2 Accent 4"/>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F1FF34" w:themeColor="accent4" w:themeTint="99"/>
        <w:bottom w:val="single" w:sz="2" w:space="0" w:color="F1FF34" w:themeColor="accent4" w:themeTint="99"/>
        <w:insideH w:val="single" w:sz="2" w:space="0" w:color="F1FF34" w:themeColor="accent4" w:themeTint="99"/>
        <w:insideV w:val="single" w:sz="2" w:space="0" w:color="F1FF34" w:themeColor="accent4" w:themeTint="99"/>
      </w:tblBorders>
    </w:tblPr>
    <w:tblStylePr w:type="firstRow">
      <w:rPr>
        <w:b/>
        <w:bCs/>
      </w:rPr>
      <w:tblPr/>
      <w:tcPr>
        <w:tcBorders>
          <w:top w:val="nil"/>
          <w:bottom w:val="single" w:sz="12" w:space="0" w:color="F1FF34" w:themeColor="accent4" w:themeTint="99"/>
          <w:insideH w:val="nil"/>
          <w:insideV w:val="nil"/>
        </w:tcBorders>
        <w:shd w:val="clear" w:color="auto" w:fill="FFFFFF" w:themeFill="background1"/>
      </w:tcPr>
    </w:tblStylePr>
    <w:tblStylePr w:type="lastRow">
      <w:rPr>
        <w:b/>
        <w:bCs/>
      </w:rPr>
      <w:tblPr/>
      <w:tcPr>
        <w:tcBorders>
          <w:top w:val="double" w:sz="2" w:space="0" w:color="F1FF3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GridTable2-Accent5">
    <w:name w:val="Grid Table 2 Accent 5"/>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B9BABB" w:themeColor="accent5" w:themeTint="99"/>
        <w:bottom w:val="single" w:sz="2" w:space="0" w:color="B9BABB" w:themeColor="accent5" w:themeTint="99"/>
        <w:insideH w:val="single" w:sz="2" w:space="0" w:color="B9BABB" w:themeColor="accent5" w:themeTint="99"/>
        <w:insideV w:val="single" w:sz="2" w:space="0" w:color="B9BABB" w:themeColor="accent5" w:themeTint="99"/>
      </w:tblBorders>
    </w:tblPr>
    <w:tblStylePr w:type="firstRow">
      <w:rPr>
        <w:b/>
        <w:bCs/>
      </w:rPr>
      <w:tblPr/>
      <w:tcPr>
        <w:tcBorders>
          <w:top w:val="nil"/>
          <w:bottom w:val="single" w:sz="12" w:space="0" w:color="B9BABB" w:themeColor="accent5" w:themeTint="99"/>
          <w:insideH w:val="nil"/>
          <w:insideV w:val="nil"/>
        </w:tcBorders>
        <w:shd w:val="clear" w:color="auto" w:fill="FFFFFF" w:themeFill="background1"/>
      </w:tcPr>
    </w:tblStylePr>
    <w:tblStylePr w:type="lastRow">
      <w:rPr>
        <w:b/>
        <w:bCs/>
      </w:rPr>
      <w:tblPr/>
      <w:tcPr>
        <w:tcBorders>
          <w:top w:val="double" w:sz="2" w:space="0" w:color="B9B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GridTable2-Accent6">
    <w:name w:val="Grid Table 2 Accent 6"/>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2" w:space="0" w:color="8A8C8F" w:themeColor="accent6" w:themeTint="99"/>
        <w:bottom w:val="single" w:sz="2" w:space="0" w:color="8A8C8F" w:themeColor="accent6" w:themeTint="99"/>
        <w:insideH w:val="single" w:sz="2" w:space="0" w:color="8A8C8F" w:themeColor="accent6" w:themeTint="99"/>
        <w:insideV w:val="single" w:sz="2" w:space="0" w:color="8A8C8F" w:themeColor="accent6" w:themeTint="99"/>
      </w:tblBorders>
    </w:tblPr>
    <w:tblStylePr w:type="firstRow">
      <w:rPr>
        <w:b/>
        <w:bCs/>
      </w:rPr>
      <w:tblPr/>
      <w:tcPr>
        <w:tcBorders>
          <w:top w:val="nil"/>
          <w:bottom w:val="single" w:sz="12" w:space="0" w:color="8A8C8F" w:themeColor="accent6" w:themeTint="99"/>
          <w:insideH w:val="nil"/>
          <w:insideV w:val="nil"/>
        </w:tcBorders>
        <w:shd w:val="clear" w:color="auto" w:fill="FFFFFF" w:themeFill="background1"/>
      </w:tcPr>
    </w:tblStylePr>
    <w:tblStylePr w:type="lastRow">
      <w:rPr>
        <w:b/>
        <w:bCs/>
      </w:rPr>
      <w:tblPr/>
      <w:tcPr>
        <w:tcBorders>
          <w:top w:val="double" w:sz="2" w:space="0" w:color="8A8C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GridTable3">
    <w:name w:val="Grid Table 3"/>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8A8C8F" w:themeColor="text1" w:themeTint="99"/>
        <w:left w:val="single" w:sz="4" w:space="0" w:color="8A8C8F" w:themeColor="text1" w:themeTint="99"/>
        <w:bottom w:val="single" w:sz="4" w:space="0" w:color="8A8C8F" w:themeColor="text1" w:themeTint="99"/>
        <w:right w:val="single" w:sz="4" w:space="0" w:color="8A8C8F" w:themeColor="text1" w:themeTint="99"/>
        <w:insideH w:val="single" w:sz="4" w:space="0" w:color="8A8C8F" w:themeColor="text1" w:themeTint="99"/>
        <w:insideV w:val="single" w:sz="4" w:space="0" w:color="8A8C8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A" w:themeFill="text1" w:themeFillTint="33"/>
      </w:tcPr>
    </w:tblStylePr>
    <w:tblStylePr w:type="band1Horz">
      <w:tblPr/>
      <w:tcPr>
        <w:shd w:val="clear" w:color="auto" w:fill="D8D8DA" w:themeFill="text1" w:themeFillTint="33"/>
      </w:tcPr>
    </w:tblStylePr>
    <w:tblStylePr w:type="neCell">
      <w:tblPr/>
      <w:tcPr>
        <w:tcBorders>
          <w:bottom w:val="single" w:sz="4" w:space="0" w:color="8A8C8F" w:themeColor="text1" w:themeTint="99"/>
        </w:tcBorders>
      </w:tcPr>
    </w:tblStylePr>
    <w:tblStylePr w:type="nwCell">
      <w:tblPr/>
      <w:tcPr>
        <w:tcBorders>
          <w:bottom w:val="single" w:sz="4" w:space="0" w:color="8A8C8F" w:themeColor="text1" w:themeTint="99"/>
        </w:tcBorders>
      </w:tcPr>
    </w:tblStylePr>
    <w:tblStylePr w:type="seCell">
      <w:tblPr/>
      <w:tcPr>
        <w:tcBorders>
          <w:top w:val="single" w:sz="4" w:space="0" w:color="8A8C8F" w:themeColor="text1" w:themeTint="99"/>
        </w:tcBorders>
      </w:tcPr>
    </w:tblStylePr>
    <w:tblStylePr w:type="swCell">
      <w:tblPr/>
      <w:tcPr>
        <w:tcBorders>
          <w:top w:val="single" w:sz="4" w:space="0" w:color="8A8C8F" w:themeColor="text1" w:themeTint="99"/>
        </w:tcBorders>
      </w:tcPr>
    </w:tblStylePr>
  </w:style>
  <w:style w:type="table" w:styleId="GridTable3-Accent1">
    <w:name w:val="Grid Table 3 Accent 1"/>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E6586F" w:themeColor="accent1" w:themeTint="99"/>
        <w:left w:val="single" w:sz="4" w:space="0" w:color="E6586F" w:themeColor="accent1" w:themeTint="99"/>
        <w:bottom w:val="single" w:sz="4" w:space="0" w:color="E6586F" w:themeColor="accent1" w:themeTint="99"/>
        <w:right w:val="single" w:sz="4" w:space="0" w:color="E6586F" w:themeColor="accent1" w:themeTint="99"/>
        <w:insideH w:val="single" w:sz="4" w:space="0" w:color="E6586F" w:themeColor="accent1" w:themeTint="99"/>
        <w:insideV w:val="single" w:sz="4" w:space="0" w:color="E6586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7CF" w:themeFill="accent1" w:themeFillTint="33"/>
      </w:tcPr>
    </w:tblStylePr>
    <w:tblStylePr w:type="band1Horz">
      <w:tblPr/>
      <w:tcPr>
        <w:shd w:val="clear" w:color="auto" w:fill="F6C7CF" w:themeFill="accent1" w:themeFillTint="33"/>
      </w:tcPr>
    </w:tblStylePr>
    <w:tblStylePr w:type="neCell">
      <w:tblPr/>
      <w:tcPr>
        <w:tcBorders>
          <w:bottom w:val="single" w:sz="4" w:space="0" w:color="E6586F" w:themeColor="accent1" w:themeTint="99"/>
        </w:tcBorders>
      </w:tcPr>
    </w:tblStylePr>
    <w:tblStylePr w:type="nwCell">
      <w:tblPr/>
      <w:tcPr>
        <w:tcBorders>
          <w:bottom w:val="single" w:sz="4" w:space="0" w:color="E6586F" w:themeColor="accent1" w:themeTint="99"/>
        </w:tcBorders>
      </w:tcPr>
    </w:tblStylePr>
    <w:tblStylePr w:type="seCell">
      <w:tblPr/>
      <w:tcPr>
        <w:tcBorders>
          <w:top w:val="single" w:sz="4" w:space="0" w:color="E6586F" w:themeColor="accent1" w:themeTint="99"/>
        </w:tcBorders>
      </w:tcPr>
    </w:tblStylePr>
    <w:tblStylePr w:type="swCell">
      <w:tblPr/>
      <w:tcPr>
        <w:tcBorders>
          <w:top w:val="single" w:sz="4" w:space="0" w:color="E6586F" w:themeColor="accent1" w:themeTint="99"/>
        </w:tcBorders>
      </w:tcPr>
    </w:tblStylePr>
  </w:style>
  <w:style w:type="table" w:styleId="GridTable3-Accent2">
    <w:name w:val="Grid Table 3 Accent 2"/>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FFDA5A" w:themeColor="accent2" w:themeTint="99"/>
        <w:left w:val="single" w:sz="4" w:space="0" w:color="FFDA5A" w:themeColor="accent2" w:themeTint="99"/>
        <w:bottom w:val="single" w:sz="4" w:space="0" w:color="FFDA5A" w:themeColor="accent2" w:themeTint="99"/>
        <w:right w:val="single" w:sz="4" w:space="0" w:color="FFDA5A" w:themeColor="accent2" w:themeTint="99"/>
        <w:insideH w:val="single" w:sz="4" w:space="0" w:color="FFDA5A" w:themeColor="accent2" w:themeTint="99"/>
        <w:insideV w:val="single" w:sz="4" w:space="0" w:color="FFDA5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8" w:themeFill="accent2" w:themeFillTint="33"/>
      </w:tcPr>
    </w:tblStylePr>
    <w:tblStylePr w:type="band1Horz">
      <w:tblPr/>
      <w:tcPr>
        <w:shd w:val="clear" w:color="auto" w:fill="FFF2C8" w:themeFill="accent2" w:themeFillTint="33"/>
      </w:tcPr>
    </w:tblStylePr>
    <w:tblStylePr w:type="neCell">
      <w:tblPr/>
      <w:tcPr>
        <w:tcBorders>
          <w:bottom w:val="single" w:sz="4" w:space="0" w:color="FFDA5A" w:themeColor="accent2" w:themeTint="99"/>
        </w:tcBorders>
      </w:tcPr>
    </w:tblStylePr>
    <w:tblStylePr w:type="nwCell">
      <w:tblPr/>
      <w:tcPr>
        <w:tcBorders>
          <w:bottom w:val="single" w:sz="4" w:space="0" w:color="FFDA5A" w:themeColor="accent2" w:themeTint="99"/>
        </w:tcBorders>
      </w:tcPr>
    </w:tblStylePr>
    <w:tblStylePr w:type="seCell">
      <w:tblPr/>
      <w:tcPr>
        <w:tcBorders>
          <w:top w:val="single" w:sz="4" w:space="0" w:color="FFDA5A" w:themeColor="accent2" w:themeTint="99"/>
        </w:tcBorders>
      </w:tcPr>
    </w:tblStylePr>
    <w:tblStylePr w:type="swCell">
      <w:tblPr/>
      <w:tcPr>
        <w:tcBorders>
          <w:top w:val="single" w:sz="4" w:space="0" w:color="FFDA5A" w:themeColor="accent2" w:themeTint="99"/>
        </w:tcBorders>
      </w:tcPr>
    </w:tblStylePr>
  </w:style>
  <w:style w:type="table" w:styleId="GridTable3-Accent3">
    <w:name w:val="Grid Table 3 Accent 3"/>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A3AAD3" w:themeColor="accent3" w:themeTint="99"/>
        <w:left w:val="single" w:sz="4" w:space="0" w:color="A3AAD3" w:themeColor="accent3" w:themeTint="99"/>
        <w:bottom w:val="single" w:sz="4" w:space="0" w:color="A3AAD3" w:themeColor="accent3" w:themeTint="99"/>
        <w:right w:val="single" w:sz="4" w:space="0" w:color="A3AAD3" w:themeColor="accent3" w:themeTint="99"/>
        <w:insideH w:val="single" w:sz="4" w:space="0" w:color="A3AAD3" w:themeColor="accent3" w:themeTint="99"/>
        <w:insideV w:val="single" w:sz="4" w:space="0" w:color="A3AA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2F0" w:themeFill="accent3" w:themeFillTint="33"/>
      </w:tcPr>
    </w:tblStylePr>
    <w:tblStylePr w:type="band1Horz">
      <w:tblPr/>
      <w:tcPr>
        <w:shd w:val="clear" w:color="auto" w:fill="E0E2F0" w:themeFill="accent3" w:themeFillTint="33"/>
      </w:tcPr>
    </w:tblStylePr>
    <w:tblStylePr w:type="neCell">
      <w:tblPr/>
      <w:tcPr>
        <w:tcBorders>
          <w:bottom w:val="single" w:sz="4" w:space="0" w:color="A3AAD3" w:themeColor="accent3" w:themeTint="99"/>
        </w:tcBorders>
      </w:tcPr>
    </w:tblStylePr>
    <w:tblStylePr w:type="nwCell">
      <w:tblPr/>
      <w:tcPr>
        <w:tcBorders>
          <w:bottom w:val="single" w:sz="4" w:space="0" w:color="A3AAD3" w:themeColor="accent3" w:themeTint="99"/>
        </w:tcBorders>
      </w:tcPr>
    </w:tblStylePr>
    <w:tblStylePr w:type="seCell">
      <w:tblPr/>
      <w:tcPr>
        <w:tcBorders>
          <w:top w:val="single" w:sz="4" w:space="0" w:color="A3AAD3" w:themeColor="accent3" w:themeTint="99"/>
        </w:tcBorders>
      </w:tcPr>
    </w:tblStylePr>
    <w:tblStylePr w:type="swCell">
      <w:tblPr/>
      <w:tcPr>
        <w:tcBorders>
          <w:top w:val="single" w:sz="4" w:space="0" w:color="A3AAD3" w:themeColor="accent3" w:themeTint="99"/>
        </w:tcBorders>
      </w:tcPr>
    </w:tblStylePr>
  </w:style>
  <w:style w:type="table" w:styleId="GridTable3-Accent4">
    <w:name w:val="Grid Table 3 Accent 4"/>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bottom w:val="single" w:sz="4" w:space="0" w:color="F1FF34" w:themeColor="accent4" w:themeTint="99"/>
        </w:tcBorders>
      </w:tcPr>
    </w:tblStylePr>
    <w:tblStylePr w:type="nwCell">
      <w:tblPr/>
      <w:tcPr>
        <w:tcBorders>
          <w:bottom w:val="single" w:sz="4" w:space="0" w:color="F1FF34" w:themeColor="accent4" w:themeTint="99"/>
        </w:tcBorders>
      </w:tcPr>
    </w:tblStylePr>
    <w:tblStylePr w:type="seCell">
      <w:tblPr/>
      <w:tcPr>
        <w:tcBorders>
          <w:top w:val="single" w:sz="4" w:space="0" w:color="F1FF34" w:themeColor="accent4" w:themeTint="99"/>
        </w:tcBorders>
      </w:tcPr>
    </w:tblStylePr>
    <w:tblStylePr w:type="swCell">
      <w:tblPr/>
      <w:tcPr>
        <w:tcBorders>
          <w:top w:val="single" w:sz="4" w:space="0" w:color="F1FF34" w:themeColor="accent4" w:themeTint="99"/>
        </w:tcBorders>
      </w:tcPr>
    </w:tblStylePr>
  </w:style>
  <w:style w:type="table" w:styleId="GridTable3-Accent5">
    <w:name w:val="Grid Table 3 Accent 5"/>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B9BABB" w:themeColor="accent5" w:themeTint="99"/>
        <w:left w:val="single" w:sz="4" w:space="0" w:color="B9BABB" w:themeColor="accent5" w:themeTint="99"/>
        <w:bottom w:val="single" w:sz="4" w:space="0" w:color="B9BABB" w:themeColor="accent5" w:themeTint="99"/>
        <w:right w:val="single" w:sz="4" w:space="0" w:color="B9BABB" w:themeColor="accent5" w:themeTint="99"/>
        <w:insideH w:val="single" w:sz="4" w:space="0" w:color="B9BABB" w:themeColor="accent5" w:themeTint="99"/>
        <w:insideV w:val="single" w:sz="4" w:space="0" w:color="B9B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8E8" w:themeFill="accent5" w:themeFillTint="33"/>
      </w:tcPr>
    </w:tblStylePr>
    <w:tblStylePr w:type="band1Horz">
      <w:tblPr/>
      <w:tcPr>
        <w:shd w:val="clear" w:color="auto" w:fill="E7E8E8" w:themeFill="accent5" w:themeFillTint="33"/>
      </w:tcPr>
    </w:tblStylePr>
    <w:tblStylePr w:type="neCell">
      <w:tblPr/>
      <w:tcPr>
        <w:tcBorders>
          <w:bottom w:val="single" w:sz="4" w:space="0" w:color="B9BABB" w:themeColor="accent5" w:themeTint="99"/>
        </w:tcBorders>
      </w:tcPr>
    </w:tblStylePr>
    <w:tblStylePr w:type="nwCell">
      <w:tblPr/>
      <w:tcPr>
        <w:tcBorders>
          <w:bottom w:val="single" w:sz="4" w:space="0" w:color="B9BABB" w:themeColor="accent5" w:themeTint="99"/>
        </w:tcBorders>
      </w:tcPr>
    </w:tblStylePr>
    <w:tblStylePr w:type="seCell">
      <w:tblPr/>
      <w:tcPr>
        <w:tcBorders>
          <w:top w:val="single" w:sz="4" w:space="0" w:color="B9BABB" w:themeColor="accent5" w:themeTint="99"/>
        </w:tcBorders>
      </w:tcPr>
    </w:tblStylePr>
    <w:tblStylePr w:type="swCell">
      <w:tblPr/>
      <w:tcPr>
        <w:tcBorders>
          <w:top w:val="single" w:sz="4" w:space="0" w:color="B9BABB" w:themeColor="accent5" w:themeTint="99"/>
        </w:tcBorders>
      </w:tcPr>
    </w:tblStylePr>
  </w:style>
  <w:style w:type="table" w:styleId="GridTable3-Accent6">
    <w:name w:val="Grid Table 3 Accent 6"/>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8A8C8F" w:themeColor="accent6" w:themeTint="99"/>
        <w:left w:val="single" w:sz="4" w:space="0" w:color="8A8C8F" w:themeColor="accent6" w:themeTint="99"/>
        <w:bottom w:val="single" w:sz="4" w:space="0" w:color="8A8C8F" w:themeColor="accent6" w:themeTint="99"/>
        <w:right w:val="single" w:sz="4" w:space="0" w:color="8A8C8F" w:themeColor="accent6" w:themeTint="99"/>
        <w:insideH w:val="single" w:sz="4" w:space="0" w:color="8A8C8F" w:themeColor="accent6" w:themeTint="99"/>
        <w:insideV w:val="single" w:sz="4" w:space="0" w:color="8A8C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A" w:themeFill="accent6" w:themeFillTint="33"/>
      </w:tcPr>
    </w:tblStylePr>
    <w:tblStylePr w:type="band1Horz">
      <w:tblPr/>
      <w:tcPr>
        <w:shd w:val="clear" w:color="auto" w:fill="D8D8DA" w:themeFill="accent6" w:themeFillTint="33"/>
      </w:tcPr>
    </w:tblStylePr>
    <w:tblStylePr w:type="neCell">
      <w:tblPr/>
      <w:tcPr>
        <w:tcBorders>
          <w:bottom w:val="single" w:sz="4" w:space="0" w:color="8A8C8F" w:themeColor="accent6" w:themeTint="99"/>
        </w:tcBorders>
      </w:tcPr>
    </w:tblStylePr>
    <w:tblStylePr w:type="nwCell">
      <w:tblPr/>
      <w:tcPr>
        <w:tcBorders>
          <w:bottom w:val="single" w:sz="4" w:space="0" w:color="8A8C8F" w:themeColor="accent6" w:themeTint="99"/>
        </w:tcBorders>
      </w:tcPr>
    </w:tblStylePr>
    <w:tblStylePr w:type="seCell">
      <w:tblPr/>
      <w:tcPr>
        <w:tcBorders>
          <w:top w:val="single" w:sz="4" w:space="0" w:color="8A8C8F" w:themeColor="accent6" w:themeTint="99"/>
        </w:tcBorders>
      </w:tcPr>
    </w:tblStylePr>
    <w:tblStylePr w:type="swCell">
      <w:tblPr/>
      <w:tcPr>
        <w:tcBorders>
          <w:top w:val="single" w:sz="4" w:space="0" w:color="8A8C8F" w:themeColor="accent6" w:themeTint="99"/>
        </w:tcBorders>
      </w:tcPr>
    </w:tblStylePr>
  </w:style>
  <w:style w:type="table" w:styleId="GridTable4">
    <w:name w:val="Grid Table 4"/>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8A8C8F" w:themeColor="text1" w:themeTint="99"/>
        <w:left w:val="single" w:sz="4" w:space="0" w:color="8A8C8F" w:themeColor="text1" w:themeTint="99"/>
        <w:bottom w:val="single" w:sz="4" w:space="0" w:color="8A8C8F" w:themeColor="text1" w:themeTint="99"/>
        <w:right w:val="single" w:sz="4" w:space="0" w:color="8A8C8F" w:themeColor="text1" w:themeTint="99"/>
        <w:insideH w:val="single" w:sz="4" w:space="0" w:color="8A8C8F" w:themeColor="text1" w:themeTint="99"/>
        <w:insideV w:val="single" w:sz="4" w:space="0" w:color="8A8C8F" w:themeColor="text1" w:themeTint="99"/>
      </w:tblBorders>
    </w:tblPr>
    <w:tblStylePr w:type="firstRow">
      <w:rPr>
        <w:b/>
        <w:bCs/>
        <w:color w:val="FFFFFF" w:themeColor="background1"/>
      </w:rPr>
      <w:tblPr/>
      <w:tcPr>
        <w:tcBorders>
          <w:top w:val="single" w:sz="4" w:space="0" w:color="404143" w:themeColor="text1"/>
          <w:left w:val="single" w:sz="4" w:space="0" w:color="404143" w:themeColor="text1"/>
          <w:bottom w:val="single" w:sz="4" w:space="0" w:color="404143" w:themeColor="text1"/>
          <w:right w:val="single" w:sz="4" w:space="0" w:color="404143" w:themeColor="text1"/>
          <w:insideH w:val="nil"/>
          <w:insideV w:val="nil"/>
        </w:tcBorders>
        <w:shd w:val="clear" w:color="auto" w:fill="404143" w:themeFill="text1"/>
      </w:tcPr>
    </w:tblStylePr>
    <w:tblStylePr w:type="lastRow">
      <w:rPr>
        <w:b/>
        <w:bCs/>
      </w:rPr>
      <w:tblPr/>
      <w:tcPr>
        <w:tcBorders>
          <w:top w:val="double" w:sz="4" w:space="0" w:color="404143" w:themeColor="text1"/>
        </w:tcBorders>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GridTable4-Accent1">
    <w:name w:val="Grid Table 4 Accent 1"/>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E6586F" w:themeColor="accent1" w:themeTint="99"/>
        <w:left w:val="single" w:sz="4" w:space="0" w:color="E6586F" w:themeColor="accent1" w:themeTint="99"/>
        <w:bottom w:val="single" w:sz="4" w:space="0" w:color="E6586F" w:themeColor="accent1" w:themeTint="99"/>
        <w:right w:val="single" w:sz="4" w:space="0" w:color="E6586F" w:themeColor="accent1" w:themeTint="99"/>
        <w:insideH w:val="single" w:sz="4" w:space="0" w:color="E6586F" w:themeColor="accent1" w:themeTint="99"/>
        <w:insideV w:val="single" w:sz="4" w:space="0" w:color="E6586F" w:themeColor="accent1" w:themeTint="99"/>
      </w:tblBorders>
    </w:tblPr>
    <w:tblStylePr w:type="firstRow">
      <w:rPr>
        <w:b/>
        <w:bCs/>
        <w:color w:val="FFFFFF" w:themeColor="background1"/>
      </w:rPr>
      <w:tblPr/>
      <w:tcPr>
        <w:tcBorders>
          <w:top w:val="single" w:sz="4" w:space="0" w:color="A71930" w:themeColor="accent1"/>
          <w:left w:val="single" w:sz="4" w:space="0" w:color="A71930" w:themeColor="accent1"/>
          <w:bottom w:val="single" w:sz="4" w:space="0" w:color="A71930" w:themeColor="accent1"/>
          <w:right w:val="single" w:sz="4" w:space="0" w:color="A71930" w:themeColor="accent1"/>
          <w:insideH w:val="nil"/>
          <w:insideV w:val="nil"/>
        </w:tcBorders>
        <w:shd w:val="clear" w:color="auto" w:fill="A71930" w:themeFill="accent1"/>
      </w:tcPr>
    </w:tblStylePr>
    <w:tblStylePr w:type="lastRow">
      <w:rPr>
        <w:b/>
        <w:bCs/>
      </w:rPr>
      <w:tblPr/>
      <w:tcPr>
        <w:tcBorders>
          <w:top w:val="double" w:sz="4" w:space="0" w:color="A71930" w:themeColor="accent1"/>
        </w:tcBorders>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GridTable4-Accent2">
    <w:name w:val="Grid Table 4 Accent 2"/>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FFDA5A" w:themeColor="accent2" w:themeTint="99"/>
        <w:left w:val="single" w:sz="4" w:space="0" w:color="FFDA5A" w:themeColor="accent2" w:themeTint="99"/>
        <w:bottom w:val="single" w:sz="4" w:space="0" w:color="FFDA5A" w:themeColor="accent2" w:themeTint="99"/>
        <w:right w:val="single" w:sz="4" w:space="0" w:color="FFDA5A" w:themeColor="accent2" w:themeTint="99"/>
        <w:insideH w:val="single" w:sz="4" w:space="0" w:color="FFDA5A" w:themeColor="accent2" w:themeTint="99"/>
        <w:insideV w:val="single" w:sz="4" w:space="0" w:color="FFDA5A" w:themeColor="accent2" w:themeTint="99"/>
      </w:tblBorders>
    </w:tblPr>
    <w:tblStylePr w:type="firstRow">
      <w:rPr>
        <w:b/>
        <w:bCs/>
        <w:color w:val="FFFFFF" w:themeColor="background1"/>
      </w:rPr>
      <w:tblPr/>
      <w:tcPr>
        <w:tcBorders>
          <w:top w:val="single" w:sz="4" w:space="0" w:color="EBB700" w:themeColor="accent2"/>
          <w:left w:val="single" w:sz="4" w:space="0" w:color="EBB700" w:themeColor="accent2"/>
          <w:bottom w:val="single" w:sz="4" w:space="0" w:color="EBB700" w:themeColor="accent2"/>
          <w:right w:val="single" w:sz="4" w:space="0" w:color="EBB700" w:themeColor="accent2"/>
          <w:insideH w:val="nil"/>
          <w:insideV w:val="nil"/>
        </w:tcBorders>
        <w:shd w:val="clear" w:color="auto" w:fill="EBB700" w:themeFill="accent2"/>
      </w:tcPr>
    </w:tblStylePr>
    <w:tblStylePr w:type="lastRow">
      <w:rPr>
        <w:b/>
        <w:bCs/>
      </w:rPr>
      <w:tblPr/>
      <w:tcPr>
        <w:tcBorders>
          <w:top w:val="double" w:sz="4" w:space="0" w:color="EBB700" w:themeColor="accent2"/>
        </w:tcBorders>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GridTable4-Accent3">
    <w:name w:val="Grid Table 4 Accent 3"/>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A3AAD3" w:themeColor="accent3" w:themeTint="99"/>
        <w:left w:val="single" w:sz="4" w:space="0" w:color="A3AAD3" w:themeColor="accent3" w:themeTint="99"/>
        <w:bottom w:val="single" w:sz="4" w:space="0" w:color="A3AAD3" w:themeColor="accent3" w:themeTint="99"/>
        <w:right w:val="single" w:sz="4" w:space="0" w:color="A3AAD3" w:themeColor="accent3" w:themeTint="99"/>
        <w:insideH w:val="single" w:sz="4" w:space="0" w:color="A3AAD3" w:themeColor="accent3" w:themeTint="99"/>
        <w:insideV w:val="single" w:sz="4" w:space="0" w:color="A3AAD3" w:themeColor="accent3" w:themeTint="99"/>
      </w:tblBorders>
    </w:tblPr>
    <w:tblStylePr w:type="firstRow">
      <w:rPr>
        <w:b/>
        <w:bCs/>
        <w:color w:val="FFFFFF" w:themeColor="background1"/>
      </w:rPr>
      <w:tblPr/>
      <w:tcPr>
        <w:tcBorders>
          <w:top w:val="single" w:sz="4" w:space="0" w:color="6773B6" w:themeColor="accent3"/>
          <w:left w:val="single" w:sz="4" w:space="0" w:color="6773B6" w:themeColor="accent3"/>
          <w:bottom w:val="single" w:sz="4" w:space="0" w:color="6773B6" w:themeColor="accent3"/>
          <w:right w:val="single" w:sz="4" w:space="0" w:color="6773B6" w:themeColor="accent3"/>
          <w:insideH w:val="nil"/>
          <w:insideV w:val="nil"/>
        </w:tcBorders>
        <w:shd w:val="clear" w:color="auto" w:fill="6773B6" w:themeFill="accent3"/>
      </w:tcPr>
    </w:tblStylePr>
    <w:tblStylePr w:type="lastRow">
      <w:rPr>
        <w:b/>
        <w:bCs/>
      </w:rPr>
      <w:tblPr/>
      <w:tcPr>
        <w:tcBorders>
          <w:top w:val="double" w:sz="4" w:space="0" w:color="6773B6" w:themeColor="accent3"/>
        </w:tcBorders>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GridTable4-Accent4">
    <w:name w:val="Grid Table 4 Accent 4"/>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color w:val="FFFFFF" w:themeColor="background1"/>
      </w:rPr>
      <w:tblPr/>
      <w:tcPr>
        <w:tcBorders>
          <w:top w:val="single" w:sz="4" w:space="0" w:color="A2AD00" w:themeColor="accent4"/>
          <w:left w:val="single" w:sz="4" w:space="0" w:color="A2AD00" w:themeColor="accent4"/>
          <w:bottom w:val="single" w:sz="4" w:space="0" w:color="A2AD00" w:themeColor="accent4"/>
          <w:right w:val="single" w:sz="4" w:space="0" w:color="A2AD00" w:themeColor="accent4"/>
          <w:insideH w:val="nil"/>
          <w:insideV w:val="nil"/>
        </w:tcBorders>
        <w:shd w:val="clear" w:color="auto" w:fill="A2AD00" w:themeFill="accent4"/>
      </w:tcPr>
    </w:tblStylePr>
    <w:tblStylePr w:type="lastRow">
      <w:rPr>
        <w:b/>
        <w:bCs/>
      </w:rPr>
      <w:tblPr/>
      <w:tcPr>
        <w:tcBorders>
          <w:top w:val="double" w:sz="4" w:space="0" w:color="A2AD00" w:themeColor="accent4"/>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GridTable4-Accent5">
    <w:name w:val="Grid Table 4 Accent 5"/>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B9BABB" w:themeColor="accent5" w:themeTint="99"/>
        <w:left w:val="single" w:sz="4" w:space="0" w:color="B9BABB" w:themeColor="accent5" w:themeTint="99"/>
        <w:bottom w:val="single" w:sz="4" w:space="0" w:color="B9BABB" w:themeColor="accent5" w:themeTint="99"/>
        <w:right w:val="single" w:sz="4" w:space="0" w:color="B9BABB" w:themeColor="accent5" w:themeTint="99"/>
        <w:insideH w:val="single" w:sz="4" w:space="0" w:color="B9BABB" w:themeColor="accent5" w:themeTint="99"/>
        <w:insideV w:val="single" w:sz="4" w:space="0" w:color="B9BABB" w:themeColor="accent5" w:themeTint="99"/>
      </w:tblBorders>
    </w:tblPr>
    <w:tblStylePr w:type="firstRow">
      <w:rPr>
        <w:b/>
        <w:bCs/>
        <w:color w:val="FFFFFF" w:themeColor="background1"/>
      </w:rPr>
      <w:tblPr/>
      <w:tcPr>
        <w:tcBorders>
          <w:top w:val="single" w:sz="4" w:space="0" w:color="8B8D8E" w:themeColor="accent5"/>
          <w:left w:val="single" w:sz="4" w:space="0" w:color="8B8D8E" w:themeColor="accent5"/>
          <w:bottom w:val="single" w:sz="4" w:space="0" w:color="8B8D8E" w:themeColor="accent5"/>
          <w:right w:val="single" w:sz="4" w:space="0" w:color="8B8D8E" w:themeColor="accent5"/>
          <w:insideH w:val="nil"/>
          <w:insideV w:val="nil"/>
        </w:tcBorders>
        <w:shd w:val="clear" w:color="auto" w:fill="8B8D8E" w:themeFill="accent5"/>
      </w:tcPr>
    </w:tblStylePr>
    <w:tblStylePr w:type="lastRow">
      <w:rPr>
        <w:b/>
        <w:bCs/>
      </w:rPr>
      <w:tblPr/>
      <w:tcPr>
        <w:tcBorders>
          <w:top w:val="double" w:sz="4" w:space="0" w:color="8B8D8E" w:themeColor="accent5"/>
        </w:tcBorders>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GridTable4-Accent6">
    <w:name w:val="Grid Table 4 Accent 6"/>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8A8C8F" w:themeColor="accent6" w:themeTint="99"/>
        <w:left w:val="single" w:sz="4" w:space="0" w:color="8A8C8F" w:themeColor="accent6" w:themeTint="99"/>
        <w:bottom w:val="single" w:sz="4" w:space="0" w:color="8A8C8F" w:themeColor="accent6" w:themeTint="99"/>
        <w:right w:val="single" w:sz="4" w:space="0" w:color="8A8C8F" w:themeColor="accent6" w:themeTint="99"/>
        <w:insideH w:val="single" w:sz="4" w:space="0" w:color="8A8C8F" w:themeColor="accent6" w:themeTint="99"/>
        <w:insideV w:val="single" w:sz="4" w:space="0" w:color="8A8C8F" w:themeColor="accent6" w:themeTint="99"/>
      </w:tblBorders>
    </w:tblPr>
    <w:tblStylePr w:type="firstRow">
      <w:rPr>
        <w:b/>
        <w:bCs/>
        <w:color w:val="FFFFFF" w:themeColor="background1"/>
      </w:rPr>
      <w:tblPr/>
      <w:tcPr>
        <w:tcBorders>
          <w:top w:val="single" w:sz="4" w:space="0" w:color="404143" w:themeColor="accent6"/>
          <w:left w:val="single" w:sz="4" w:space="0" w:color="404143" w:themeColor="accent6"/>
          <w:bottom w:val="single" w:sz="4" w:space="0" w:color="404143" w:themeColor="accent6"/>
          <w:right w:val="single" w:sz="4" w:space="0" w:color="404143" w:themeColor="accent6"/>
          <w:insideH w:val="nil"/>
          <w:insideV w:val="nil"/>
        </w:tcBorders>
        <w:shd w:val="clear" w:color="auto" w:fill="404143" w:themeFill="accent6"/>
      </w:tcPr>
    </w:tblStylePr>
    <w:tblStylePr w:type="lastRow">
      <w:rPr>
        <w:b/>
        <w:bCs/>
      </w:rPr>
      <w:tblPr/>
      <w:tcPr>
        <w:tcBorders>
          <w:top w:val="double" w:sz="4" w:space="0" w:color="404143" w:themeColor="accent6"/>
        </w:tcBorders>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GridTable5Dark">
    <w:name w:val="Grid Table 5 Dark"/>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14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14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14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143" w:themeFill="text1"/>
      </w:tcPr>
    </w:tblStylePr>
    <w:tblStylePr w:type="band1Vert">
      <w:tblPr/>
      <w:tcPr>
        <w:shd w:val="clear" w:color="auto" w:fill="B1B2B5" w:themeFill="text1" w:themeFillTint="66"/>
      </w:tcPr>
    </w:tblStylePr>
    <w:tblStylePr w:type="band1Horz">
      <w:tblPr/>
      <w:tcPr>
        <w:shd w:val="clear" w:color="auto" w:fill="B1B2B5" w:themeFill="text1" w:themeFillTint="66"/>
      </w:tcPr>
    </w:tblStylePr>
  </w:style>
  <w:style w:type="table" w:styleId="GridTable5Dark-Accent1">
    <w:name w:val="Grid Table 5 Dark Accent 1"/>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19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19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19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1930" w:themeFill="accent1"/>
      </w:tcPr>
    </w:tblStylePr>
    <w:tblStylePr w:type="band1Vert">
      <w:tblPr/>
      <w:tcPr>
        <w:shd w:val="clear" w:color="auto" w:fill="EE909F" w:themeFill="accent1" w:themeFillTint="66"/>
      </w:tcPr>
    </w:tblStylePr>
    <w:tblStylePr w:type="band1Horz">
      <w:tblPr/>
      <w:tcPr>
        <w:shd w:val="clear" w:color="auto" w:fill="EE909F" w:themeFill="accent1" w:themeFillTint="66"/>
      </w:tcPr>
    </w:tblStylePr>
  </w:style>
  <w:style w:type="table" w:styleId="GridTable5Dark-Accent2">
    <w:name w:val="Grid Table 5 Dark Accent 2"/>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B7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B7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B7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B700" w:themeFill="accent2"/>
      </w:tcPr>
    </w:tblStylePr>
    <w:tblStylePr w:type="band1Vert">
      <w:tblPr/>
      <w:tcPr>
        <w:shd w:val="clear" w:color="auto" w:fill="FFE691" w:themeFill="accent2" w:themeFillTint="66"/>
      </w:tcPr>
    </w:tblStylePr>
    <w:tblStylePr w:type="band1Horz">
      <w:tblPr/>
      <w:tcPr>
        <w:shd w:val="clear" w:color="auto" w:fill="FFE691" w:themeFill="accent2" w:themeFillTint="66"/>
      </w:tcPr>
    </w:tblStylePr>
  </w:style>
  <w:style w:type="table" w:styleId="GridTable5Dark-Accent3">
    <w:name w:val="Grid Table 5 Dark Accent 3"/>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2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3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3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3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3B6" w:themeFill="accent3"/>
      </w:tcPr>
    </w:tblStylePr>
    <w:tblStylePr w:type="band1Vert">
      <w:tblPr/>
      <w:tcPr>
        <w:shd w:val="clear" w:color="auto" w:fill="C2C6E1" w:themeFill="accent3" w:themeFillTint="66"/>
      </w:tcPr>
    </w:tblStylePr>
    <w:tblStylePr w:type="band1Horz">
      <w:tblPr/>
      <w:tcPr>
        <w:shd w:val="clear" w:color="auto" w:fill="C2C6E1" w:themeFill="accent3" w:themeFillTint="66"/>
      </w:tcPr>
    </w:tblStylePr>
  </w:style>
  <w:style w:type="table" w:styleId="GridTable5Dark-Accent4">
    <w:name w:val="Grid Table 5 Dark Accent 4"/>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B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D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D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D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D00" w:themeFill="accent4"/>
      </w:tcPr>
    </w:tblStylePr>
    <w:tblStylePr w:type="band1Vert">
      <w:tblPr/>
      <w:tcPr>
        <w:shd w:val="clear" w:color="auto" w:fill="F6FF78" w:themeFill="accent4" w:themeFillTint="66"/>
      </w:tcPr>
    </w:tblStylePr>
    <w:tblStylePr w:type="band1Horz">
      <w:tblPr/>
      <w:tcPr>
        <w:shd w:val="clear" w:color="auto" w:fill="F6FF78" w:themeFill="accent4" w:themeFillTint="66"/>
      </w:tcPr>
    </w:tblStylePr>
  </w:style>
  <w:style w:type="table" w:styleId="GridTable5Dark-Accent5">
    <w:name w:val="Grid Table 5 Dark Accent 5"/>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8D8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8D8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8D8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8D8E" w:themeFill="accent5"/>
      </w:tcPr>
    </w:tblStylePr>
    <w:tblStylePr w:type="band1Vert">
      <w:tblPr/>
      <w:tcPr>
        <w:shd w:val="clear" w:color="auto" w:fill="D0D1D1" w:themeFill="accent5" w:themeFillTint="66"/>
      </w:tcPr>
    </w:tblStylePr>
    <w:tblStylePr w:type="band1Horz">
      <w:tblPr/>
      <w:tcPr>
        <w:shd w:val="clear" w:color="auto" w:fill="D0D1D1" w:themeFill="accent5" w:themeFillTint="66"/>
      </w:tcPr>
    </w:tblStylePr>
  </w:style>
  <w:style w:type="table" w:styleId="GridTable5Dark-Accent6">
    <w:name w:val="Grid Table 5 Dark Accent 6"/>
    <w:basedOn w:val="TableNormal"/>
    <w:uiPriority w:val="50"/>
    <w:rsid w:val="00F3012E"/>
    <w:rPr>
      <w:rFonts w:asciiTheme="minorHAnsi"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14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14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14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143" w:themeFill="accent6"/>
      </w:tcPr>
    </w:tblStylePr>
    <w:tblStylePr w:type="band1Vert">
      <w:tblPr/>
      <w:tcPr>
        <w:shd w:val="clear" w:color="auto" w:fill="B1B2B5" w:themeFill="accent6" w:themeFillTint="66"/>
      </w:tcPr>
    </w:tblStylePr>
    <w:tblStylePr w:type="band1Horz">
      <w:tblPr/>
      <w:tcPr>
        <w:shd w:val="clear" w:color="auto" w:fill="B1B2B5" w:themeFill="accent6" w:themeFillTint="66"/>
      </w:tcPr>
    </w:tblStylePr>
  </w:style>
  <w:style w:type="table" w:styleId="GridTable6Colorful">
    <w:name w:val="Grid Table 6 Colorful"/>
    <w:basedOn w:val="TableNormal"/>
    <w:uiPriority w:val="51"/>
    <w:rsid w:val="00F3012E"/>
    <w:rPr>
      <w:rFonts w:asciiTheme="minorHAnsi" w:hAnsiTheme="minorHAnsi" w:cstheme="minorBidi"/>
      <w:color w:val="404143" w:themeColor="text1"/>
      <w:sz w:val="22"/>
      <w:szCs w:val="22"/>
      <w:lang w:eastAsia="zh-CN"/>
    </w:rPr>
    <w:tblPr>
      <w:tblStyleRowBandSize w:val="1"/>
      <w:tblStyleColBandSize w:val="1"/>
      <w:tblBorders>
        <w:top w:val="single" w:sz="4" w:space="0" w:color="8A8C8F" w:themeColor="text1" w:themeTint="99"/>
        <w:left w:val="single" w:sz="4" w:space="0" w:color="8A8C8F" w:themeColor="text1" w:themeTint="99"/>
        <w:bottom w:val="single" w:sz="4" w:space="0" w:color="8A8C8F" w:themeColor="text1" w:themeTint="99"/>
        <w:right w:val="single" w:sz="4" w:space="0" w:color="8A8C8F" w:themeColor="text1" w:themeTint="99"/>
        <w:insideH w:val="single" w:sz="4" w:space="0" w:color="8A8C8F" w:themeColor="text1" w:themeTint="99"/>
        <w:insideV w:val="single" w:sz="4" w:space="0" w:color="8A8C8F" w:themeColor="text1" w:themeTint="99"/>
      </w:tblBorders>
    </w:tblPr>
    <w:tblStylePr w:type="firstRow">
      <w:rPr>
        <w:b/>
        <w:bCs/>
      </w:rPr>
      <w:tblPr/>
      <w:tcPr>
        <w:tcBorders>
          <w:bottom w:val="single" w:sz="12" w:space="0" w:color="8A8C8F" w:themeColor="text1" w:themeTint="99"/>
        </w:tcBorders>
      </w:tcPr>
    </w:tblStylePr>
    <w:tblStylePr w:type="lastRow">
      <w:rPr>
        <w:b/>
        <w:bCs/>
      </w:rPr>
      <w:tblPr/>
      <w:tcPr>
        <w:tcBorders>
          <w:top w:val="double" w:sz="4" w:space="0" w:color="8A8C8F" w:themeColor="text1" w:themeTint="99"/>
        </w:tcBorders>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GridTable6Colorful-Accent1">
    <w:name w:val="Grid Table 6 Colorful Accent 1"/>
    <w:basedOn w:val="TableNormal"/>
    <w:uiPriority w:val="51"/>
    <w:rsid w:val="00F3012E"/>
    <w:rPr>
      <w:rFonts w:asciiTheme="minorHAnsi" w:hAnsiTheme="minorHAnsi" w:cstheme="minorBidi"/>
      <w:color w:val="7C1223" w:themeColor="accent1" w:themeShade="BF"/>
      <w:sz w:val="22"/>
      <w:szCs w:val="22"/>
      <w:lang w:eastAsia="zh-CN"/>
    </w:rPr>
    <w:tblPr>
      <w:tblStyleRowBandSize w:val="1"/>
      <w:tblStyleColBandSize w:val="1"/>
      <w:tblBorders>
        <w:top w:val="single" w:sz="4" w:space="0" w:color="E6586F" w:themeColor="accent1" w:themeTint="99"/>
        <w:left w:val="single" w:sz="4" w:space="0" w:color="E6586F" w:themeColor="accent1" w:themeTint="99"/>
        <w:bottom w:val="single" w:sz="4" w:space="0" w:color="E6586F" w:themeColor="accent1" w:themeTint="99"/>
        <w:right w:val="single" w:sz="4" w:space="0" w:color="E6586F" w:themeColor="accent1" w:themeTint="99"/>
        <w:insideH w:val="single" w:sz="4" w:space="0" w:color="E6586F" w:themeColor="accent1" w:themeTint="99"/>
        <w:insideV w:val="single" w:sz="4" w:space="0" w:color="E6586F" w:themeColor="accent1" w:themeTint="99"/>
      </w:tblBorders>
    </w:tblPr>
    <w:tblStylePr w:type="firstRow">
      <w:rPr>
        <w:b/>
        <w:bCs/>
      </w:rPr>
      <w:tblPr/>
      <w:tcPr>
        <w:tcBorders>
          <w:bottom w:val="single" w:sz="12" w:space="0" w:color="E6586F" w:themeColor="accent1" w:themeTint="99"/>
        </w:tcBorders>
      </w:tcPr>
    </w:tblStylePr>
    <w:tblStylePr w:type="lastRow">
      <w:rPr>
        <w:b/>
        <w:bCs/>
      </w:rPr>
      <w:tblPr/>
      <w:tcPr>
        <w:tcBorders>
          <w:top w:val="double" w:sz="4" w:space="0" w:color="E6586F" w:themeColor="accent1" w:themeTint="99"/>
        </w:tcBorders>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GridTable6Colorful-Accent2">
    <w:name w:val="Grid Table 6 Colorful Accent 2"/>
    <w:basedOn w:val="TableNormal"/>
    <w:uiPriority w:val="51"/>
    <w:rsid w:val="00F3012E"/>
    <w:rPr>
      <w:rFonts w:asciiTheme="minorHAnsi" w:hAnsiTheme="minorHAnsi" w:cstheme="minorBidi"/>
      <w:color w:val="B08800" w:themeColor="accent2" w:themeShade="BF"/>
      <w:sz w:val="22"/>
      <w:szCs w:val="22"/>
      <w:lang w:eastAsia="zh-CN"/>
    </w:rPr>
    <w:tblPr>
      <w:tblStyleRowBandSize w:val="1"/>
      <w:tblStyleColBandSize w:val="1"/>
      <w:tblBorders>
        <w:top w:val="single" w:sz="4" w:space="0" w:color="FFDA5A" w:themeColor="accent2" w:themeTint="99"/>
        <w:left w:val="single" w:sz="4" w:space="0" w:color="FFDA5A" w:themeColor="accent2" w:themeTint="99"/>
        <w:bottom w:val="single" w:sz="4" w:space="0" w:color="FFDA5A" w:themeColor="accent2" w:themeTint="99"/>
        <w:right w:val="single" w:sz="4" w:space="0" w:color="FFDA5A" w:themeColor="accent2" w:themeTint="99"/>
        <w:insideH w:val="single" w:sz="4" w:space="0" w:color="FFDA5A" w:themeColor="accent2" w:themeTint="99"/>
        <w:insideV w:val="single" w:sz="4" w:space="0" w:color="FFDA5A" w:themeColor="accent2" w:themeTint="99"/>
      </w:tblBorders>
    </w:tblPr>
    <w:tblStylePr w:type="firstRow">
      <w:rPr>
        <w:b/>
        <w:bCs/>
      </w:rPr>
      <w:tblPr/>
      <w:tcPr>
        <w:tcBorders>
          <w:bottom w:val="single" w:sz="12" w:space="0" w:color="FFDA5A" w:themeColor="accent2" w:themeTint="99"/>
        </w:tcBorders>
      </w:tcPr>
    </w:tblStylePr>
    <w:tblStylePr w:type="lastRow">
      <w:rPr>
        <w:b/>
        <w:bCs/>
      </w:rPr>
      <w:tblPr/>
      <w:tcPr>
        <w:tcBorders>
          <w:top w:val="double" w:sz="4" w:space="0" w:color="FFDA5A" w:themeColor="accent2" w:themeTint="99"/>
        </w:tcBorders>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GridTable6Colorful-Accent3">
    <w:name w:val="Grid Table 6 Colorful Accent 3"/>
    <w:basedOn w:val="TableNormal"/>
    <w:uiPriority w:val="51"/>
    <w:rsid w:val="00F3012E"/>
    <w:rPr>
      <w:rFonts w:asciiTheme="minorHAnsi" w:hAnsiTheme="minorHAnsi" w:cstheme="minorBidi"/>
      <w:color w:val="455090" w:themeColor="accent3" w:themeShade="BF"/>
      <w:sz w:val="22"/>
      <w:szCs w:val="22"/>
      <w:lang w:eastAsia="zh-CN"/>
    </w:rPr>
    <w:tblPr>
      <w:tblStyleRowBandSize w:val="1"/>
      <w:tblStyleColBandSize w:val="1"/>
      <w:tblBorders>
        <w:top w:val="single" w:sz="4" w:space="0" w:color="A3AAD3" w:themeColor="accent3" w:themeTint="99"/>
        <w:left w:val="single" w:sz="4" w:space="0" w:color="A3AAD3" w:themeColor="accent3" w:themeTint="99"/>
        <w:bottom w:val="single" w:sz="4" w:space="0" w:color="A3AAD3" w:themeColor="accent3" w:themeTint="99"/>
        <w:right w:val="single" w:sz="4" w:space="0" w:color="A3AAD3" w:themeColor="accent3" w:themeTint="99"/>
        <w:insideH w:val="single" w:sz="4" w:space="0" w:color="A3AAD3" w:themeColor="accent3" w:themeTint="99"/>
        <w:insideV w:val="single" w:sz="4" w:space="0" w:color="A3AAD3" w:themeColor="accent3" w:themeTint="99"/>
      </w:tblBorders>
    </w:tblPr>
    <w:tblStylePr w:type="firstRow">
      <w:rPr>
        <w:b/>
        <w:bCs/>
      </w:rPr>
      <w:tblPr/>
      <w:tcPr>
        <w:tcBorders>
          <w:bottom w:val="single" w:sz="12" w:space="0" w:color="A3AAD3" w:themeColor="accent3" w:themeTint="99"/>
        </w:tcBorders>
      </w:tcPr>
    </w:tblStylePr>
    <w:tblStylePr w:type="lastRow">
      <w:rPr>
        <w:b/>
        <w:bCs/>
      </w:rPr>
      <w:tblPr/>
      <w:tcPr>
        <w:tcBorders>
          <w:top w:val="double" w:sz="4" w:space="0" w:color="A3AAD3" w:themeColor="accent3" w:themeTint="99"/>
        </w:tcBorders>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GridTable6Colorful-Accent4">
    <w:name w:val="Grid Table 6 Colorful Accent 4"/>
    <w:basedOn w:val="TableNormal"/>
    <w:uiPriority w:val="51"/>
    <w:rsid w:val="00F3012E"/>
    <w:rPr>
      <w:rFonts w:asciiTheme="minorHAnsi" w:hAnsiTheme="minorHAnsi" w:cstheme="minorBidi"/>
      <w:color w:val="788100" w:themeColor="accent4" w:themeShade="BF"/>
      <w:sz w:val="22"/>
      <w:szCs w:val="22"/>
      <w:lang w:eastAsia="zh-CN"/>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bottom w:val="single" w:sz="12" w:space="0" w:color="F1FF34" w:themeColor="accent4" w:themeTint="99"/>
        </w:tcBorders>
      </w:tcPr>
    </w:tblStylePr>
    <w:tblStylePr w:type="lastRow">
      <w:rPr>
        <w:b/>
        <w:bCs/>
      </w:rPr>
      <w:tblPr/>
      <w:tcPr>
        <w:tcBorders>
          <w:top w:val="doub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GridTable6Colorful-Accent5">
    <w:name w:val="Grid Table 6 Colorful Accent 5"/>
    <w:basedOn w:val="TableNormal"/>
    <w:uiPriority w:val="51"/>
    <w:rsid w:val="00F3012E"/>
    <w:rPr>
      <w:rFonts w:asciiTheme="minorHAnsi" w:hAnsiTheme="minorHAnsi" w:cstheme="minorBidi"/>
      <w:color w:val="67696A" w:themeColor="accent5" w:themeShade="BF"/>
      <w:sz w:val="22"/>
      <w:szCs w:val="22"/>
      <w:lang w:eastAsia="zh-CN"/>
    </w:rPr>
    <w:tblPr>
      <w:tblStyleRowBandSize w:val="1"/>
      <w:tblStyleColBandSize w:val="1"/>
      <w:tblBorders>
        <w:top w:val="single" w:sz="4" w:space="0" w:color="B9BABB" w:themeColor="accent5" w:themeTint="99"/>
        <w:left w:val="single" w:sz="4" w:space="0" w:color="B9BABB" w:themeColor="accent5" w:themeTint="99"/>
        <w:bottom w:val="single" w:sz="4" w:space="0" w:color="B9BABB" w:themeColor="accent5" w:themeTint="99"/>
        <w:right w:val="single" w:sz="4" w:space="0" w:color="B9BABB" w:themeColor="accent5" w:themeTint="99"/>
        <w:insideH w:val="single" w:sz="4" w:space="0" w:color="B9BABB" w:themeColor="accent5" w:themeTint="99"/>
        <w:insideV w:val="single" w:sz="4" w:space="0" w:color="B9BABB" w:themeColor="accent5" w:themeTint="99"/>
      </w:tblBorders>
    </w:tblPr>
    <w:tblStylePr w:type="firstRow">
      <w:rPr>
        <w:b/>
        <w:bCs/>
      </w:rPr>
      <w:tblPr/>
      <w:tcPr>
        <w:tcBorders>
          <w:bottom w:val="single" w:sz="12" w:space="0" w:color="B9BABB" w:themeColor="accent5" w:themeTint="99"/>
        </w:tcBorders>
      </w:tcPr>
    </w:tblStylePr>
    <w:tblStylePr w:type="lastRow">
      <w:rPr>
        <w:b/>
        <w:bCs/>
      </w:rPr>
      <w:tblPr/>
      <w:tcPr>
        <w:tcBorders>
          <w:top w:val="double" w:sz="4" w:space="0" w:color="B9BABB" w:themeColor="accent5" w:themeTint="99"/>
        </w:tcBorders>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GridTable6Colorful-Accent6">
    <w:name w:val="Grid Table 6 Colorful Accent 6"/>
    <w:basedOn w:val="TableNormal"/>
    <w:uiPriority w:val="51"/>
    <w:rsid w:val="00F3012E"/>
    <w:rPr>
      <w:rFonts w:asciiTheme="minorHAnsi" w:hAnsiTheme="minorHAnsi" w:cstheme="minorBidi"/>
      <w:color w:val="303032" w:themeColor="accent6" w:themeShade="BF"/>
      <w:sz w:val="22"/>
      <w:szCs w:val="22"/>
      <w:lang w:eastAsia="zh-CN"/>
    </w:rPr>
    <w:tblPr>
      <w:tblStyleRowBandSize w:val="1"/>
      <w:tblStyleColBandSize w:val="1"/>
      <w:tblBorders>
        <w:top w:val="single" w:sz="4" w:space="0" w:color="8A8C8F" w:themeColor="accent6" w:themeTint="99"/>
        <w:left w:val="single" w:sz="4" w:space="0" w:color="8A8C8F" w:themeColor="accent6" w:themeTint="99"/>
        <w:bottom w:val="single" w:sz="4" w:space="0" w:color="8A8C8F" w:themeColor="accent6" w:themeTint="99"/>
        <w:right w:val="single" w:sz="4" w:space="0" w:color="8A8C8F" w:themeColor="accent6" w:themeTint="99"/>
        <w:insideH w:val="single" w:sz="4" w:space="0" w:color="8A8C8F" w:themeColor="accent6" w:themeTint="99"/>
        <w:insideV w:val="single" w:sz="4" w:space="0" w:color="8A8C8F" w:themeColor="accent6" w:themeTint="99"/>
      </w:tblBorders>
    </w:tblPr>
    <w:tblStylePr w:type="firstRow">
      <w:rPr>
        <w:b/>
        <w:bCs/>
      </w:rPr>
      <w:tblPr/>
      <w:tcPr>
        <w:tcBorders>
          <w:bottom w:val="single" w:sz="12" w:space="0" w:color="8A8C8F" w:themeColor="accent6" w:themeTint="99"/>
        </w:tcBorders>
      </w:tcPr>
    </w:tblStylePr>
    <w:tblStylePr w:type="lastRow">
      <w:rPr>
        <w:b/>
        <w:bCs/>
      </w:rPr>
      <w:tblPr/>
      <w:tcPr>
        <w:tcBorders>
          <w:top w:val="double" w:sz="4" w:space="0" w:color="8A8C8F" w:themeColor="accent6" w:themeTint="99"/>
        </w:tcBorders>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GridTable7Colorful">
    <w:name w:val="Grid Table 7 Colorful"/>
    <w:basedOn w:val="TableNormal"/>
    <w:uiPriority w:val="52"/>
    <w:rsid w:val="00F3012E"/>
    <w:rPr>
      <w:rFonts w:asciiTheme="minorHAnsi" w:hAnsiTheme="minorHAnsi" w:cstheme="minorBidi"/>
      <w:color w:val="404143" w:themeColor="text1"/>
      <w:sz w:val="22"/>
      <w:szCs w:val="22"/>
      <w:lang w:eastAsia="zh-CN"/>
    </w:rPr>
    <w:tblPr>
      <w:tblStyleRowBandSize w:val="1"/>
      <w:tblStyleColBandSize w:val="1"/>
      <w:tblBorders>
        <w:top w:val="single" w:sz="4" w:space="0" w:color="8A8C8F" w:themeColor="text1" w:themeTint="99"/>
        <w:left w:val="single" w:sz="4" w:space="0" w:color="8A8C8F" w:themeColor="text1" w:themeTint="99"/>
        <w:bottom w:val="single" w:sz="4" w:space="0" w:color="8A8C8F" w:themeColor="text1" w:themeTint="99"/>
        <w:right w:val="single" w:sz="4" w:space="0" w:color="8A8C8F" w:themeColor="text1" w:themeTint="99"/>
        <w:insideH w:val="single" w:sz="4" w:space="0" w:color="8A8C8F" w:themeColor="text1" w:themeTint="99"/>
        <w:insideV w:val="single" w:sz="4" w:space="0" w:color="8A8C8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A" w:themeFill="text1" w:themeFillTint="33"/>
      </w:tcPr>
    </w:tblStylePr>
    <w:tblStylePr w:type="band1Horz">
      <w:tblPr/>
      <w:tcPr>
        <w:shd w:val="clear" w:color="auto" w:fill="D8D8DA" w:themeFill="text1" w:themeFillTint="33"/>
      </w:tcPr>
    </w:tblStylePr>
    <w:tblStylePr w:type="neCell">
      <w:tblPr/>
      <w:tcPr>
        <w:tcBorders>
          <w:bottom w:val="single" w:sz="4" w:space="0" w:color="8A8C8F" w:themeColor="text1" w:themeTint="99"/>
        </w:tcBorders>
      </w:tcPr>
    </w:tblStylePr>
    <w:tblStylePr w:type="nwCell">
      <w:tblPr/>
      <w:tcPr>
        <w:tcBorders>
          <w:bottom w:val="single" w:sz="4" w:space="0" w:color="8A8C8F" w:themeColor="text1" w:themeTint="99"/>
        </w:tcBorders>
      </w:tcPr>
    </w:tblStylePr>
    <w:tblStylePr w:type="seCell">
      <w:tblPr/>
      <w:tcPr>
        <w:tcBorders>
          <w:top w:val="single" w:sz="4" w:space="0" w:color="8A8C8F" w:themeColor="text1" w:themeTint="99"/>
        </w:tcBorders>
      </w:tcPr>
    </w:tblStylePr>
    <w:tblStylePr w:type="swCell">
      <w:tblPr/>
      <w:tcPr>
        <w:tcBorders>
          <w:top w:val="single" w:sz="4" w:space="0" w:color="8A8C8F" w:themeColor="text1" w:themeTint="99"/>
        </w:tcBorders>
      </w:tcPr>
    </w:tblStylePr>
  </w:style>
  <w:style w:type="table" w:styleId="GridTable7Colorful-Accent1">
    <w:name w:val="Grid Table 7 Colorful Accent 1"/>
    <w:basedOn w:val="TableNormal"/>
    <w:uiPriority w:val="52"/>
    <w:rsid w:val="00F3012E"/>
    <w:rPr>
      <w:rFonts w:asciiTheme="minorHAnsi" w:hAnsiTheme="minorHAnsi" w:cstheme="minorBidi"/>
      <w:color w:val="7C1223" w:themeColor="accent1" w:themeShade="BF"/>
      <w:sz w:val="22"/>
      <w:szCs w:val="22"/>
      <w:lang w:eastAsia="zh-CN"/>
    </w:rPr>
    <w:tblPr>
      <w:tblStyleRowBandSize w:val="1"/>
      <w:tblStyleColBandSize w:val="1"/>
      <w:tblBorders>
        <w:top w:val="single" w:sz="4" w:space="0" w:color="E6586F" w:themeColor="accent1" w:themeTint="99"/>
        <w:left w:val="single" w:sz="4" w:space="0" w:color="E6586F" w:themeColor="accent1" w:themeTint="99"/>
        <w:bottom w:val="single" w:sz="4" w:space="0" w:color="E6586F" w:themeColor="accent1" w:themeTint="99"/>
        <w:right w:val="single" w:sz="4" w:space="0" w:color="E6586F" w:themeColor="accent1" w:themeTint="99"/>
        <w:insideH w:val="single" w:sz="4" w:space="0" w:color="E6586F" w:themeColor="accent1" w:themeTint="99"/>
        <w:insideV w:val="single" w:sz="4" w:space="0" w:color="E6586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7CF" w:themeFill="accent1" w:themeFillTint="33"/>
      </w:tcPr>
    </w:tblStylePr>
    <w:tblStylePr w:type="band1Horz">
      <w:tblPr/>
      <w:tcPr>
        <w:shd w:val="clear" w:color="auto" w:fill="F6C7CF" w:themeFill="accent1" w:themeFillTint="33"/>
      </w:tcPr>
    </w:tblStylePr>
    <w:tblStylePr w:type="neCell">
      <w:tblPr/>
      <w:tcPr>
        <w:tcBorders>
          <w:bottom w:val="single" w:sz="4" w:space="0" w:color="E6586F" w:themeColor="accent1" w:themeTint="99"/>
        </w:tcBorders>
      </w:tcPr>
    </w:tblStylePr>
    <w:tblStylePr w:type="nwCell">
      <w:tblPr/>
      <w:tcPr>
        <w:tcBorders>
          <w:bottom w:val="single" w:sz="4" w:space="0" w:color="E6586F" w:themeColor="accent1" w:themeTint="99"/>
        </w:tcBorders>
      </w:tcPr>
    </w:tblStylePr>
    <w:tblStylePr w:type="seCell">
      <w:tblPr/>
      <w:tcPr>
        <w:tcBorders>
          <w:top w:val="single" w:sz="4" w:space="0" w:color="E6586F" w:themeColor="accent1" w:themeTint="99"/>
        </w:tcBorders>
      </w:tcPr>
    </w:tblStylePr>
    <w:tblStylePr w:type="swCell">
      <w:tblPr/>
      <w:tcPr>
        <w:tcBorders>
          <w:top w:val="single" w:sz="4" w:space="0" w:color="E6586F" w:themeColor="accent1" w:themeTint="99"/>
        </w:tcBorders>
      </w:tcPr>
    </w:tblStylePr>
  </w:style>
  <w:style w:type="table" w:styleId="GridTable7Colorful-Accent2">
    <w:name w:val="Grid Table 7 Colorful Accent 2"/>
    <w:basedOn w:val="TableNormal"/>
    <w:uiPriority w:val="52"/>
    <w:rsid w:val="00F3012E"/>
    <w:rPr>
      <w:rFonts w:asciiTheme="minorHAnsi" w:hAnsiTheme="minorHAnsi" w:cstheme="minorBidi"/>
      <w:color w:val="B08800" w:themeColor="accent2" w:themeShade="BF"/>
      <w:sz w:val="22"/>
      <w:szCs w:val="22"/>
      <w:lang w:eastAsia="zh-CN"/>
    </w:rPr>
    <w:tblPr>
      <w:tblStyleRowBandSize w:val="1"/>
      <w:tblStyleColBandSize w:val="1"/>
      <w:tblBorders>
        <w:top w:val="single" w:sz="4" w:space="0" w:color="FFDA5A" w:themeColor="accent2" w:themeTint="99"/>
        <w:left w:val="single" w:sz="4" w:space="0" w:color="FFDA5A" w:themeColor="accent2" w:themeTint="99"/>
        <w:bottom w:val="single" w:sz="4" w:space="0" w:color="FFDA5A" w:themeColor="accent2" w:themeTint="99"/>
        <w:right w:val="single" w:sz="4" w:space="0" w:color="FFDA5A" w:themeColor="accent2" w:themeTint="99"/>
        <w:insideH w:val="single" w:sz="4" w:space="0" w:color="FFDA5A" w:themeColor="accent2" w:themeTint="99"/>
        <w:insideV w:val="single" w:sz="4" w:space="0" w:color="FFDA5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8" w:themeFill="accent2" w:themeFillTint="33"/>
      </w:tcPr>
    </w:tblStylePr>
    <w:tblStylePr w:type="band1Horz">
      <w:tblPr/>
      <w:tcPr>
        <w:shd w:val="clear" w:color="auto" w:fill="FFF2C8" w:themeFill="accent2" w:themeFillTint="33"/>
      </w:tcPr>
    </w:tblStylePr>
    <w:tblStylePr w:type="neCell">
      <w:tblPr/>
      <w:tcPr>
        <w:tcBorders>
          <w:bottom w:val="single" w:sz="4" w:space="0" w:color="FFDA5A" w:themeColor="accent2" w:themeTint="99"/>
        </w:tcBorders>
      </w:tcPr>
    </w:tblStylePr>
    <w:tblStylePr w:type="nwCell">
      <w:tblPr/>
      <w:tcPr>
        <w:tcBorders>
          <w:bottom w:val="single" w:sz="4" w:space="0" w:color="FFDA5A" w:themeColor="accent2" w:themeTint="99"/>
        </w:tcBorders>
      </w:tcPr>
    </w:tblStylePr>
    <w:tblStylePr w:type="seCell">
      <w:tblPr/>
      <w:tcPr>
        <w:tcBorders>
          <w:top w:val="single" w:sz="4" w:space="0" w:color="FFDA5A" w:themeColor="accent2" w:themeTint="99"/>
        </w:tcBorders>
      </w:tcPr>
    </w:tblStylePr>
    <w:tblStylePr w:type="swCell">
      <w:tblPr/>
      <w:tcPr>
        <w:tcBorders>
          <w:top w:val="single" w:sz="4" w:space="0" w:color="FFDA5A" w:themeColor="accent2" w:themeTint="99"/>
        </w:tcBorders>
      </w:tcPr>
    </w:tblStylePr>
  </w:style>
  <w:style w:type="table" w:styleId="GridTable7Colorful-Accent3">
    <w:name w:val="Grid Table 7 Colorful Accent 3"/>
    <w:basedOn w:val="TableNormal"/>
    <w:uiPriority w:val="52"/>
    <w:rsid w:val="00F3012E"/>
    <w:rPr>
      <w:rFonts w:asciiTheme="minorHAnsi" w:hAnsiTheme="minorHAnsi" w:cstheme="minorBidi"/>
      <w:color w:val="455090" w:themeColor="accent3" w:themeShade="BF"/>
      <w:sz w:val="22"/>
      <w:szCs w:val="22"/>
      <w:lang w:eastAsia="zh-CN"/>
    </w:rPr>
    <w:tblPr>
      <w:tblStyleRowBandSize w:val="1"/>
      <w:tblStyleColBandSize w:val="1"/>
      <w:tblBorders>
        <w:top w:val="single" w:sz="4" w:space="0" w:color="A3AAD3" w:themeColor="accent3" w:themeTint="99"/>
        <w:left w:val="single" w:sz="4" w:space="0" w:color="A3AAD3" w:themeColor="accent3" w:themeTint="99"/>
        <w:bottom w:val="single" w:sz="4" w:space="0" w:color="A3AAD3" w:themeColor="accent3" w:themeTint="99"/>
        <w:right w:val="single" w:sz="4" w:space="0" w:color="A3AAD3" w:themeColor="accent3" w:themeTint="99"/>
        <w:insideH w:val="single" w:sz="4" w:space="0" w:color="A3AAD3" w:themeColor="accent3" w:themeTint="99"/>
        <w:insideV w:val="single" w:sz="4" w:space="0" w:color="A3AA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2F0" w:themeFill="accent3" w:themeFillTint="33"/>
      </w:tcPr>
    </w:tblStylePr>
    <w:tblStylePr w:type="band1Horz">
      <w:tblPr/>
      <w:tcPr>
        <w:shd w:val="clear" w:color="auto" w:fill="E0E2F0" w:themeFill="accent3" w:themeFillTint="33"/>
      </w:tcPr>
    </w:tblStylePr>
    <w:tblStylePr w:type="neCell">
      <w:tblPr/>
      <w:tcPr>
        <w:tcBorders>
          <w:bottom w:val="single" w:sz="4" w:space="0" w:color="A3AAD3" w:themeColor="accent3" w:themeTint="99"/>
        </w:tcBorders>
      </w:tcPr>
    </w:tblStylePr>
    <w:tblStylePr w:type="nwCell">
      <w:tblPr/>
      <w:tcPr>
        <w:tcBorders>
          <w:bottom w:val="single" w:sz="4" w:space="0" w:color="A3AAD3" w:themeColor="accent3" w:themeTint="99"/>
        </w:tcBorders>
      </w:tcPr>
    </w:tblStylePr>
    <w:tblStylePr w:type="seCell">
      <w:tblPr/>
      <w:tcPr>
        <w:tcBorders>
          <w:top w:val="single" w:sz="4" w:space="0" w:color="A3AAD3" w:themeColor="accent3" w:themeTint="99"/>
        </w:tcBorders>
      </w:tcPr>
    </w:tblStylePr>
    <w:tblStylePr w:type="swCell">
      <w:tblPr/>
      <w:tcPr>
        <w:tcBorders>
          <w:top w:val="single" w:sz="4" w:space="0" w:color="A3AAD3" w:themeColor="accent3" w:themeTint="99"/>
        </w:tcBorders>
      </w:tcPr>
    </w:tblStylePr>
  </w:style>
  <w:style w:type="table" w:styleId="GridTable7Colorful-Accent4">
    <w:name w:val="Grid Table 7 Colorful Accent 4"/>
    <w:basedOn w:val="TableNormal"/>
    <w:uiPriority w:val="52"/>
    <w:rsid w:val="00F3012E"/>
    <w:rPr>
      <w:rFonts w:asciiTheme="minorHAnsi" w:hAnsiTheme="minorHAnsi" w:cstheme="minorBidi"/>
      <w:color w:val="788100" w:themeColor="accent4" w:themeShade="BF"/>
      <w:sz w:val="22"/>
      <w:szCs w:val="22"/>
      <w:lang w:eastAsia="zh-CN"/>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bottom w:val="single" w:sz="4" w:space="0" w:color="F1FF34" w:themeColor="accent4" w:themeTint="99"/>
        </w:tcBorders>
      </w:tcPr>
    </w:tblStylePr>
    <w:tblStylePr w:type="nwCell">
      <w:tblPr/>
      <w:tcPr>
        <w:tcBorders>
          <w:bottom w:val="single" w:sz="4" w:space="0" w:color="F1FF34" w:themeColor="accent4" w:themeTint="99"/>
        </w:tcBorders>
      </w:tcPr>
    </w:tblStylePr>
    <w:tblStylePr w:type="seCell">
      <w:tblPr/>
      <w:tcPr>
        <w:tcBorders>
          <w:top w:val="single" w:sz="4" w:space="0" w:color="F1FF34" w:themeColor="accent4" w:themeTint="99"/>
        </w:tcBorders>
      </w:tcPr>
    </w:tblStylePr>
    <w:tblStylePr w:type="swCell">
      <w:tblPr/>
      <w:tcPr>
        <w:tcBorders>
          <w:top w:val="single" w:sz="4" w:space="0" w:color="F1FF34" w:themeColor="accent4" w:themeTint="99"/>
        </w:tcBorders>
      </w:tcPr>
    </w:tblStylePr>
  </w:style>
  <w:style w:type="table" w:styleId="GridTable7Colorful-Accent5">
    <w:name w:val="Grid Table 7 Colorful Accent 5"/>
    <w:basedOn w:val="TableNormal"/>
    <w:uiPriority w:val="52"/>
    <w:rsid w:val="00F3012E"/>
    <w:rPr>
      <w:rFonts w:asciiTheme="minorHAnsi" w:hAnsiTheme="minorHAnsi" w:cstheme="minorBidi"/>
      <w:color w:val="67696A" w:themeColor="accent5" w:themeShade="BF"/>
      <w:sz w:val="22"/>
      <w:szCs w:val="22"/>
      <w:lang w:eastAsia="zh-CN"/>
    </w:rPr>
    <w:tblPr>
      <w:tblStyleRowBandSize w:val="1"/>
      <w:tblStyleColBandSize w:val="1"/>
      <w:tblBorders>
        <w:top w:val="single" w:sz="4" w:space="0" w:color="B9BABB" w:themeColor="accent5" w:themeTint="99"/>
        <w:left w:val="single" w:sz="4" w:space="0" w:color="B9BABB" w:themeColor="accent5" w:themeTint="99"/>
        <w:bottom w:val="single" w:sz="4" w:space="0" w:color="B9BABB" w:themeColor="accent5" w:themeTint="99"/>
        <w:right w:val="single" w:sz="4" w:space="0" w:color="B9BABB" w:themeColor="accent5" w:themeTint="99"/>
        <w:insideH w:val="single" w:sz="4" w:space="0" w:color="B9BABB" w:themeColor="accent5" w:themeTint="99"/>
        <w:insideV w:val="single" w:sz="4" w:space="0" w:color="B9B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8E8" w:themeFill="accent5" w:themeFillTint="33"/>
      </w:tcPr>
    </w:tblStylePr>
    <w:tblStylePr w:type="band1Horz">
      <w:tblPr/>
      <w:tcPr>
        <w:shd w:val="clear" w:color="auto" w:fill="E7E8E8" w:themeFill="accent5" w:themeFillTint="33"/>
      </w:tcPr>
    </w:tblStylePr>
    <w:tblStylePr w:type="neCell">
      <w:tblPr/>
      <w:tcPr>
        <w:tcBorders>
          <w:bottom w:val="single" w:sz="4" w:space="0" w:color="B9BABB" w:themeColor="accent5" w:themeTint="99"/>
        </w:tcBorders>
      </w:tcPr>
    </w:tblStylePr>
    <w:tblStylePr w:type="nwCell">
      <w:tblPr/>
      <w:tcPr>
        <w:tcBorders>
          <w:bottom w:val="single" w:sz="4" w:space="0" w:color="B9BABB" w:themeColor="accent5" w:themeTint="99"/>
        </w:tcBorders>
      </w:tcPr>
    </w:tblStylePr>
    <w:tblStylePr w:type="seCell">
      <w:tblPr/>
      <w:tcPr>
        <w:tcBorders>
          <w:top w:val="single" w:sz="4" w:space="0" w:color="B9BABB" w:themeColor="accent5" w:themeTint="99"/>
        </w:tcBorders>
      </w:tcPr>
    </w:tblStylePr>
    <w:tblStylePr w:type="swCell">
      <w:tblPr/>
      <w:tcPr>
        <w:tcBorders>
          <w:top w:val="single" w:sz="4" w:space="0" w:color="B9BABB" w:themeColor="accent5" w:themeTint="99"/>
        </w:tcBorders>
      </w:tcPr>
    </w:tblStylePr>
  </w:style>
  <w:style w:type="table" w:styleId="GridTable7Colorful-Accent6">
    <w:name w:val="Grid Table 7 Colorful Accent 6"/>
    <w:basedOn w:val="TableNormal"/>
    <w:uiPriority w:val="52"/>
    <w:rsid w:val="00F3012E"/>
    <w:rPr>
      <w:rFonts w:asciiTheme="minorHAnsi" w:hAnsiTheme="minorHAnsi" w:cstheme="minorBidi"/>
      <w:color w:val="303032" w:themeColor="accent6" w:themeShade="BF"/>
      <w:sz w:val="22"/>
      <w:szCs w:val="22"/>
      <w:lang w:eastAsia="zh-CN"/>
    </w:rPr>
    <w:tblPr>
      <w:tblStyleRowBandSize w:val="1"/>
      <w:tblStyleColBandSize w:val="1"/>
      <w:tblBorders>
        <w:top w:val="single" w:sz="4" w:space="0" w:color="8A8C8F" w:themeColor="accent6" w:themeTint="99"/>
        <w:left w:val="single" w:sz="4" w:space="0" w:color="8A8C8F" w:themeColor="accent6" w:themeTint="99"/>
        <w:bottom w:val="single" w:sz="4" w:space="0" w:color="8A8C8F" w:themeColor="accent6" w:themeTint="99"/>
        <w:right w:val="single" w:sz="4" w:space="0" w:color="8A8C8F" w:themeColor="accent6" w:themeTint="99"/>
        <w:insideH w:val="single" w:sz="4" w:space="0" w:color="8A8C8F" w:themeColor="accent6" w:themeTint="99"/>
        <w:insideV w:val="single" w:sz="4" w:space="0" w:color="8A8C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A" w:themeFill="accent6" w:themeFillTint="33"/>
      </w:tcPr>
    </w:tblStylePr>
    <w:tblStylePr w:type="band1Horz">
      <w:tblPr/>
      <w:tcPr>
        <w:shd w:val="clear" w:color="auto" w:fill="D8D8DA" w:themeFill="accent6" w:themeFillTint="33"/>
      </w:tcPr>
    </w:tblStylePr>
    <w:tblStylePr w:type="neCell">
      <w:tblPr/>
      <w:tcPr>
        <w:tcBorders>
          <w:bottom w:val="single" w:sz="4" w:space="0" w:color="8A8C8F" w:themeColor="accent6" w:themeTint="99"/>
        </w:tcBorders>
      </w:tcPr>
    </w:tblStylePr>
    <w:tblStylePr w:type="nwCell">
      <w:tblPr/>
      <w:tcPr>
        <w:tcBorders>
          <w:bottom w:val="single" w:sz="4" w:space="0" w:color="8A8C8F" w:themeColor="accent6" w:themeTint="99"/>
        </w:tcBorders>
      </w:tcPr>
    </w:tblStylePr>
    <w:tblStylePr w:type="seCell">
      <w:tblPr/>
      <w:tcPr>
        <w:tcBorders>
          <w:top w:val="single" w:sz="4" w:space="0" w:color="8A8C8F" w:themeColor="accent6" w:themeTint="99"/>
        </w:tcBorders>
      </w:tcPr>
    </w:tblStylePr>
    <w:tblStylePr w:type="swCell">
      <w:tblPr/>
      <w:tcPr>
        <w:tcBorders>
          <w:top w:val="single" w:sz="4" w:space="0" w:color="8A8C8F" w:themeColor="accent6" w:themeTint="99"/>
        </w:tcBorders>
      </w:tcPr>
    </w:tblStylePr>
  </w:style>
  <w:style w:type="table" w:styleId="LightGrid">
    <w:name w:val="Light Grid"/>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404143" w:themeColor="text1"/>
        <w:left w:val="single" w:sz="8" w:space="0" w:color="404143" w:themeColor="text1"/>
        <w:bottom w:val="single" w:sz="8" w:space="0" w:color="404143" w:themeColor="text1"/>
        <w:right w:val="single" w:sz="8" w:space="0" w:color="404143" w:themeColor="text1"/>
        <w:insideH w:val="single" w:sz="8" w:space="0" w:color="404143" w:themeColor="text1"/>
        <w:insideV w:val="single" w:sz="8" w:space="0" w:color="40414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143" w:themeColor="text1"/>
          <w:left w:val="single" w:sz="8" w:space="0" w:color="404143" w:themeColor="text1"/>
          <w:bottom w:val="single" w:sz="18" w:space="0" w:color="404143" w:themeColor="text1"/>
          <w:right w:val="single" w:sz="8" w:space="0" w:color="404143" w:themeColor="text1"/>
          <w:insideH w:val="nil"/>
          <w:insideV w:val="single" w:sz="8" w:space="0" w:color="40414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143" w:themeColor="text1"/>
          <w:left w:val="single" w:sz="8" w:space="0" w:color="404143" w:themeColor="text1"/>
          <w:bottom w:val="single" w:sz="8" w:space="0" w:color="404143" w:themeColor="text1"/>
          <w:right w:val="single" w:sz="8" w:space="0" w:color="404143" w:themeColor="text1"/>
          <w:insideH w:val="nil"/>
          <w:insideV w:val="single" w:sz="8" w:space="0" w:color="40414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143" w:themeColor="text1"/>
          <w:left w:val="single" w:sz="8" w:space="0" w:color="404143" w:themeColor="text1"/>
          <w:bottom w:val="single" w:sz="8" w:space="0" w:color="404143" w:themeColor="text1"/>
          <w:right w:val="single" w:sz="8" w:space="0" w:color="404143" w:themeColor="text1"/>
        </w:tcBorders>
      </w:tcPr>
    </w:tblStylePr>
    <w:tblStylePr w:type="band1Vert">
      <w:tblPr/>
      <w:tcPr>
        <w:tcBorders>
          <w:top w:val="single" w:sz="8" w:space="0" w:color="404143" w:themeColor="text1"/>
          <w:left w:val="single" w:sz="8" w:space="0" w:color="404143" w:themeColor="text1"/>
          <w:bottom w:val="single" w:sz="8" w:space="0" w:color="404143" w:themeColor="text1"/>
          <w:right w:val="single" w:sz="8" w:space="0" w:color="404143" w:themeColor="text1"/>
        </w:tcBorders>
        <w:shd w:val="clear" w:color="auto" w:fill="CFCFD1" w:themeFill="text1" w:themeFillTint="3F"/>
      </w:tcPr>
    </w:tblStylePr>
    <w:tblStylePr w:type="band1Horz">
      <w:tblPr/>
      <w:tcPr>
        <w:tcBorders>
          <w:top w:val="single" w:sz="8" w:space="0" w:color="404143" w:themeColor="text1"/>
          <w:left w:val="single" w:sz="8" w:space="0" w:color="404143" w:themeColor="text1"/>
          <w:bottom w:val="single" w:sz="8" w:space="0" w:color="404143" w:themeColor="text1"/>
          <w:right w:val="single" w:sz="8" w:space="0" w:color="404143" w:themeColor="text1"/>
          <w:insideV w:val="single" w:sz="8" w:space="0" w:color="404143" w:themeColor="text1"/>
        </w:tcBorders>
        <w:shd w:val="clear" w:color="auto" w:fill="CFCFD1" w:themeFill="text1" w:themeFillTint="3F"/>
      </w:tcPr>
    </w:tblStylePr>
    <w:tblStylePr w:type="band2Horz">
      <w:tblPr/>
      <w:tcPr>
        <w:tcBorders>
          <w:top w:val="single" w:sz="8" w:space="0" w:color="404143" w:themeColor="text1"/>
          <w:left w:val="single" w:sz="8" w:space="0" w:color="404143" w:themeColor="text1"/>
          <w:bottom w:val="single" w:sz="8" w:space="0" w:color="404143" w:themeColor="text1"/>
          <w:right w:val="single" w:sz="8" w:space="0" w:color="404143" w:themeColor="text1"/>
          <w:insideV w:val="single" w:sz="8" w:space="0" w:color="404143" w:themeColor="text1"/>
        </w:tcBorders>
      </w:tcPr>
    </w:tblStylePr>
  </w:style>
  <w:style w:type="table" w:styleId="LightGrid-Accent1">
    <w:name w:val="Light Grid Accent 1"/>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71930" w:themeColor="accent1"/>
        <w:left w:val="single" w:sz="8" w:space="0" w:color="A71930" w:themeColor="accent1"/>
        <w:bottom w:val="single" w:sz="8" w:space="0" w:color="A71930" w:themeColor="accent1"/>
        <w:right w:val="single" w:sz="8" w:space="0" w:color="A71930" w:themeColor="accent1"/>
        <w:insideH w:val="single" w:sz="8" w:space="0" w:color="A71930" w:themeColor="accent1"/>
        <w:insideV w:val="single" w:sz="8" w:space="0" w:color="A719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1930" w:themeColor="accent1"/>
          <w:left w:val="single" w:sz="8" w:space="0" w:color="A71930" w:themeColor="accent1"/>
          <w:bottom w:val="single" w:sz="18" w:space="0" w:color="A71930" w:themeColor="accent1"/>
          <w:right w:val="single" w:sz="8" w:space="0" w:color="A71930" w:themeColor="accent1"/>
          <w:insideH w:val="nil"/>
          <w:insideV w:val="single" w:sz="8" w:space="0" w:color="A719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1930" w:themeColor="accent1"/>
          <w:left w:val="single" w:sz="8" w:space="0" w:color="A71930" w:themeColor="accent1"/>
          <w:bottom w:val="single" w:sz="8" w:space="0" w:color="A71930" w:themeColor="accent1"/>
          <w:right w:val="single" w:sz="8" w:space="0" w:color="A71930" w:themeColor="accent1"/>
          <w:insideH w:val="nil"/>
          <w:insideV w:val="single" w:sz="8" w:space="0" w:color="A719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1930" w:themeColor="accent1"/>
          <w:left w:val="single" w:sz="8" w:space="0" w:color="A71930" w:themeColor="accent1"/>
          <w:bottom w:val="single" w:sz="8" w:space="0" w:color="A71930" w:themeColor="accent1"/>
          <w:right w:val="single" w:sz="8" w:space="0" w:color="A71930" w:themeColor="accent1"/>
        </w:tcBorders>
      </w:tcPr>
    </w:tblStylePr>
    <w:tblStylePr w:type="band1Vert">
      <w:tblPr/>
      <w:tcPr>
        <w:tcBorders>
          <w:top w:val="single" w:sz="8" w:space="0" w:color="A71930" w:themeColor="accent1"/>
          <w:left w:val="single" w:sz="8" w:space="0" w:color="A71930" w:themeColor="accent1"/>
          <w:bottom w:val="single" w:sz="8" w:space="0" w:color="A71930" w:themeColor="accent1"/>
          <w:right w:val="single" w:sz="8" w:space="0" w:color="A71930" w:themeColor="accent1"/>
        </w:tcBorders>
        <w:shd w:val="clear" w:color="auto" w:fill="F4BAC3" w:themeFill="accent1" w:themeFillTint="3F"/>
      </w:tcPr>
    </w:tblStylePr>
    <w:tblStylePr w:type="band1Horz">
      <w:tblPr/>
      <w:tcPr>
        <w:tcBorders>
          <w:top w:val="single" w:sz="8" w:space="0" w:color="A71930" w:themeColor="accent1"/>
          <w:left w:val="single" w:sz="8" w:space="0" w:color="A71930" w:themeColor="accent1"/>
          <w:bottom w:val="single" w:sz="8" w:space="0" w:color="A71930" w:themeColor="accent1"/>
          <w:right w:val="single" w:sz="8" w:space="0" w:color="A71930" w:themeColor="accent1"/>
          <w:insideV w:val="single" w:sz="8" w:space="0" w:color="A71930" w:themeColor="accent1"/>
        </w:tcBorders>
        <w:shd w:val="clear" w:color="auto" w:fill="F4BAC3" w:themeFill="accent1" w:themeFillTint="3F"/>
      </w:tcPr>
    </w:tblStylePr>
    <w:tblStylePr w:type="band2Horz">
      <w:tblPr/>
      <w:tcPr>
        <w:tcBorders>
          <w:top w:val="single" w:sz="8" w:space="0" w:color="A71930" w:themeColor="accent1"/>
          <w:left w:val="single" w:sz="8" w:space="0" w:color="A71930" w:themeColor="accent1"/>
          <w:bottom w:val="single" w:sz="8" w:space="0" w:color="A71930" w:themeColor="accent1"/>
          <w:right w:val="single" w:sz="8" w:space="0" w:color="A71930" w:themeColor="accent1"/>
          <w:insideV w:val="single" w:sz="8" w:space="0" w:color="A71930" w:themeColor="accent1"/>
        </w:tcBorders>
      </w:tcPr>
    </w:tblStylePr>
  </w:style>
  <w:style w:type="table" w:styleId="LightGrid-Accent2">
    <w:name w:val="Light Grid Accent 2"/>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BB700" w:themeColor="accent2"/>
        <w:left w:val="single" w:sz="8" w:space="0" w:color="EBB700" w:themeColor="accent2"/>
        <w:bottom w:val="single" w:sz="8" w:space="0" w:color="EBB700" w:themeColor="accent2"/>
        <w:right w:val="single" w:sz="8" w:space="0" w:color="EBB700" w:themeColor="accent2"/>
        <w:insideH w:val="single" w:sz="8" w:space="0" w:color="EBB700" w:themeColor="accent2"/>
        <w:insideV w:val="single" w:sz="8" w:space="0" w:color="EBB7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B700" w:themeColor="accent2"/>
          <w:left w:val="single" w:sz="8" w:space="0" w:color="EBB700" w:themeColor="accent2"/>
          <w:bottom w:val="single" w:sz="18" w:space="0" w:color="EBB700" w:themeColor="accent2"/>
          <w:right w:val="single" w:sz="8" w:space="0" w:color="EBB700" w:themeColor="accent2"/>
          <w:insideH w:val="nil"/>
          <w:insideV w:val="single" w:sz="8" w:space="0" w:color="EBB7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B700" w:themeColor="accent2"/>
          <w:left w:val="single" w:sz="8" w:space="0" w:color="EBB700" w:themeColor="accent2"/>
          <w:bottom w:val="single" w:sz="8" w:space="0" w:color="EBB700" w:themeColor="accent2"/>
          <w:right w:val="single" w:sz="8" w:space="0" w:color="EBB700" w:themeColor="accent2"/>
          <w:insideH w:val="nil"/>
          <w:insideV w:val="single" w:sz="8" w:space="0" w:color="EBB7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B700" w:themeColor="accent2"/>
          <w:left w:val="single" w:sz="8" w:space="0" w:color="EBB700" w:themeColor="accent2"/>
          <w:bottom w:val="single" w:sz="8" w:space="0" w:color="EBB700" w:themeColor="accent2"/>
          <w:right w:val="single" w:sz="8" w:space="0" w:color="EBB700" w:themeColor="accent2"/>
        </w:tcBorders>
      </w:tcPr>
    </w:tblStylePr>
    <w:tblStylePr w:type="band1Vert">
      <w:tblPr/>
      <w:tcPr>
        <w:tcBorders>
          <w:top w:val="single" w:sz="8" w:space="0" w:color="EBB700" w:themeColor="accent2"/>
          <w:left w:val="single" w:sz="8" w:space="0" w:color="EBB700" w:themeColor="accent2"/>
          <w:bottom w:val="single" w:sz="8" w:space="0" w:color="EBB700" w:themeColor="accent2"/>
          <w:right w:val="single" w:sz="8" w:space="0" w:color="EBB700" w:themeColor="accent2"/>
        </w:tcBorders>
        <w:shd w:val="clear" w:color="auto" w:fill="FFEFBB" w:themeFill="accent2" w:themeFillTint="3F"/>
      </w:tcPr>
    </w:tblStylePr>
    <w:tblStylePr w:type="band1Horz">
      <w:tblPr/>
      <w:tcPr>
        <w:tcBorders>
          <w:top w:val="single" w:sz="8" w:space="0" w:color="EBB700" w:themeColor="accent2"/>
          <w:left w:val="single" w:sz="8" w:space="0" w:color="EBB700" w:themeColor="accent2"/>
          <w:bottom w:val="single" w:sz="8" w:space="0" w:color="EBB700" w:themeColor="accent2"/>
          <w:right w:val="single" w:sz="8" w:space="0" w:color="EBB700" w:themeColor="accent2"/>
          <w:insideV w:val="single" w:sz="8" w:space="0" w:color="EBB700" w:themeColor="accent2"/>
        </w:tcBorders>
        <w:shd w:val="clear" w:color="auto" w:fill="FFEFBB" w:themeFill="accent2" w:themeFillTint="3F"/>
      </w:tcPr>
    </w:tblStylePr>
    <w:tblStylePr w:type="band2Horz">
      <w:tblPr/>
      <w:tcPr>
        <w:tcBorders>
          <w:top w:val="single" w:sz="8" w:space="0" w:color="EBB700" w:themeColor="accent2"/>
          <w:left w:val="single" w:sz="8" w:space="0" w:color="EBB700" w:themeColor="accent2"/>
          <w:bottom w:val="single" w:sz="8" w:space="0" w:color="EBB700" w:themeColor="accent2"/>
          <w:right w:val="single" w:sz="8" w:space="0" w:color="EBB700" w:themeColor="accent2"/>
          <w:insideV w:val="single" w:sz="8" w:space="0" w:color="EBB700" w:themeColor="accent2"/>
        </w:tcBorders>
      </w:tcPr>
    </w:tblStylePr>
  </w:style>
  <w:style w:type="table" w:styleId="LightGrid-Accent3">
    <w:name w:val="Light Grid Accent 3"/>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773B6" w:themeColor="accent3"/>
        <w:left w:val="single" w:sz="8" w:space="0" w:color="6773B6" w:themeColor="accent3"/>
        <w:bottom w:val="single" w:sz="8" w:space="0" w:color="6773B6" w:themeColor="accent3"/>
        <w:right w:val="single" w:sz="8" w:space="0" w:color="6773B6" w:themeColor="accent3"/>
        <w:insideH w:val="single" w:sz="8" w:space="0" w:color="6773B6" w:themeColor="accent3"/>
        <w:insideV w:val="single" w:sz="8" w:space="0" w:color="6773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3B6" w:themeColor="accent3"/>
          <w:left w:val="single" w:sz="8" w:space="0" w:color="6773B6" w:themeColor="accent3"/>
          <w:bottom w:val="single" w:sz="18" w:space="0" w:color="6773B6" w:themeColor="accent3"/>
          <w:right w:val="single" w:sz="8" w:space="0" w:color="6773B6" w:themeColor="accent3"/>
          <w:insideH w:val="nil"/>
          <w:insideV w:val="single" w:sz="8" w:space="0" w:color="6773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3B6" w:themeColor="accent3"/>
          <w:left w:val="single" w:sz="8" w:space="0" w:color="6773B6" w:themeColor="accent3"/>
          <w:bottom w:val="single" w:sz="8" w:space="0" w:color="6773B6" w:themeColor="accent3"/>
          <w:right w:val="single" w:sz="8" w:space="0" w:color="6773B6" w:themeColor="accent3"/>
          <w:insideH w:val="nil"/>
          <w:insideV w:val="single" w:sz="8" w:space="0" w:color="6773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3B6" w:themeColor="accent3"/>
          <w:left w:val="single" w:sz="8" w:space="0" w:color="6773B6" w:themeColor="accent3"/>
          <w:bottom w:val="single" w:sz="8" w:space="0" w:color="6773B6" w:themeColor="accent3"/>
          <w:right w:val="single" w:sz="8" w:space="0" w:color="6773B6" w:themeColor="accent3"/>
        </w:tcBorders>
      </w:tcPr>
    </w:tblStylePr>
    <w:tblStylePr w:type="band1Vert">
      <w:tblPr/>
      <w:tcPr>
        <w:tcBorders>
          <w:top w:val="single" w:sz="8" w:space="0" w:color="6773B6" w:themeColor="accent3"/>
          <w:left w:val="single" w:sz="8" w:space="0" w:color="6773B6" w:themeColor="accent3"/>
          <w:bottom w:val="single" w:sz="8" w:space="0" w:color="6773B6" w:themeColor="accent3"/>
          <w:right w:val="single" w:sz="8" w:space="0" w:color="6773B6" w:themeColor="accent3"/>
        </w:tcBorders>
        <w:shd w:val="clear" w:color="auto" w:fill="D9DCED" w:themeFill="accent3" w:themeFillTint="3F"/>
      </w:tcPr>
    </w:tblStylePr>
    <w:tblStylePr w:type="band1Horz">
      <w:tblPr/>
      <w:tcPr>
        <w:tcBorders>
          <w:top w:val="single" w:sz="8" w:space="0" w:color="6773B6" w:themeColor="accent3"/>
          <w:left w:val="single" w:sz="8" w:space="0" w:color="6773B6" w:themeColor="accent3"/>
          <w:bottom w:val="single" w:sz="8" w:space="0" w:color="6773B6" w:themeColor="accent3"/>
          <w:right w:val="single" w:sz="8" w:space="0" w:color="6773B6" w:themeColor="accent3"/>
          <w:insideV w:val="single" w:sz="8" w:space="0" w:color="6773B6" w:themeColor="accent3"/>
        </w:tcBorders>
        <w:shd w:val="clear" w:color="auto" w:fill="D9DCED" w:themeFill="accent3" w:themeFillTint="3F"/>
      </w:tcPr>
    </w:tblStylePr>
    <w:tblStylePr w:type="band2Horz">
      <w:tblPr/>
      <w:tcPr>
        <w:tcBorders>
          <w:top w:val="single" w:sz="8" w:space="0" w:color="6773B6" w:themeColor="accent3"/>
          <w:left w:val="single" w:sz="8" w:space="0" w:color="6773B6" w:themeColor="accent3"/>
          <w:bottom w:val="single" w:sz="8" w:space="0" w:color="6773B6" w:themeColor="accent3"/>
          <w:right w:val="single" w:sz="8" w:space="0" w:color="6773B6" w:themeColor="accent3"/>
          <w:insideV w:val="single" w:sz="8" w:space="0" w:color="6773B6" w:themeColor="accent3"/>
        </w:tcBorders>
      </w:tcPr>
    </w:tblStylePr>
  </w:style>
  <w:style w:type="table" w:styleId="LightGrid-Accent4">
    <w:name w:val="Light Grid Accent 4"/>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insideH w:val="single" w:sz="8" w:space="0" w:color="A2AD00" w:themeColor="accent4"/>
        <w:insideV w:val="single" w:sz="8" w:space="0" w:color="A2AD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AD00" w:themeColor="accent4"/>
          <w:left w:val="single" w:sz="8" w:space="0" w:color="A2AD00" w:themeColor="accent4"/>
          <w:bottom w:val="single" w:sz="18" w:space="0" w:color="A2AD00" w:themeColor="accent4"/>
          <w:right w:val="single" w:sz="8" w:space="0" w:color="A2AD00" w:themeColor="accent4"/>
          <w:insideH w:val="nil"/>
          <w:insideV w:val="single" w:sz="8" w:space="0" w:color="A2AD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AD00" w:themeColor="accent4"/>
          <w:left w:val="single" w:sz="8" w:space="0" w:color="A2AD00" w:themeColor="accent4"/>
          <w:bottom w:val="single" w:sz="8" w:space="0" w:color="A2AD00" w:themeColor="accent4"/>
          <w:right w:val="single" w:sz="8" w:space="0" w:color="A2AD00" w:themeColor="accent4"/>
          <w:insideH w:val="nil"/>
          <w:insideV w:val="single" w:sz="8" w:space="0" w:color="A2AD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tblStylePr w:type="band1Vert">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shd w:val="clear" w:color="auto" w:fill="F9FFAB" w:themeFill="accent4" w:themeFillTint="3F"/>
      </w:tcPr>
    </w:tblStylePr>
    <w:tblStylePr w:type="band1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insideV w:val="single" w:sz="8" w:space="0" w:color="A2AD00" w:themeColor="accent4"/>
        </w:tcBorders>
        <w:shd w:val="clear" w:color="auto" w:fill="F9FFAB" w:themeFill="accent4" w:themeFillTint="3F"/>
      </w:tcPr>
    </w:tblStylePr>
    <w:tblStylePr w:type="band2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insideV w:val="single" w:sz="8" w:space="0" w:color="A2AD00" w:themeColor="accent4"/>
        </w:tcBorders>
      </w:tcPr>
    </w:tblStylePr>
  </w:style>
  <w:style w:type="table" w:styleId="LightGrid-Accent5">
    <w:name w:val="Light Grid Accent 5"/>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8B8D8E" w:themeColor="accent5"/>
        <w:left w:val="single" w:sz="8" w:space="0" w:color="8B8D8E" w:themeColor="accent5"/>
        <w:bottom w:val="single" w:sz="8" w:space="0" w:color="8B8D8E" w:themeColor="accent5"/>
        <w:right w:val="single" w:sz="8" w:space="0" w:color="8B8D8E" w:themeColor="accent5"/>
        <w:insideH w:val="single" w:sz="8" w:space="0" w:color="8B8D8E" w:themeColor="accent5"/>
        <w:insideV w:val="single" w:sz="8" w:space="0" w:color="8B8D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8D8E" w:themeColor="accent5"/>
          <w:left w:val="single" w:sz="8" w:space="0" w:color="8B8D8E" w:themeColor="accent5"/>
          <w:bottom w:val="single" w:sz="18" w:space="0" w:color="8B8D8E" w:themeColor="accent5"/>
          <w:right w:val="single" w:sz="8" w:space="0" w:color="8B8D8E" w:themeColor="accent5"/>
          <w:insideH w:val="nil"/>
          <w:insideV w:val="single" w:sz="8" w:space="0" w:color="8B8D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8D8E" w:themeColor="accent5"/>
          <w:left w:val="single" w:sz="8" w:space="0" w:color="8B8D8E" w:themeColor="accent5"/>
          <w:bottom w:val="single" w:sz="8" w:space="0" w:color="8B8D8E" w:themeColor="accent5"/>
          <w:right w:val="single" w:sz="8" w:space="0" w:color="8B8D8E" w:themeColor="accent5"/>
          <w:insideH w:val="nil"/>
          <w:insideV w:val="single" w:sz="8" w:space="0" w:color="8B8D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8D8E" w:themeColor="accent5"/>
          <w:left w:val="single" w:sz="8" w:space="0" w:color="8B8D8E" w:themeColor="accent5"/>
          <w:bottom w:val="single" w:sz="8" w:space="0" w:color="8B8D8E" w:themeColor="accent5"/>
          <w:right w:val="single" w:sz="8" w:space="0" w:color="8B8D8E" w:themeColor="accent5"/>
        </w:tcBorders>
      </w:tcPr>
    </w:tblStylePr>
    <w:tblStylePr w:type="band1Vert">
      <w:tblPr/>
      <w:tcPr>
        <w:tcBorders>
          <w:top w:val="single" w:sz="8" w:space="0" w:color="8B8D8E" w:themeColor="accent5"/>
          <w:left w:val="single" w:sz="8" w:space="0" w:color="8B8D8E" w:themeColor="accent5"/>
          <w:bottom w:val="single" w:sz="8" w:space="0" w:color="8B8D8E" w:themeColor="accent5"/>
          <w:right w:val="single" w:sz="8" w:space="0" w:color="8B8D8E" w:themeColor="accent5"/>
        </w:tcBorders>
        <w:shd w:val="clear" w:color="auto" w:fill="E2E2E3" w:themeFill="accent5" w:themeFillTint="3F"/>
      </w:tcPr>
    </w:tblStylePr>
    <w:tblStylePr w:type="band1Horz">
      <w:tblPr/>
      <w:tcPr>
        <w:tcBorders>
          <w:top w:val="single" w:sz="8" w:space="0" w:color="8B8D8E" w:themeColor="accent5"/>
          <w:left w:val="single" w:sz="8" w:space="0" w:color="8B8D8E" w:themeColor="accent5"/>
          <w:bottom w:val="single" w:sz="8" w:space="0" w:color="8B8D8E" w:themeColor="accent5"/>
          <w:right w:val="single" w:sz="8" w:space="0" w:color="8B8D8E" w:themeColor="accent5"/>
          <w:insideV w:val="single" w:sz="8" w:space="0" w:color="8B8D8E" w:themeColor="accent5"/>
        </w:tcBorders>
        <w:shd w:val="clear" w:color="auto" w:fill="E2E2E3" w:themeFill="accent5" w:themeFillTint="3F"/>
      </w:tcPr>
    </w:tblStylePr>
    <w:tblStylePr w:type="band2Horz">
      <w:tblPr/>
      <w:tcPr>
        <w:tcBorders>
          <w:top w:val="single" w:sz="8" w:space="0" w:color="8B8D8E" w:themeColor="accent5"/>
          <w:left w:val="single" w:sz="8" w:space="0" w:color="8B8D8E" w:themeColor="accent5"/>
          <w:bottom w:val="single" w:sz="8" w:space="0" w:color="8B8D8E" w:themeColor="accent5"/>
          <w:right w:val="single" w:sz="8" w:space="0" w:color="8B8D8E" w:themeColor="accent5"/>
          <w:insideV w:val="single" w:sz="8" w:space="0" w:color="8B8D8E" w:themeColor="accent5"/>
        </w:tcBorders>
      </w:tcPr>
    </w:tblStylePr>
  </w:style>
  <w:style w:type="table" w:styleId="LightGrid-Accent6">
    <w:name w:val="Light Grid Accent 6"/>
    <w:basedOn w:val="TableNormal"/>
    <w:uiPriority w:val="62"/>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404143" w:themeColor="accent6"/>
        <w:left w:val="single" w:sz="8" w:space="0" w:color="404143" w:themeColor="accent6"/>
        <w:bottom w:val="single" w:sz="8" w:space="0" w:color="404143" w:themeColor="accent6"/>
        <w:right w:val="single" w:sz="8" w:space="0" w:color="404143" w:themeColor="accent6"/>
        <w:insideH w:val="single" w:sz="8" w:space="0" w:color="404143" w:themeColor="accent6"/>
        <w:insideV w:val="single" w:sz="8" w:space="0" w:color="40414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143" w:themeColor="accent6"/>
          <w:left w:val="single" w:sz="8" w:space="0" w:color="404143" w:themeColor="accent6"/>
          <w:bottom w:val="single" w:sz="18" w:space="0" w:color="404143" w:themeColor="accent6"/>
          <w:right w:val="single" w:sz="8" w:space="0" w:color="404143" w:themeColor="accent6"/>
          <w:insideH w:val="nil"/>
          <w:insideV w:val="single" w:sz="8" w:space="0" w:color="40414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143" w:themeColor="accent6"/>
          <w:left w:val="single" w:sz="8" w:space="0" w:color="404143" w:themeColor="accent6"/>
          <w:bottom w:val="single" w:sz="8" w:space="0" w:color="404143" w:themeColor="accent6"/>
          <w:right w:val="single" w:sz="8" w:space="0" w:color="404143" w:themeColor="accent6"/>
          <w:insideH w:val="nil"/>
          <w:insideV w:val="single" w:sz="8" w:space="0" w:color="40414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143" w:themeColor="accent6"/>
          <w:left w:val="single" w:sz="8" w:space="0" w:color="404143" w:themeColor="accent6"/>
          <w:bottom w:val="single" w:sz="8" w:space="0" w:color="404143" w:themeColor="accent6"/>
          <w:right w:val="single" w:sz="8" w:space="0" w:color="404143" w:themeColor="accent6"/>
        </w:tcBorders>
      </w:tcPr>
    </w:tblStylePr>
    <w:tblStylePr w:type="band1Vert">
      <w:tblPr/>
      <w:tcPr>
        <w:tcBorders>
          <w:top w:val="single" w:sz="8" w:space="0" w:color="404143" w:themeColor="accent6"/>
          <w:left w:val="single" w:sz="8" w:space="0" w:color="404143" w:themeColor="accent6"/>
          <w:bottom w:val="single" w:sz="8" w:space="0" w:color="404143" w:themeColor="accent6"/>
          <w:right w:val="single" w:sz="8" w:space="0" w:color="404143" w:themeColor="accent6"/>
        </w:tcBorders>
        <w:shd w:val="clear" w:color="auto" w:fill="CFCFD1" w:themeFill="accent6" w:themeFillTint="3F"/>
      </w:tcPr>
    </w:tblStylePr>
    <w:tblStylePr w:type="band1Horz">
      <w:tblPr/>
      <w:tcPr>
        <w:tcBorders>
          <w:top w:val="single" w:sz="8" w:space="0" w:color="404143" w:themeColor="accent6"/>
          <w:left w:val="single" w:sz="8" w:space="0" w:color="404143" w:themeColor="accent6"/>
          <w:bottom w:val="single" w:sz="8" w:space="0" w:color="404143" w:themeColor="accent6"/>
          <w:right w:val="single" w:sz="8" w:space="0" w:color="404143" w:themeColor="accent6"/>
          <w:insideV w:val="single" w:sz="8" w:space="0" w:color="404143" w:themeColor="accent6"/>
        </w:tcBorders>
        <w:shd w:val="clear" w:color="auto" w:fill="CFCFD1" w:themeFill="accent6" w:themeFillTint="3F"/>
      </w:tcPr>
    </w:tblStylePr>
    <w:tblStylePr w:type="band2Horz">
      <w:tblPr/>
      <w:tcPr>
        <w:tcBorders>
          <w:top w:val="single" w:sz="8" w:space="0" w:color="404143" w:themeColor="accent6"/>
          <w:left w:val="single" w:sz="8" w:space="0" w:color="404143" w:themeColor="accent6"/>
          <w:bottom w:val="single" w:sz="8" w:space="0" w:color="404143" w:themeColor="accent6"/>
          <w:right w:val="single" w:sz="8" w:space="0" w:color="404143" w:themeColor="accent6"/>
          <w:insideV w:val="single" w:sz="8" w:space="0" w:color="404143" w:themeColor="accent6"/>
        </w:tcBorders>
      </w:tcPr>
    </w:tblStylePr>
  </w:style>
  <w:style w:type="table" w:styleId="LightList">
    <w:name w:val="Light List"/>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404143" w:themeColor="text1"/>
        <w:left w:val="single" w:sz="8" w:space="0" w:color="404143" w:themeColor="text1"/>
        <w:bottom w:val="single" w:sz="8" w:space="0" w:color="404143" w:themeColor="text1"/>
        <w:right w:val="single" w:sz="8" w:space="0" w:color="404143" w:themeColor="text1"/>
      </w:tblBorders>
    </w:tblPr>
    <w:tblStylePr w:type="firstRow">
      <w:pPr>
        <w:spacing w:before="0" w:after="0" w:line="240" w:lineRule="auto"/>
      </w:pPr>
      <w:rPr>
        <w:b/>
        <w:bCs/>
        <w:color w:val="FFFFFF" w:themeColor="background1"/>
      </w:rPr>
      <w:tblPr/>
      <w:tcPr>
        <w:shd w:val="clear" w:color="auto" w:fill="404143" w:themeFill="text1"/>
      </w:tcPr>
    </w:tblStylePr>
    <w:tblStylePr w:type="lastRow">
      <w:pPr>
        <w:spacing w:before="0" w:after="0" w:line="240" w:lineRule="auto"/>
      </w:pPr>
      <w:rPr>
        <w:b/>
        <w:bCs/>
      </w:rPr>
      <w:tblPr/>
      <w:tcPr>
        <w:tcBorders>
          <w:top w:val="double" w:sz="6" w:space="0" w:color="404143" w:themeColor="text1"/>
          <w:left w:val="single" w:sz="8" w:space="0" w:color="404143" w:themeColor="text1"/>
          <w:bottom w:val="single" w:sz="8" w:space="0" w:color="404143" w:themeColor="text1"/>
          <w:right w:val="single" w:sz="8" w:space="0" w:color="404143" w:themeColor="text1"/>
        </w:tcBorders>
      </w:tcPr>
    </w:tblStylePr>
    <w:tblStylePr w:type="firstCol">
      <w:rPr>
        <w:b/>
        <w:bCs/>
      </w:rPr>
    </w:tblStylePr>
    <w:tblStylePr w:type="lastCol">
      <w:rPr>
        <w:b/>
        <w:bCs/>
      </w:rPr>
    </w:tblStylePr>
    <w:tblStylePr w:type="band1Vert">
      <w:tblPr/>
      <w:tcPr>
        <w:tcBorders>
          <w:top w:val="single" w:sz="8" w:space="0" w:color="404143" w:themeColor="text1"/>
          <w:left w:val="single" w:sz="8" w:space="0" w:color="404143" w:themeColor="text1"/>
          <w:bottom w:val="single" w:sz="8" w:space="0" w:color="404143" w:themeColor="text1"/>
          <w:right w:val="single" w:sz="8" w:space="0" w:color="404143" w:themeColor="text1"/>
        </w:tcBorders>
      </w:tcPr>
    </w:tblStylePr>
    <w:tblStylePr w:type="band1Horz">
      <w:tblPr/>
      <w:tcPr>
        <w:tcBorders>
          <w:top w:val="single" w:sz="8" w:space="0" w:color="404143" w:themeColor="text1"/>
          <w:left w:val="single" w:sz="8" w:space="0" w:color="404143" w:themeColor="text1"/>
          <w:bottom w:val="single" w:sz="8" w:space="0" w:color="404143" w:themeColor="text1"/>
          <w:right w:val="single" w:sz="8" w:space="0" w:color="404143" w:themeColor="text1"/>
        </w:tcBorders>
      </w:tcPr>
    </w:tblStylePr>
  </w:style>
  <w:style w:type="table" w:styleId="LightList-Accent1">
    <w:name w:val="Light List Accent 1"/>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71930" w:themeColor="accent1"/>
        <w:left w:val="single" w:sz="8" w:space="0" w:color="A71930" w:themeColor="accent1"/>
        <w:bottom w:val="single" w:sz="8" w:space="0" w:color="A71930" w:themeColor="accent1"/>
        <w:right w:val="single" w:sz="8" w:space="0" w:color="A71930" w:themeColor="accent1"/>
      </w:tblBorders>
    </w:tblPr>
    <w:tblStylePr w:type="firstRow">
      <w:pPr>
        <w:spacing w:before="0" w:after="0" w:line="240" w:lineRule="auto"/>
      </w:pPr>
      <w:rPr>
        <w:b/>
        <w:bCs/>
        <w:color w:val="FFFFFF" w:themeColor="background1"/>
      </w:rPr>
      <w:tblPr/>
      <w:tcPr>
        <w:shd w:val="clear" w:color="auto" w:fill="A71930" w:themeFill="accent1"/>
      </w:tcPr>
    </w:tblStylePr>
    <w:tblStylePr w:type="lastRow">
      <w:pPr>
        <w:spacing w:before="0" w:after="0" w:line="240" w:lineRule="auto"/>
      </w:pPr>
      <w:rPr>
        <w:b/>
        <w:bCs/>
      </w:rPr>
      <w:tblPr/>
      <w:tcPr>
        <w:tcBorders>
          <w:top w:val="double" w:sz="6" w:space="0" w:color="A71930" w:themeColor="accent1"/>
          <w:left w:val="single" w:sz="8" w:space="0" w:color="A71930" w:themeColor="accent1"/>
          <w:bottom w:val="single" w:sz="8" w:space="0" w:color="A71930" w:themeColor="accent1"/>
          <w:right w:val="single" w:sz="8" w:space="0" w:color="A71930" w:themeColor="accent1"/>
        </w:tcBorders>
      </w:tcPr>
    </w:tblStylePr>
    <w:tblStylePr w:type="firstCol">
      <w:rPr>
        <w:b/>
        <w:bCs/>
      </w:rPr>
    </w:tblStylePr>
    <w:tblStylePr w:type="lastCol">
      <w:rPr>
        <w:b/>
        <w:bCs/>
      </w:rPr>
    </w:tblStylePr>
    <w:tblStylePr w:type="band1Vert">
      <w:tblPr/>
      <w:tcPr>
        <w:tcBorders>
          <w:top w:val="single" w:sz="8" w:space="0" w:color="A71930" w:themeColor="accent1"/>
          <w:left w:val="single" w:sz="8" w:space="0" w:color="A71930" w:themeColor="accent1"/>
          <w:bottom w:val="single" w:sz="8" w:space="0" w:color="A71930" w:themeColor="accent1"/>
          <w:right w:val="single" w:sz="8" w:space="0" w:color="A71930" w:themeColor="accent1"/>
        </w:tcBorders>
      </w:tcPr>
    </w:tblStylePr>
    <w:tblStylePr w:type="band1Horz">
      <w:tblPr/>
      <w:tcPr>
        <w:tcBorders>
          <w:top w:val="single" w:sz="8" w:space="0" w:color="A71930" w:themeColor="accent1"/>
          <w:left w:val="single" w:sz="8" w:space="0" w:color="A71930" w:themeColor="accent1"/>
          <w:bottom w:val="single" w:sz="8" w:space="0" w:color="A71930" w:themeColor="accent1"/>
          <w:right w:val="single" w:sz="8" w:space="0" w:color="A71930" w:themeColor="accent1"/>
        </w:tcBorders>
      </w:tcPr>
    </w:tblStylePr>
  </w:style>
  <w:style w:type="table" w:styleId="LightList-Accent2">
    <w:name w:val="Light List Accent 2"/>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BB700" w:themeColor="accent2"/>
        <w:left w:val="single" w:sz="8" w:space="0" w:color="EBB700" w:themeColor="accent2"/>
        <w:bottom w:val="single" w:sz="8" w:space="0" w:color="EBB700" w:themeColor="accent2"/>
        <w:right w:val="single" w:sz="8" w:space="0" w:color="EBB700" w:themeColor="accent2"/>
      </w:tblBorders>
    </w:tblPr>
    <w:tblStylePr w:type="firstRow">
      <w:pPr>
        <w:spacing w:before="0" w:after="0" w:line="240" w:lineRule="auto"/>
      </w:pPr>
      <w:rPr>
        <w:b/>
        <w:bCs/>
        <w:color w:val="FFFFFF" w:themeColor="background1"/>
      </w:rPr>
      <w:tblPr/>
      <w:tcPr>
        <w:shd w:val="clear" w:color="auto" w:fill="EBB700" w:themeFill="accent2"/>
      </w:tcPr>
    </w:tblStylePr>
    <w:tblStylePr w:type="lastRow">
      <w:pPr>
        <w:spacing w:before="0" w:after="0" w:line="240" w:lineRule="auto"/>
      </w:pPr>
      <w:rPr>
        <w:b/>
        <w:bCs/>
      </w:rPr>
      <w:tblPr/>
      <w:tcPr>
        <w:tcBorders>
          <w:top w:val="double" w:sz="6" w:space="0" w:color="EBB700" w:themeColor="accent2"/>
          <w:left w:val="single" w:sz="8" w:space="0" w:color="EBB700" w:themeColor="accent2"/>
          <w:bottom w:val="single" w:sz="8" w:space="0" w:color="EBB700" w:themeColor="accent2"/>
          <w:right w:val="single" w:sz="8" w:space="0" w:color="EBB700" w:themeColor="accent2"/>
        </w:tcBorders>
      </w:tcPr>
    </w:tblStylePr>
    <w:tblStylePr w:type="firstCol">
      <w:rPr>
        <w:b/>
        <w:bCs/>
      </w:rPr>
    </w:tblStylePr>
    <w:tblStylePr w:type="lastCol">
      <w:rPr>
        <w:b/>
        <w:bCs/>
      </w:rPr>
    </w:tblStylePr>
    <w:tblStylePr w:type="band1Vert">
      <w:tblPr/>
      <w:tcPr>
        <w:tcBorders>
          <w:top w:val="single" w:sz="8" w:space="0" w:color="EBB700" w:themeColor="accent2"/>
          <w:left w:val="single" w:sz="8" w:space="0" w:color="EBB700" w:themeColor="accent2"/>
          <w:bottom w:val="single" w:sz="8" w:space="0" w:color="EBB700" w:themeColor="accent2"/>
          <w:right w:val="single" w:sz="8" w:space="0" w:color="EBB700" w:themeColor="accent2"/>
        </w:tcBorders>
      </w:tcPr>
    </w:tblStylePr>
    <w:tblStylePr w:type="band1Horz">
      <w:tblPr/>
      <w:tcPr>
        <w:tcBorders>
          <w:top w:val="single" w:sz="8" w:space="0" w:color="EBB700" w:themeColor="accent2"/>
          <w:left w:val="single" w:sz="8" w:space="0" w:color="EBB700" w:themeColor="accent2"/>
          <w:bottom w:val="single" w:sz="8" w:space="0" w:color="EBB700" w:themeColor="accent2"/>
          <w:right w:val="single" w:sz="8" w:space="0" w:color="EBB700" w:themeColor="accent2"/>
        </w:tcBorders>
      </w:tcPr>
    </w:tblStylePr>
  </w:style>
  <w:style w:type="table" w:styleId="LightList-Accent3">
    <w:name w:val="Light List Accent 3"/>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773B6" w:themeColor="accent3"/>
        <w:left w:val="single" w:sz="8" w:space="0" w:color="6773B6" w:themeColor="accent3"/>
        <w:bottom w:val="single" w:sz="8" w:space="0" w:color="6773B6" w:themeColor="accent3"/>
        <w:right w:val="single" w:sz="8" w:space="0" w:color="6773B6" w:themeColor="accent3"/>
      </w:tblBorders>
    </w:tblPr>
    <w:tblStylePr w:type="firstRow">
      <w:pPr>
        <w:spacing w:before="0" w:after="0" w:line="240" w:lineRule="auto"/>
      </w:pPr>
      <w:rPr>
        <w:b/>
        <w:bCs/>
        <w:color w:val="FFFFFF" w:themeColor="background1"/>
      </w:rPr>
      <w:tblPr/>
      <w:tcPr>
        <w:shd w:val="clear" w:color="auto" w:fill="6773B6" w:themeFill="accent3"/>
      </w:tcPr>
    </w:tblStylePr>
    <w:tblStylePr w:type="lastRow">
      <w:pPr>
        <w:spacing w:before="0" w:after="0" w:line="240" w:lineRule="auto"/>
      </w:pPr>
      <w:rPr>
        <w:b/>
        <w:bCs/>
      </w:rPr>
      <w:tblPr/>
      <w:tcPr>
        <w:tcBorders>
          <w:top w:val="double" w:sz="6" w:space="0" w:color="6773B6" w:themeColor="accent3"/>
          <w:left w:val="single" w:sz="8" w:space="0" w:color="6773B6" w:themeColor="accent3"/>
          <w:bottom w:val="single" w:sz="8" w:space="0" w:color="6773B6" w:themeColor="accent3"/>
          <w:right w:val="single" w:sz="8" w:space="0" w:color="6773B6" w:themeColor="accent3"/>
        </w:tcBorders>
      </w:tcPr>
    </w:tblStylePr>
    <w:tblStylePr w:type="firstCol">
      <w:rPr>
        <w:b/>
        <w:bCs/>
      </w:rPr>
    </w:tblStylePr>
    <w:tblStylePr w:type="lastCol">
      <w:rPr>
        <w:b/>
        <w:bCs/>
      </w:rPr>
    </w:tblStylePr>
    <w:tblStylePr w:type="band1Vert">
      <w:tblPr/>
      <w:tcPr>
        <w:tcBorders>
          <w:top w:val="single" w:sz="8" w:space="0" w:color="6773B6" w:themeColor="accent3"/>
          <w:left w:val="single" w:sz="8" w:space="0" w:color="6773B6" w:themeColor="accent3"/>
          <w:bottom w:val="single" w:sz="8" w:space="0" w:color="6773B6" w:themeColor="accent3"/>
          <w:right w:val="single" w:sz="8" w:space="0" w:color="6773B6" w:themeColor="accent3"/>
        </w:tcBorders>
      </w:tcPr>
    </w:tblStylePr>
    <w:tblStylePr w:type="band1Horz">
      <w:tblPr/>
      <w:tcPr>
        <w:tcBorders>
          <w:top w:val="single" w:sz="8" w:space="0" w:color="6773B6" w:themeColor="accent3"/>
          <w:left w:val="single" w:sz="8" w:space="0" w:color="6773B6" w:themeColor="accent3"/>
          <w:bottom w:val="single" w:sz="8" w:space="0" w:color="6773B6" w:themeColor="accent3"/>
          <w:right w:val="single" w:sz="8" w:space="0" w:color="6773B6" w:themeColor="accent3"/>
        </w:tcBorders>
      </w:tcPr>
    </w:tblStylePr>
  </w:style>
  <w:style w:type="table" w:styleId="LightList-Accent4">
    <w:name w:val="Light List Accent 4"/>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tblBorders>
    </w:tblPr>
    <w:tblStylePr w:type="firstRow">
      <w:pPr>
        <w:spacing w:before="0" w:after="0" w:line="240" w:lineRule="auto"/>
      </w:pPr>
      <w:rPr>
        <w:b/>
        <w:bCs/>
        <w:color w:val="FFFFFF" w:themeColor="background1"/>
      </w:rPr>
      <w:tblPr/>
      <w:tcPr>
        <w:shd w:val="clear" w:color="auto" w:fill="A2AD00" w:themeFill="accent4"/>
      </w:tcPr>
    </w:tblStylePr>
    <w:tblStylePr w:type="lastRow">
      <w:pPr>
        <w:spacing w:before="0" w:after="0" w:line="240" w:lineRule="auto"/>
      </w:pPr>
      <w:rPr>
        <w:b/>
        <w:bCs/>
      </w:rPr>
      <w:tblPr/>
      <w:tcPr>
        <w:tcBorders>
          <w:top w:val="double" w:sz="6" w:space="0" w:color="A2AD00" w:themeColor="accent4"/>
          <w:left w:val="single" w:sz="8" w:space="0" w:color="A2AD00" w:themeColor="accent4"/>
          <w:bottom w:val="single" w:sz="8" w:space="0" w:color="A2AD00" w:themeColor="accent4"/>
          <w:right w:val="single" w:sz="8" w:space="0" w:color="A2AD00" w:themeColor="accent4"/>
        </w:tcBorders>
      </w:tcPr>
    </w:tblStylePr>
    <w:tblStylePr w:type="firstCol">
      <w:rPr>
        <w:b/>
        <w:bCs/>
      </w:rPr>
    </w:tblStylePr>
    <w:tblStylePr w:type="lastCol">
      <w:rPr>
        <w:b/>
        <w:bCs/>
      </w:rPr>
    </w:tblStylePr>
    <w:tblStylePr w:type="band1Vert">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tblStylePr w:type="band1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style>
  <w:style w:type="table" w:styleId="LightList-Accent5">
    <w:name w:val="Light List Accent 5"/>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8B8D8E" w:themeColor="accent5"/>
        <w:left w:val="single" w:sz="8" w:space="0" w:color="8B8D8E" w:themeColor="accent5"/>
        <w:bottom w:val="single" w:sz="8" w:space="0" w:color="8B8D8E" w:themeColor="accent5"/>
        <w:right w:val="single" w:sz="8" w:space="0" w:color="8B8D8E" w:themeColor="accent5"/>
      </w:tblBorders>
    </w:tblPr>
    <w:tblStylePr w:type="firstRow">
      <w:pPr>
        <w:spacing w:before="0" w:after="0" w:line="240" w:lineRule="auto"/>
      </w:pPr>
      <w:rPr>
        <w:b/>
        <w:bCs/>
        <w:color w:val="FFFFFF" w:themeColor="background1"/>
      </w:rPr>
      <w:tblPr/>
      <w:tcPr>
        <w:shd w:val="clear" w:color="auto" w:fill="8B8D8E" w:themeFill="accent5"/>
      </w:tcPr>
    </w:tblStylePr>
    <w:tblStylePr w:type="lastRow">
      <w:pPr>
        <w:spacing w:before="0" w:after="0" w:line="240" w:lineRule="auto"/>
      </w:pPr>
      <w:rPr>
        <w:b/>
        <w:bCs/>
      </w:rPr>
      <w:tblPr/>
      <w:tcPr>
        <w:tcBorders>
          <w:top w:val="double" w:sz="6" w:space="0" w:color="8B8D8E" w:themeColor="accent5"/>
          <w:left w:val="single" w:sz="8" w:space="0" w:color="8B8D8E" w:themeColor="accent5"/>
          <w:bottom w:val="single" w:sz="8" w:space="0" w:color="8B8D8E" w:themeColor="accent5"/>
          <w:right w:val="single" w:sz="8" w:space="0" w:color="8B8D8E" w:themeColor="accent5"/>
        </w:tcBorders>
      </w:tcPr>
    </w:tblStylePr>
    <w:tblStylePr w:type="firstCol">
      <w:rPr>
        <w:b/>
        <w:bCs/>
      </w:rPr>
    </w:tblStylePr>
    <w:tblStylePr w:type="lastCol">
      <w:rPr>
        <w:b/>
        <w:bCs/>
      </w:rPr>
    </w:tblStylePr>
    <w:tblStylePr w:type="band1Vert">
      <w:tblPr/>
      <w:tcPr>
        <w:tcBorders>
          <w:top w:val="single" w:sz="8" w:space="0" w:color="8B8D8E" w:themeColor="accent5"/>
          <w:left w:val="single" w:sz="8" w:space="0" w:color="8B8D8E" w:themeColor="accent5"/>
          <w:bottom w:val="single" w:sz="8" w:space="0" w:color="8B8D8E" w:themeColor="accent5"/>
          <w:right w:val="single" w:sz="8" w:space="0" w:color="8B8D8E" w:themeColor="accent5"/>
        </w:tcBorders>
      </w:tcPr>
    </w:tblStylePr>
    <w:tblStylePr w:type="band1Horz">
      <w:tblPr/>
      <w:tcPr>
        <w:tcBorders>
          <w:top w:val="single" w:sz="8" w:space="0" w:color="8B8D8E" w:themeColor="accent5"/>
          <w:left w:val="single" w:sz="8" w:space="0" w:color="8B8D8E" w:themeColor="accent5"/>
          <w:bottom w:val="single" w:sz="8" w:space="0" w:color="8B8D8E" w:themeColor="accent5"/>
          <w:right w:val="single" w:sz="8" w:space="0" w:color="8B8D8E" w:themeColor="accent5"/>
        </w:tcBorders>
      </w:tcPr>
    </w:tblStylePr>
  </w:style>
  <w:style w:type="table" w:styleId="LightList-Accent6">
    <w:name w:val="Light List Accent 6"/>
    <w:basedOn w:val="TableNormal"/>
    <w:uiPriority w:val="61"/>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404143" w:themeColor="accent6"/>
        <w:left w:val="single" w:sz="8" w:space="0" w:color="404143" w:themeColor="accent6"/>
        <w:bottom w:val="single" w:sz="8" w:space="0" w:color="404143" w:themeColor="accent6"/>
        <w:right w:val="single" w:sz="8" w:space="0" w:color="404143" w:themeColor="accent6"/>
      </w:tblBorders>
    </w:tblPr>
    <w:tblStylePr w:type="firstRow">
      <w:pPr>
        <w:spacing w:before="0" w:after="0" w:line="240" w:lineRule="auto"/>
      </w:pPr>
      <w:rPr>
        <w:b/>
        <w:bCs/>
        <w:color w:val="FFFFFF" w:themeColor="background1"/>
      </w:rPr>
      <w:tblPr/>
      <w:tcPr>
        <w:shd w:val="clear" w:color="auto" w:fill="404143" w:themeFill="accent6"/>
      </w:tcPr>
    </w:tblStylePr>
    <w:tblStylePr w:type="lastRow">
      <w:pPr>
        <w:spacing w:before="0" w:after="0" w:line="240" w:lineRule="auto"/>
      </w:pPr>
      <w:rPr>
        <w:b/>
        <w:bCs/>
      </w:rPr>
      <w:tblPr/>
      <w:tcPr>
        <w:tcBorders>
          <w:top w:val="double" w:sz="6" w:space="0" w:color="404143" w:themeColor="accent6"/>
          <w:left w:val="single" w:sz="8" w:space="0" w:color="404143" w:themeColor="accent6"/>
          <w:bottom w:val="single" w:sz="8" w:space="0" w:color="404143" w:themeColor="accent6"/>
          <w:right w:val="single" w:sz="8" w:space="0" w:color="404143" w:themeColor="accent6"/>
        </w:tcBorders>
      </w:tcPr>
    </w:tblStylePr>
    <w:tblStylePr w:type="firstCol">
      <w:rPr>
        <w:b/>
        <w:bCs/>
      </w:rPr>
    </w:tblStylePr>
    <w:tblStylePr w:type="lastCol">
      <w:rPr>
        <w:b/>
        <w:bCs/>
      </w:rPr>
    </w:tblStylePr>
    <w:tblStylePr w:type="band1Vert">
      <w:tblPr/>
      <w:tcPr>
        <w:tcBorders>
          <w:top w:val="single" w:sz="8" w:space="0" w:color="404143" w:themeColor="accent6"/>
          <w:left w:val="single" w:sz="8" w:space="0" w:color="404143" w:themeColor="accent6"/>
          <w:bottom w:val="single" w:sz="8" w:space="0" w:color="404143" w:themeColor="accent6"/>
          <w:right w:val="single" w:sz="8" w:space="0" w:color="404143" w:themeColor="accent6"/>
        </w:tcBorders>
      </w:tcPr>
    </w:tblStylePr>
    <w:tblStylePr w:type="band1Horz">
      <w:tblPr/>
      <w:tcPr>
        <w:tcBorders>
          <w:top w:val="single" w:sz="8" w:space="0" w:color="404143" w:themeColor="accent6"/>
          <w:left w:val="single" w:sz="8" w:space="0" w:color="404143" w:themeColor="accent6"/>
          <w:bottom w:val="single" w:sz="8" w:space="0" w:color="404143" w:themeColor="accent6"/>
          <w:right w:val="single" w:sz="8" w:space="0" w:color="404143" w:themeColor="accent6"/>
        </w:tcBorders>
      </w:tcPr>
    </w:tblStylePr>
  </w:style>
  <w:style w:type="table" w:styleId="LightShading">
    <w:name w:val="Light Shading"/>
    <w:basedOn w:val="TableNormal"/>
    <w:uiPriority w:val="60"/>
    <w:semiHidden/>
    <w:unhideWhenUsed/>
    <w:rsid w:val="00F3012E"/>
    <w:rPr>
      <w:rFonts w:asciiTheme="minorHAnsi" w:hAnsiTheme="minorHAnsi" w:cstheme="minorBidi"/>
      <w:color w:val="303032" w:themeColor="text1" w:themeShade="BF"/>
      <w:sz w:val="22"/>
      <w:szCs w:val="22"/>
      <w:lang w:eastAsia="zh-CN"/>
    </w:rPr>
    <w:tblPr>
      <w:tblStyleRowBandSize w:val="1"/>
      <w:tblStyleColBandSize w:val="1"/>
      <w:tblBorders>
        <w:top w:val="single" w:sz="8" w:space="0" w:color="404143" w:themeColor="text1"/>
        <w:bottom w:val="single" w:sz="8" w:space="0" w:color="404143" w:themeColor="text1"/>
      </w:tblBorders>
    </w:tblPr>
    <w:tblStylePr w:type="firstRow">
      <w:pPr>
        <w:spacing w:before="0" w:after="0" w:line="240" w:lineRule="auto"/>
      </w:pPr>
      <w:rPr>
        <w:b/>
        <w:bCs/>
      </w:rPr>
      <w:tblPr/>
      <w:tcPr>
        <w:tcBorders>
          <w:top w:val="single" w:sz="8" w:space="0" w:color="404143" w:themeColor="text1"/>
          <w:left w:val="nil"/>
          <w:bottom w:val="single" w:sz="8" w:space="0" w:color="404143" w:themeColor="text1"/>
          <w:right w:val="nil"/>
          <w:insideH w:val="nil"/>
          <w:insideV w:val="nil"/>
        </w:tcBorders>
      </w:tcPr>
    </w:tblStylePr>
    <w:tblStylePr w:type="lastRow">
      <w:pPr>
        <w:spacing w:before="0" w:after="0" w:line="240" w:lineRule="auto"/>
      </w:pPr>
      <w:rPr>
        <w:b/>
        <w:bCs/>
      </w:rPr>
      <w:tblPr/>
      <w:tcPr>
        <w:tcBorders>
          <w:top w:val="single" w:sz="8" w:space="0" w:color="404143" w:themeColor="text1"/>
          <w:left w:val="nil"/>
          <w:bottom w:val="single" w:sz="8" w:space="0" w:color="40414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1" w:themeFill="text1" w:themeFillTint="3F"/>
      </w:tcPr>
    </w:tblStylePr>
    <w:tblStylePr w:type="band1Horz">
      <w:tblPr/>
      <w:tcPr>
        <w:tcBorders>
          <w:left w:val="nil"/>
          <w:right w:val="nil"/>
          <w:insideH w:val="nil"/>
          <w:insideV w:val="nil"/>
        </w:tcBorders>
        <w:shd w:val="clear" w:color="auto" w:fill="CFCFD1" w:themeFill="text1" w:themeFillTint="3F"/>
      </w:tcPr>
    </w:tblStylePr>
  </w:style>
  <w:style w:type="table" w:styleId="LightShading-Accent1">
    <w:name w:val="Light Shading Accent 1"/>
    <w:basedOn w:val="TableNormal"/>
    <w:uiPriority w:val="60"/>
    <w:semiHidden/>
    <w:unhideWhenUsed/>
    <w:rsid w:val="00F3012E"/>
    <w:rPr>
      <w:rFonts w:asciiTheme="minorHAnsi" w:hAnsiTheme="minorHAnsi" w:cstheme="minorBidi"/>
      <w:color w:val="7C1223" w:themeColor="accent1" w:themeShade="BF"/>
      <w:sz w:val="22"/>
      <w:szCs w:val="22"/>
      <w:lang w:eastAsia="zh-CN"/>
    </w:rPr>
    <w:tblPr>
      <w:tblStyleRowBandSize w:val="1"/>
      <w:tblStyleColBandSize w:val="1"/>
      <w:tblBorders>
        <w:top w:val="single" w:sz="8" w:space="0" w:color="A71930" w:themeColor="accent1"/>
        <w:bottom w:val="single" w:sz="8" w:space="0" w:color="A71930" w:themeColor="accent1"/>
      </w:tblBorders>
    </w:tblPr>
    <w:tblStylePr w:type="firstRow">
      <w:pPr>
        <w:spacing w:before="0" w:after="0" w:line="240" w:lineRule="auto"/>
      </w:pPr>
      <w:rPr>
        <w:b/>
        <w:bCs/>
      </w:rPr>
      <w:tblPr/>
      <w:tcPr>
        <w:tcBorders>
          <w:top w:val="single" w:sz="8" w:space="0" w:color="A71930" w:themeColor="accent1"/>
          <w:left w:val="nil"/>
          <w:bottom w:val="single" w:sz="8" w:space="0" w:color="A71930" w:themeColor="accent1"/>
          <w:right w:val="nil"/>
          <w:insideH w:val="nil"/>
          <w:insideV w:val="nil"/>
        </w:tcBorders>
      </w:tcPr>
    </w:tblStylePr>
    <w:tblStylePr w:type="lastRow">
      <w:pPr>
        <w:spacing w:before="0" w:after="0" w:line="240" w:lineRule="auto"/>
      </w:pPr>
      <w:rPr>
        <w:b/>
        <w:bCs/>
      </w:rPr>
      <w:tblPr/>
      <w:tcPr>
        <w:tcBorders>
          <w:top w:val="single" w:sz="8" w:space="0" w:color="A71930" w:themeColor="accent1"/>
          <w:left w:val="nil"/>
          <w:bottom w:val="single" w:sz="8" w:space="0" w:color="A719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AC3" w:themeFill="accent1" w:themeFillTint="3F"/>
      </w:tcPr>
    </w:tblStylePr>
    <w:tblStylePr w:type="band1Horz">
      <w:tblPr/>
      <w:tcPr>
        <w:tcBorders>
          <w:left w:val="nil"/>
          <w:right w:val="nil"/>
          <w:insideH w:val="nil"/>
          <w:insideV w:val="nil"/>
        </w:tcBorders>
        <w:shd w:val="clear" w:color="auto" w:fill="F4BAC3" w:themeFill="accent1" w:themeFillTint="3F"/>
      </w:tcPr>
    </w:tblStylePr>
  </w:style>
  <w:style w:type="table" w:styleId="LightShading-Accent2">
    <w:name w:val="Light Shading Accent 2"/>
    <w:basedOn w:val="TableNormal"/>
    <w:uiPriority w:val="60"/>
    <w:semiHidden/>
    <w:unhideWhenUsed/>
    <w:rsid w:val="00F3012E"/>
    <w:rPr>
      <w:rFonts w:asciiTheme="minorHAnsi" w:hAnsiTheme="minorHAnsi" w:cstheme="minorBidi"/>
      <w:color w:val="B08800" w:themeColor="accent2" w:themeShade="BF"/>
      <w:sz w:val="22"/>
      <w:szCs w:val="22"/>
      <w:lang w:eastAsia="zh-CN"/>
    </w:rPr>
    <w:tblPr>
      <w:tblStyleRowBandSize w:val="1"/>
      <w:tblStyleColBandSize w:val="1"/>
      <w:tblBorders>
        <w:top w:val="single" w:sz="8" w:space="0" w:color="EBB700" w:themeColor="accent2"/>
        <w:bottom w:val="single" w:sz="8" w:space="0" w:color="EBB700" w:themeColor="accent2"/>
      </w:tblBorders>
    </w:tblPr>
    <w:tblStylePr w:type="firstRow">
      <w:pPr>
        <w:spacing w:before="0" w:after="0" w:line="240" w:lineRule="auto"/>
      </w:pPr>
      <w:rPr>
        <w:b/>
        <w:bCs/>
      </w:rPr>
      <w:tblPr/>
      <w:tcPr>
        <w:tcBorders>
          <w:top w:val="single" w:sz="8" w:space="0" w:color="EBB700" w:themeColor="accent2"/>
          <w:left w:val="nil"/>
          <w:bottom w:val="single" w:sz="8" w:space="0" w:color="EBB700" w:themeColor="accent2"/>
          <w:right w:val="nil"/>
          <w:insideH w:val="nil"/>
          <w:insideV w:val="nil"/>
        </w:tcBorders>
      </w:tcPr>
    </w:tblStylePr>
    <w:tblStylePr w:type="lastRow">
      <w:pPr>
        <w:spacing w:before="0" w:after="0" w:line="240" w:lineRule="auto"/>
      </w:pPr>
      <w:rPr>
        <w:b/>
        <w:bCs/>
      </w:rPr>
      <w:tblPr/>
      <w:tcPr>
        <w:tcBorders>
          <w:top w:val="single" w:sz="8" w:space="0" w:color="EBB700" w:themeColor="accent2"/>
          <w:left w:val="nil"/>
          <w:bottom w:val="single" w:sz="8" w:space="0" w:color="EBB7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B" w:themeFill="accent2" w:themeFillTint="3F"/>
      </w:tcPr>
    </w:tblStylePr>
    <w:tblStylePr w:type="band1Horz">
      <w:tblPr/>
      <w:tcPr>
        <w:tcBorders>
          <w:left w:val="nil"/>
          <w:right w:val="nil"/>
          <w:insideH w:val="nil"/>
          <w:insideV w:val="nil"/>
        </w:tcBorders>
        <w:shd w:val="clear" w:color="auto" w:fill="FFEFBB" w:themeFill="accent2" w:themeFillTint="3F"/>
      </w:tcPr>
    </w:tblStylePr>
  </w:style>
  <w:style w:type="table" w:styleId="LightShading-Accent3">
    <w:name w:val="Light Shading Accent 3"/>
    <w:basedOn w:val="TableNormal"/>
    <w:uiPriority w:val="60"/>
    <w:semiHidden/>
    <w:unhideWhenUsed/>
    <w:rsid w:val="00F3012E"/>
    <w:rPr>
      <w:rFonts w:asciiTheme="minorHAnsi" w:hAnsiTheme="minorHAnsi" w:cstheme="minorBidi"/>
      <w:color w:val="455090" w:themeColor="accent3" w:themeShade="BF"/>
      <w:sz w:val="22"/>
      <w:szCs w:val="22"/>
      <w:lang w:eastAsia="zh-CN"/>
    </w:rPr>
    <w:tblPr>
      <w:tblStyleRowBandSize w:val="1"/>
      <w:tblStyleColBandSize w:val="1"/>
      <w:tblBorders>
        <w:top w:val="single" w:sz="8" w:space="0" w:color="6773B6" w:themeColor="accent3"/>
        <w:bottom w:val="single" w:sz="8" w:space="0" w:color="6773B6" w:themeColor="accent3"/>
      </w:tblBorders>
    </w:tblPr>
    <w:tblStylePr w:type="firstRow">
      <w:pPr>
        <w:spacing w:before="0" w:after="0" w:line="240" w:lineRule="auto"/>
      </w:pPr>
      <w:rPr>
        <w:b/>
        <w:bCs/>
      </w:rPr>
      <w:tblPr/>
      <w:tcPr>
        <w:tcBorders>
          <w:top w:val="single" w:sz="8" w:space="0" w:color="6773B6" w:themeColor="accent3"/>
          <w:left w:val="nil"/>
          <w:bottom w:val="single" w:sz="8" w:space="0" w:color="6773B6" w:themeColor="accent3"/>
          <w:right w:val="nil"/>
          <w:insideH w:val="nil"/>
          <w:insideV w:val="nil"/>
        </w:tcBorders>
      </w:tcPr>
    </w:tblStylePr>
    <w:tblStylePr w:type="lastRow">
      <w:pPr>
        <w:spacing w:before="0" w:after="0" w:line="240" w:lineRule="auto"/>
      </w:pPr>
      <w:rPr>
        <w:b/>
        <w:bCs/>
      </w:rPr>
      <w:tblPr/>
      <w:tcPr>
        <w:tcBorders>
          <w:top w:val="single" w:sz="8" w:space="0" w:color="6773B6" w:themeColor="accent3"/>
          <w:left w:val="nil"/>
          <w:bottom w:val="single" w:sz="8" w:space="0" w:color="6773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CED" w:themeFill="accent3" w:themeFillTint="3F"/>
      </w:tcPr>
    </w:tblStylePr>
    <w:tblStylePr w:type="band1Horz">
      <w:tblPr/>
      <w:tcPr>
        <w:tcBorders>
          <w:left w:val="nil"/>
          <w:right w:val="nil"/>
          <w:insideH w:val="nil"/>
          <w:insideV w:val="nil"/>
        </w:tcBorders>
        <w:shd w:val="clear" w:color="auto" w:fill="D9DCED" w:themeFill="accent3" w:themeFillTint="3F"/>
      </w:tcPr>
    </w:tblStylePr>
  </w:style>
  <w:style w:type="table" w:styleId="LightShading-Accent4">
    <w:name w:val="Light Shading Accent 4"/>
    <w:basedOn w:val="TableNormal"/>
    <w:uiPriority w:val="60"/>
    <w:semiHidden/>
    <w:unhideWhenUsed/>
    <w:rsid w:val="00F3012E"/>
    <w:rPr>
      <w:rFonts w:asciiTheme="minorHAnsi" w:hAnsiTheme="minorHAnsi" w:cstheme="minorBidi"/>
      <w:color w:val="788100" w:themeColor="accent4" w:themeShade="BF"/>
      <w:sz w:val="22"/>
      <w:szCs w:val="22"/>
      <w:lang w:eastAsia="zh-CN"/>
    </w:rPr>
    <w:tblPr>
      <w:tblStyleRowBandSize w:val="1"/>
      <w:tblStyleColBandSize w:val="1"/>
      <w:tblBorders>
        <w:top w:val="single" w:sz="8" w:space="0" w:color="A2AD00" w:themeColor="accent4"/>
        <w:bottom w:val="single" w:sz="8" w:space="0" w:color="A2AD00" w:themeColor="accent4"/>
      </w:tblBorders>
    </w:tblPr>
    <w:tblStylePr w:type="firstRow">
      <w:pPr>
        <w:spacing w:before="0" w:after="0" w:line="240" w:lineRule="auto"/>
      </w:pPr>
      <w:rPr>
        <w:b/>
        <w:bCs/>
      </w:rPr>
      <w:tblPr/>
      <w:tcPr>
        <w:tcBorders>
          <w:top w:val="single" w:sz="8" w:space="0" w:color="A2AD00" w:themeColor="accent4"/>
          <w:left w:val="nil"/>
          <w:bottom w:val="single" w:sz="8" w:space="0" w:color="A2AD00" w:themeColor="accent4"/>
          <w:right w:val="nil"/>
          <w:insideH w:val="nil"/>
          <w:insideV w:val="nil"/>
        </w:tcBorders>
      </w:tcPr>
    </w:tblStylePr>
    <w:tblStylePr w:type="lastRow">
      <w:pPr>
        <w:spacing w:before="0" w:after="0" w:line="240" w:lineRule="auto"/>
      </w:pPr>
      <w:rPr>
        <w:b/>
        <w:bCs/>
      </w:rPr>
      <w:tblPr/>
      <w:tcPr>
        <w:tcBorders>
          <w:top w:val="single" w:sz="8" w:space="0" w:color="A2AD00" w:themeColor="accent4"/>
          <w:left w:val="nil"/>
          <w:bottom w:val="single" w:sz="8" w:space="0" w:color="A2A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FAB" w:themeFill="accent4" w:themeFillTint="3F"/>
      </w:tcPr>
    </w:tblStylePr>
    <w:tblStylePr w:type="band1Horz">
      <w:tblPr/>
      <w:tcPr>
        <w:tcBorders>
          <w:left w:val="nil"/>
          <w:right w:val="nil"/>
          <w:insideH w:val="nil"/>
          <w:insideV w:val="nil"/>
        </w:tcBorders>
        <w:shd w:val="clear" w:color="auto" w:fill="F9FFAB" w:themeFill="accent4" w:themeFillTint="3F"/>
      </w:tcPr>
    </w:tblStylePr>
  </w:style>
  <w:style w:type="table" w:styleId="LightShading-Accent5">
    <w:name w:val="Light Shading Accent 5"/>
    <w:basedOn w:val="TableNormal"/>
    <w:uiPriority w:val="60"/>
    <w:semiHidden/>
    <w:unhideWhenUsed/>
    <w:rsid w:val="00F3012E"/>
    <w:rPr>
      <w:rFonts w:asciiTheme="minorHAnsi" w:hAnsiTheme="minorHAnsi" w:cstheme="minorBidi"/>
      <w:color w:val="67696A" w:themeColor="accent5" w:themeShade="BF"/>
      <w:sz w:val="22"/>
      <w:szCs w:val="22"/>
      <w:lang w:eastAsia="zh-CN"/>
    </w:rPr>
    <w:tblPr>
      <w:tblStyleRowBandSize w:val="1"/>
      <w:tblStyleColBandSize w:val="1"/>
      <w:tblBorders>
        <w:top w:val="single" w:sz="8" w:space="0" w:color="8B8D8E" w:themeColor="accent5"/>
        <w:bottom w:val="single" w:sz="8" w:space="0" w:color="8B8D8E" w:themeColor="accent5"/>
      </w:tblBorders>
    </w:tblPr>
    <w:tblStylePr w:type="firstRow">
      <w:pPr>
        <w:spacing w:before="0" w:after="0" w:line="240" w:lineRule="auto"/>
      </w:pPr>
      <w:rPr>
        <w:b/>
        <w:bCs/>
      </w:rPr>
      <w:tblPr/>
      <w:tcPr>
        <w:tcBorders>
          <w:top w:val="single" w:sz="8" w:space="0" w:color="8B8D8E" w:themeColor="accent5"/>
          <w:left w:val="nil"/>
          <w:bottom w:val="single" w:sz="8" w:space="0" w:color="8B8D8E" w:themeColor="accent5"/>
          <w:right w:val="nil"/>
          <w:insideH w:val="nil"/>
          <w:insideV w:val="nil"/>
        </w:tcBorders>
      </w:tcPr>
    </w:tblStylePr>
    <w:tblStylePr w:type="lastRow">
      <w:pPr>
        <w:spacing w:before="0" w:after="0" w:line="240" w:lineRule="auto"/>
      </w:pPr>
      <w:rPr>
        <w:b/>
        <w:bCs/>
      </w:rPr>
      <w:tblPr/>
      <w:tcPr>
        <w:tcBorders>
          <w:top w:val="single" w:sz="8" w:space="0" w:color="8B8D8E" w:themeColor="accent5"/>
          <w:left w:val="nil"/>
          <w:bottom w:val="single" w:sz="8" w:space="0" w:color="8B8D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2E3" w:themeFill="accent5" w:themeFillTint="3F"/>
      </w:tcPr>
    </w:tblStylePr>
    <w:tblStylePr w:type="band1Horz">
      <w:tblPr/>
      <w:tcPr>
        <w:tcBorders>
          <w:left w:val="nil"/>
          <w:right w:val="nil"/>
          <w:insideH w:val="nil"/>
          <w:insideV w:val="nil"/>
        </w:tcBorders>
        <w:shd w:val="clear" w:color="auto" w:fill="E2E2E3" w:themeFill="accent5" w:themeFillTint="3F"/>
      </w:tcPr>
    </w:tblStylePr>
  </w:style>
  <w:style w:type="table" w:styleId="LightShading-Accent6">
    <w:name w:val="Light Shading Accent 6"/>
    <w:basedOn w:val="TableNormal"/>
    <w:uiPriority w:val="60"/>
    <w:semiHidden/>
    <w:unhideWhenUsed/>
    <w:rsid w:val="00F3012E"/>
    <w:rPr>
      <w:rFonts w:asciiTheme="minorHAnsi" w:hAnsiTheme="minorHAnsi" w:cstheme="minorBidi"/>
      <w:color w:val="303032" w:themeColor="accent6" w:themeShade="BF"/>
      <w:sz w:val="22"/>
      <w:szCs w:val="22"/>
      <w:lang w:eastAsia="zh-CN"/>
    </w:rPr>
    <w:tblPr>
      <w:tblStyleRowBandSize w:val="1"/>
      <w:tblStyleColBandSize w:val="1"/>
      <w:tblBorders>
        <w:top w:val="single" w:sz="8" w:space="0" w:color="404143" w:themeColor="accent6"/>
        <w:bottom w:val="single" w:sz="8" w:space="0" w:color="404143" w:themeColor="accent6"/>
      </w:tblBorders>
    </w:tblPr>
    <w:tblStylePr w:type="firstRow">
      <w:pPr>
        <w:spacing w:before="0" w:after="0" w:line="240" w:lineRule="auto"/>
      </w:pPr>
      <w:rPr>
        <w:b/>
        <w:bCs/>
      </w:rPr>
      <w:tblPr/>
      <w:tcPr>
        <w:tcBorders>
          <w:top w:val="single" w:sz="8" w:space="0" w:color="404143" w:themeColor="accent6"/>
          <w:left w:val="nil"/>
          <w:bottom w:val="single" w:sz="8" w:space="0" w:color="404143" w:themeColor="accent6"/>
          <w:right w:val="nil"/>
          <w:insideH w:val="nil"/>
          <w:insideV w:val="nil"/>
        </w:tcBorders>
      </w:tcPr>
    </w:tblStylePr>
    <w:tblStylePr w:type="lastRow">
      <w:pPr>
        <w:spacing w:before="0" w:after="0" w:line="240" w:lineRule="auto"/>
      </w:pPr>
      <w:rPr>
        <w:b/>
        <w:bCs/>
      </w:rPr>
      <w:tblPr/>
      <w:tcPr>
        <w:tcBorders>
          <w:top w:val="single" w:sz="8" w:space="0" w:color="404143" w:themeColor="accent6"/>
          <w:left w:val="nil"/>
          <w:bottom w:val="single" w:sz="8" w:space="0" w:color="40414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1" w:themeFill="accent6" w:themeFillTint="3F"/>
      </w:tcPr>
    </w:tblStylePr>
    <w:tblStylePr w:type="band1Horz">
      <w:tblPr/>
      <w:tcPr>
        <w:tcBorders>
          <w:left w:val="nil"/>
          <w:right w:val="nil"/>
          <w:insideH w:val="nil"/>
          <w:insideV w:val="nil"/>
        </w:tcBorders>
        <w:shd w:val="clear" w:color="auto" w:fill="CFCFD1" w:themeFill="accent6" w:themeFillTint="3F"/>
      </w:tcPr>
    </w:tblStylePr>
  </w:style>
  <w:style w:type="table" w:styleId="ListTable1Light">
    <w:name w:val="List Table 1 Light"/>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8A8C8F" w:themeColor="text1" w:themeTint="99"/>
        </w:tcBorders>
      </w:tcPr>
    </w:tblStylePr>
    <w:tblStylePr w:type="lastRow">
      <w:rPr>
        <w:b/>
        <w:bCs/>
      </w:rPr>
      <w:tblPr/>
      <w:tcPr>
        <w:tcBorders>
          <w:top w:val="single" w:sz="4" w:space="0" w:color="8A8C8F" w:themeColor="text1" w:themeTint="99"/>
        </w:tcBorders>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ListTable1Light-Accent1">
    <w:name w:val="List Table 1 Light Accent 1"/>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E6586F" w:themeColor="accent1" w:themeTint="99"/>
        </w:tcBorders>
      </w:tcPr>
    </w:tblStylePr>
    <w:tblStylePr w:type="lastRow">
      <w:rPr>
        <w:b/>
        <w:bCs/>
      </w:rPr>
      <w:tblPr/>
      <w:tcPr>
        <w:tcBorders>
          <w:top w:val="single" w:sz="4" w:space="0" w:color="E6586F" w:themeColor="accent1" w:themeTint="99"/>
        </w:tcBorders>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ListTable1Light-Accent2">
    <w:name w:val="List Table 1 Light Accent 2"/>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FFDA5A" w:themeColor="accent2" w:themeTint="99"/>
        </w:tcBorders>
      </w:tcPr>
    </w:tblStylePr>
    <w:tblStylePr w:type="lastRow">
      <w:rPr>
        <w:b/>
        <w:bCs/>
      </w:rPr>
      <w:tblPr/>
      <w:tcPr>
        <w:tcBorders>
          <w:top w:val="single" w:sz="4" w:space="0" w:color="FFDA5A" w:themeColor="accent2" w:themeTint="99"/>
        </w:tcBorders>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ListTable1Light-Accent3">
    <w:name w:val="List Table 1 Light Accent 3"/>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A3AAD3" w:themeColor="accent3" w:themeTint="99"/>
        </w:tcBorders>
      </w:tcPr>
    </w:tblStylePr>
    <w:tblStylePr w:type="lastRow">
      <w:rPr>
        <w:b/>
        <w:bCs/>
      </w:rPr>
      <w:tblPr/>
      <w:tcPr>
        <w:tcBorders>
          <w:top w:val="single" w:sz="4" w:space="0" w:color="A3AAD3" w:themeColor="accent3" w:themeTint="99"/>
        </w:tcBorders>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ListTable1Light-Accent4">
    <w:name w:val="List Table 1 Light Accent 4"/>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F1FF34" w:themeColor="accent4" w:themeTint="99"/>
        </w:tcBorders>
      </w:tcPr>
    </w:tblStylePr>
    <w:tblStylePr w:type="lastRow">
      <w:rPr>
        <w:b/>
        <w:bCs/>
      </w:rPr>
      <w:tblPr/>
      <w:tcPr>
        <w:tcBorders>
          <w:top w:val="sing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ListTable1Light-Accent5">
    <w:name w:val="List Table 1 Light Accent 5"/>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B9BABB" w:themeColor="accent5" w:themeTint="99"/>
        </w:tcBorders>
      </w:tcPr>
    </w:tblStylePr>
    <w:tblStylePr w:type="lastRow">
      <w:rPr>
        <w:b/>
        <w:bCs/>
      </w:rPr>
      <w:tblPr/>
      <w:tcPr>
        <w:tcBorders>
          <w:top w:val="single" w:sz="4" w:space="0" w:color="B9BABB" w:themeColor="accent5" w:themeTint="99"/>
        </w:tcBorders>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ListTable1Light-Accent6">
    <w:name w:val="List Table 1 Light Accent 6"/>
    <w:basedOn w:val="TableNormal"/>
    <w:uiPriority w:val="46"/>
    <w:rsid w:val="00F3012E"/>
    <w:rPr>
      <w:rFonts w:asciiTheme="minorHAnsi" w:hAnsiTheme="minorHAnsi" w:cstheme="minorBidi"/>
      <w:sz w:val="22"/>
      <w:szCs w:val="22"/>
      <w:lang w:eastAsia="zh-CN"/>
    </w:rPr>
    <w:tblPr>
      <w:tblStyleRowBandSize w:val="1"/>
      <w:tblStyleColBandSize w:val="1"/>
    </w:tblPr>
    <w:tblStylePr w:type="firstRow">
      <w:rPr>
        <w:b/>
        <w:bCs/>
      </w:rPr>
      <w:tblPr/>
      <w:tcPr>
        <w:tcBorders>
          <w:bottom w:val="single" w:sz="4" w:space="0" w:color="8A8C8F" w:themeColor="accent6" w:themeTint="99"/>
        </w:tcBorders>
      </w:tcPr>
    </w:tblStylePr>
    <w:tblStylePr w:type="lastRow">
      <w:rPr>
        <w:b/>
        <w:bCs/>
      </w:rPr>
      <w:tblPr/>
      <w:tcPr>
        <w:tcBorders>
          <w:top w:val="single" w:sz="4" w:space="0" w:color="8A8C8F" w:themeColor="accent6" w:themeTint="99"/>
        </w:tcBorders>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ListTable2">
    <w:name w:val="List Table 2"/>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8A8C8F" w:themeColor="text1" w:themeTint="99"/>
        <w:bottom w:val="single" w:sz="4" w:space="0" w:color="8A8C8F" w:themeColor="text1" w:themeTint="99"/>
        <w:insideH w:val="single" w:sz="4" w:space="0" w:color="8A8C8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ListTable2-Accent1">
    <w:name w:val="List Table 2 Accent 1"/>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E6586F" w:themeColor="accent1" w:themeTint="99"/>
        <w:bottom w:val="single" w:sz="4" w:space="0" w:color="E6586F" w:themeColor="accent1" w:themeTint="99"/>
        <w:insideH w:val="single" w:sz="4" w:space="0" w:color="E6586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ListTable2-Accent2">
    <w:name w:val="List Table 2 Accent 2"/>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FFDA5A" w:themeColor="accent2" w:themeTint="99"/>
        <w:bottom w:val="single" w:sz="4" w:space="0" w:color="FFDA5A" w:themeColor="accent2" w:themeTint="99"/>
        <w:insideH w:val="single" w:sz="4" w:space="0" w:color="FFDA5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ListTable2-Accent3">
    <w:name w:val="List Table 2 Accent 3"/>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A3AAD3" w:themeColor="accent3" w:themeTint="99"/>
        <w:bottom w:val="single" w:sz="4" w:space="0" w:color="A3AAD3" w:themeColor="accent3" w:themeTint="99"/>
        <w:insideH w:val="single" w:sz="4" w:space="0" w:color="A3AA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ListTable2-Accent4">
    <w:name w:val="List Table 2 Accent 4"/>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F1FF34" w:themeColor="accent4" w:themeTint="99"/>
        <w:bottom w:val="single" w:sz="4" w:space="0" w:color="F1FF34" w:themeColor="accent4" w:themeTint="99"/>
        <w:insideH w:val="single" w:sz="4" w:space="0" w:color="F1FF3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ListTable2-Accent5">
    <w:name w:val="List Table 2 Accent 5"/>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B9BABB" w:themeColor="accent5" w:themeTint="99"/>
        <w:bottom w:val="single" w:sz="4" w:space="0" w:color="B9BABB" w:themeColor="accent5" w:themeTint="99"/>
        <w:insideH w:val="single" w:sz="4" w:space="0" w:color="B9B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ListTable2-Accent6">
    <w:name w:val="List Table 2 Accent 6"/>
    <w:basedOn w:val="TableNormal"/>
    <w:uiPriority w:val="47"/>
    <w:rsid w:val="00F3012E"/>
    <w:rPr>
      <w:rFonts w:asciiTheme="minorHAnsi" w:hAnsiTheme="minorHAnsi" w:cstheme="minorBidi"/>
      <w:sz w:val="22"/>
      <w:szCs w:val="22"/>
      <w:lang w:eastAsia="zh-CN"/>
    </w:rPr>
    <w:tblPr>
      <w:tblStyleRowBandSize w:val="1"/>
      <w:tblStyleColBandSize w:val="1"/>
      <w:tblBorders>
        <w:top w:val="single" w:sz="4" w:space="0" w:color="8A8C8F" w:themeColor="accent6" w:themeTint="99"/>
        <w:bottom w:val="single" w:sz="4" w:space="0" w:color="8A8C8F" w:themeColor="accent6" w:themeTint="99"/>
        <w:insideH w:val="single" w:sz="4" w:space="0" w:color="8A8C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ListTable3">
    <w:name w:val="List Table 3"/>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404143" w:themeColor="text1"/>
        <w:left w:val="single" w:sz="4" w:space="0" w:color="404143" w:themeColor="text1"/>
        <w:bottom w:val="single" w:sz="4" w:space="0" w:color="404143" w:themeColor="text1"/>
        <w:right w:val="single" w:sz="4" w:space="0" w:color="404143" w:themeColor="text1"/>
      </w:tblBorders>
    </w:tblPr>
    <w:tblStylePr w:type="firstRow">
      <w:rPr>
        <w:b/>
        <w:bCs/>
        <w:color w:val="FFFFFF" w:themeColor="background1"/>
      </w:rPr>
      <w:tblPr/>
      <w:tcPr>
        <w:shd w:val="clear" w:color="auto" w:fill="404143" w:themeFill="text1"/>
      </w:tcPr>
    </w:tblStylePr>
    <w:tblStylePr w:type="lastRow">
      <w:rPr>
        <w:b/>
        <w:bCs/>
      </w:rPr>
      <w:tblPr/>
      <w:tcPr>
        <w:tcBorders>
          <w:top w:val="double" w:sz="4" w:space="0" w:color="40414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143" w:themeColor="text1"/>
          <w:right w:val="single" w:sz="4" w:space="0" w:color="404143" w:themeColor="text1"/>
        </w:tcBorders>
      </w:tcPr>
    </w:tblStylePr>
    <w:tblStylePr w:type="band1Horz">
      <w:tblPr/>
      <w:tcPr>
        <w:tcBorders>
          <w:top w:val="single" w:sz="4" w:space="0" w:color="404143" w:themeColor="text1"/>
          <w:bottom w:val="single" w:sz="4" w:space="0" w:color="40414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143" w:themeColor="text1"/>
          <w:left w:val="nil"/>
        </w:tcBorders>
      </w:tcPr>
    </w:tblStylePr>
    <w:tblStylePr w:type="swCell">
      <w:tblPr/>
      <w:tcPr>
        <w:tcBorders>
          <w:top w:val="double" w:sz="4" w:space="0" w:color="404143" w:themeColor="text1"/>
          <w:right w:val="nil"/>
        </w:tcBorders>
      </w:tcPr>
    </w:tblStylePr>
  </w:style>
  <w:style w:type="table" w:styleId="ListTable3-Accent1">
    <w:name w:val="List Table 3 Accent 1"/>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A71930" w:themeColor="accent1"/>
        <w:left w:val="single" w:sz="4" w:space="0" w:color="A71930" w:themeColor="accent1"/>
        <w:bottom w:val="single" w:sz="4" w:space="0" w:color="A71930" w:themeColor="accent1"/>
        <w:right w:val="single" w:sz="4" w:space="0" w:color="A71930" w:themeColor="accent1"/>
      </w:tblBorders>
    </w:tblPr>
    <w:tblStylePr w:type="firstRow">
      <w:rPr>
        <w:b/>
        <w:bCs/>
        <w:color w:val="FFFFFF" w:themeColor="background1"/>
      </w:rPr>
      <w:tblPr/>
      <w:tcPr>
        <w:shd w:val="clear" w:color="auto" w:fill="A71930" w:themeFill="accent1"/>
      </w:tcPr>
    </w:tblStylePr>
    <w:tblStylePr w:type="lastRow">
      <w:rPr>
        <w:b/>
        <w:bCs/>
      </w:rPr>
      <w:tblPr/>
      <w:tcPr>
        <w:tcBorders>
          <w:top w:val="double" w:sz="4" w:space="0" w:color="A719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1930" w:themeColor="accent1"/>
          <w:right w:val="single" w:sz="4" w:space="0" w:color="A71930" w:themeColor="accent1"/>
        </w:tcBorders>
      </w:tcPr>
    </w:tblStylePr>
    <w:tblStylePr w:type="band1Horz">
      <w:tblPr/>
      <w:tcPr>
        <w:tcBorders>
          <w:top w:val="single" w:sz="4" w:space="0" w:color="A71930" w:themeColor="accent1"/>
          <w:bottom w:val="single" w:sz="4" w:space="0" w:color="A719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1930" w:themeColor="accent1"/>
          <w:left w:val="nil"/>
        </w:tcBorders>
      </w:tcPr>
    </w:tblStylePr>
    <w:tblStylePr w:type="swCell">
      <w:tblPr/>
      <w:tcPr>
        <w:tcBorders>
          <w:top w:val="double" w:sz="4" w:space="0" w:color="A71930" w:themeColor="accent1"/>
          <w:right w:val="nil"/>
        </w:tcBorders>
      </w:tcPr>
    </w:tblStylePr>
  </w:style>
  <w:style w:type="table" w:styleId="ListTable3-Accent2">
    <w:name w:val="List Table 3 Accent 2"/>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EBB700" w:themeColor="accent2"/>
        <w:left w:val="single" w:sz="4" w:space="0" w:color="EBB700" w:themeColor="accent2"/>
        <w:bottom w:val="single" w:sz="4" w:space="0" w:color="EBB700" w:themeColor="accent2"/>
        <w:right w:val="single" w:sz="4" w:space="0" w:color="EBB700" w:themeColor="accent2"/>
      </w:tblBorders>
    </w:tblPr>
    <w:tblStylePr w:type="firstRow">
      <w:rPr>
        <w:b/>
        <w:bCs/>
        <w:color w:val="FFFFFF" w:themeColor="background1"/>
      </w:rPr>
      <w:tblPr/>
      <w:tcPr>
        <w:shd w:val="clear" w:color="auto" w:fill="EBB700" w:themeFill="accent2"/>
      </w:tcPr>
    </w:tblStylePr>
    <w:tblStylePr w:type="lastRow">
      <w:rPr>
        <w:b/>
        <w:bCs/>
      </w:rPr>
      <w:tblPr/>
      <w:tcPr>
        <w:tcBorders>
          <w:top w:val="double" w:sz="4" w:space="0" w:color="EBB7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B700" w:themeColor="accent2"/>
          <w:right w:val="single" w:sz="4" w:space="0" w:color="EBB700" w:themeColor="accent2"/>
        </w:tcBorders>
      </w:tcPr>
    </w:tblStylePr>
    <w:tblStylePr w:type="band1Horz">
      <w:tblPr/>
      <w:tcPr>
        <w:tcBorders>
          <w:top w:val="single" w:sz="4" w:space="0" w:color="EBB700" w:themeColor="accent2"/>
          <w:bottom w:val="single" w:sz="4" w:space="0" w:color="EBB7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B700" w:themeColor="accent2"/>
          <w:left w:val="nil"/>
        </w:tcBorders>
      </w:tcPr>
    </w:tblStylePr>
    <w:tblStylePr w:type="swCell">
      <w:tblPr/>
      <w:tcPr>
        <w:tcBorders>
          <w:top w:val="double" w:sz="4" w:space="0" w:color="EBB700" w:themeColor="accent2"/>
          <w:right w:val="nil"/>
        </w:tcBorders>
      </w:tcPr>
    </w:tblStylePr>
  </w:style>
  <w:style w:type="table" w:styleId="ListTable3-Accent3">
    <w:name w:val="List Table 3 Accent 3"/>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6773B6" w:themeColor="accent3"/>
        <w:left w:val="single" w:sz="4" w:space="0" w:color="6773B6" w:themeColor="accent3"/>
        <w:bottom w:val="single" w:sz="4" w:space="0" w:color="6773B6" w:themeColor="accent3"/>
        <w:right w:val="single" w:sz="4" w:space="0" w:color="6773B6" w:themeColor="accent3"/>
      </w:tblBorders>
    </w:tblPr>
    <w:tblStylePr w:type="firstRow">
      <w:rPr>
        <w:b/>
        <w:bCs/>
        <w:color w:val="FFFFFF" w:themeColor="background1"/>
      </w:rPr>
      <w:tblPr/>
      <w:tcPr>
        <w:shd w:val="clear" w:color="auto" w:fill="6773B6" w:themeFill="accent3"/>
      </w:tcPr>
    </w:tblStylePr>
    <w:tblStylePr w:type="lastRow">
      <w:rPr>
        <w:b/>
        <w:bCs/>
      </w:rPr>
      <w:tblPr/>
      <w:tcPr>
        <w:tcBorders>
          <w:top w:val="double" w:sz="4" w:space="0" w:color="6773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3B6" w:themeColor="accent3"/>
          <w:right w:val="single" w:sz="4" w:space="0" w:color="6773B6" w:themeColor="accent3"/>
        </w:tcBorders>
      </w:tcPr>
    </w:tblStylePr>
    <w:tblStylePr w:type="band1Horz">
      <w:tblPr/>
      <w:tcPr>
        <w:tcBorders>
          <w:top w:val="single" w:sz="4" w:space="0" w:color="6773B6" w:themeColor="accent3"/>
          <w:bottom w:val="single" w:sz="4" w:space="0" w:color="6773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3B6" w:themeColor="accent3"/>
          <w:left w:val="nil"/>
        </w:tcBorders>
      </w:tcPr>
    </w:tblStylePr>
    <w:tblStylePr w:type="swCell">
      <w:tblPr/>
      <w:tcPr>
        <w:tcBorders>
          <w:top w:val="double" w:sz="4" w:space="0" w:color="6773B6" w:themeColor="accent3"/>
          <w:right w:val="nil"/>
        </w:tcBorders>
      </w:tcPr>
    </w:tblStylePr>
  </w:style>
  <w:style w:type="table" w:styleId="ListTable3-Accent4">
    <w:name w:val="List Table 3 Accent 4"/>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A2AD00" w:themeColor="accent4"/>
        <w:left w:val="single" w:sz="4" w:space="0" w:color="A2AD00" w:themeColor="accent4"/>
        <w:bottom w:val="single" w:sz="4" w:space="0" w:color="A2AD00" w:themeColor="accent4"/>
        <w:right w:val="single" w:sz="4" w:space="0" w:color="A2AD00" w:themeColor="accent4"/>
      </w:tblBorders>
    </w:tblPr>
    <w:tblStylePr w:type="firstRow">
      <w:rPr>
        <w:b/>
        <w:bCs/>
        <w:color w:val="FFFFFF" w:themeColor="background1"/>
      </w:rPr>
      <w:tblPr/>
      <w:tcPr>
        <w:shd w:val="clear" w:color="auto" w:fill="A2AD00" w:themeFill="accent4"/>
      </w:tcPr>
    </w:tblStylePr>
    <w:tblStylePr w:type="lastRow">
      <w:rPr>
        <w:b/>
        <w:bCs/>
      </w:rPr>
      <w:tblPr/>
      <w:tcPr>
        <w:tcBorders>
          <w:top w:val="double" w:sz="4" w:space="0" w:color="A2AD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D00" w:themeColor="accent4"/>
          <w:right w:val="single" w:sz="4" w:space="0" w:color="A2AD00" w:themeColor="accent4"/>
        </w:tcBorders>
      </w:tcPr>
    </w:tblStylePr>
    <w:tblStylePr w:type="band1Horz">
      <w:tblPr/>
      <w:tcPr>
        <w:tcBorders>
          <w:top w:val="single" w:sz="4" w:space="0" w:color="A2AD00" w:themeColor="accent4"/>
          <w:bottom w:val="single" w:sz="4" w:space="0" w:color="A2AD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D00" w:themeColor="accent4"/>
          <w:left w:val="nil"/>
        </w:tcBorders>
      </w:tcPr>
    </w:tblStylePr>
    <w:tblStylePr w:type="swCell">
      <w:tblPr/>
      <w:tcPr>
        <w:tcBorders>
          <w:top w:val="double" w:sz="4" w:space="0" w:color="A2AD00" w:themeColor="accent4"/>
          <w:right w:val="nil"/>
        </w:tcBorders>
      </w:tcPr>
    </w:tblStylePr>
  </w:style>
  <w:style w:type="table" w:styleId="ListTable3-Accent5">
    <w:name w:val="List Table 3 Accent 5"/>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8B8D8E" w:themeColor="accent5"/>
        <w:left w:val="single" w:sz="4" w:space="0" w:color="8B8D8E" w:themeColor="accent5"/>
        <w:bottom w:val="single" w:sz="4" w:space="0" w:color="8B8D8E" w:themeColor="accent5"/>
        <w:right w:val="single" w:sz="4" w:space="0" w:color="8B8D8E" w:themeColor="accent5"/>
      </w:tblBorders>
    </w:tblPr>
    <w:tblStylePr w:type="firstRow">
      <w:rPr>
        <w:b/>
        <w:bCs/>
        <w:color w:val="FFFFFF" w:themeColor="background1"/>
      </w:rPr>
      <w:tblPr/>
      <w:tcPr>
        <w:shd w:val="clear" w:color="auto" w:fill="8B8D8E" w:themeFill="accent5"/>
      </w:tcPr>
    </w:tblStylePr>
    <w:tblStylePr w:type="lastRow">
      <w:rPr>
        <w:b/>
        <w:bCs/>
      </w:rPr>
      <w:tblPr/>
      <w:tcPr>
        <w:tcBorders>
          <w:top w:val="double" w:sz="4" w:space="0" w:color="8B8D8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8D8E" w:themeColor="accent5"/>
          <w:right w:val="single" w:sz="4" w:space="0" w:color="8B8D8E" w:themeColor="accent5"/>
        </w:tcBorders>
      </w:tcPr>
    </w:tblStylePr>
    <w:tblStylePr w:type="band1Horz">
      <w:tblPr/>
      <w:tcPr>
        <w:tcBorders>
          <w:top w:val="single" w:sz="4" w:space="0" w:color="8B8D8E" w:themeColor="accent5"/>
          <w:bottom w:val="single" w:sz="4" w:space="0" w:color="8B8D8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8D8E" w:themeColor="accent5"/>
          <w:left w:val="nil"/>
        </w:tcBorders>
      </w:tcPr>
    </w:tblStylePr>
    <w:tblStylePr w:type="swCell">
      <w:tblPr/>
      <w:tcPr>
        <w:tcBorders>
          <w:top w:val="double" w:sz="4" w:space="0" w:color="8B8D8E" w:themeColor="accent5"/>
          <w:right w:val="nil"/>
        </w:tcBorders>
      </w:tcPr>
    </w:tblStylePr>
  </w:style>
  <w:style w:type="table" w:styleId="ListTable3-Accent6">
    <w:name w:val="List Table 3 Accent 6"/>
    <w:basedOn w:val="TableNormal"/>
    <w:uiPriority w:val="48"/>
    <w:rsid w:val="00F3012E"/>
    <w:rPr>
      <w:rFonts w:asciiTheme="minorHAnsi" w:hAnsiTheme="minorHAnsi" w:cstheme="minorBidi"/>
      <w:sz w:val="22"/>
      <w:szCs w:val="22"/>
      <w:lang w:eastAsia="zh-CN"/>
    </w:rPr>
    <w:tblPr>
      <w:tblStyleRowBandSize w:val="1"/>
      <w:tblStyleColBandSize w:val="1"/>
      <w:tblBorders>
        <w:top w:val="single" w:sz="4" w:space="0" w:color="404143" w:themeColor="accent6"/>
        <w:left w:val="single" w:sz="4" w:space="0" w:color="404143" w:themeColor="accent6"/>
        <w:bottom w:val="single" w:sz="4" w:space="0" w:color="404143" w:themeColor="accent6"/>
        <w:right w:val="single" w:sz="4" w:space="0" w:color="404143" w:themeColor="accent6"/>
      </w:tblBorders>
    </w:tblPr>
    <w:tblStylePr w:type="firstRow">
      <w:rPr>
        <w:b/>
        <w:bCs/>
        <w:color w:val="FFFFFF" w:themeColor="background1"/>
      </w:rPr>
      <w:tblPr/>
      <w:tcPr>
        <w:shd w:val="clear" w:color="auto" w:fill="404143" w:themeFill="accent6"/>
      </w:tcPr>
    </w:tblStylePr>
    <w:tblStylePr w:type="lastRow">
      <w:rPr>
        <w:b/>
        <w:bCs/>
      </w:rPr>
      <w:tblPr/>
      <w:tcPr>
        <w:tcBorders>
          <w:top w:val="double" w:sz="4" w:space="0" w:color="40414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143" w:themeColor="accent6"/>
          <w:right w:val="single" w:sz="4" w:space="0" w:color="404143" w:themeColor="accent6"/>
        </w:tcBorders>
      </w:tcPr>
    </w:tblStylePr>
    <w:tblStylePr w:type="band1Horz">
      <w:tblPr/>
      <w:tcPr>
        <w:tcBorders>
          <w:top w:val="single" w:sz="4" w:space="0" w:color="404143" w:themeColor="accent6"/>
          <w:bottom w:val="single" w:sz="4" w:space="0" w:color="40414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143" w:themeColor="accent6"/>
          <w:left w:val="nil"/>
        </w:tcBorders>
      </w:tcPr>
    </w:tblStylePr>
    <w:tblStylePr w:type="swCell">
      <w:tblPr/>
      <w:tcPr>
        <w:tcBorders>
          <w:top w:val="double" w:sz="4" w:space="0" w:color="404143" w:themeColor="accent6"/>
          <w:right w:val="nil"/>
        </w:tcBorders>
      </w:tcPr>
    </w:tblStylePr>
  </w:style>
  <w:style w:type="table" w:styleId="ListTable4">
    <w:name w:val="List Table 4"/>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8A8C8F" w:themeColor="text1" w:themeTint="99"/>
        <w:left w:val="single" w:sz="4" w:space="0" w:color="8A8C8F" w:themeColor="text1" w:themeTint="99"/>
        <w:bottom w:val="single" w:sz="4" w:space="0" w:color="8A8C8F" w:themeColor="text1" w:themeTint="99"/>
        <w:right w:val="single" w:sz="4" w:space="0" w:color="8A8C8F" w:themeColor="text1" w:themeTint="99"/>
        <w:insideH w:val="single" w:sz="4" w:space="0" w:color="8A8C8F" w:themeColor="text1" w:themeTint="99"/>
      </w:tblBorders>
    </w:tblPr>
    <w:tblStylePr w:type="firstRow">
      <w:rPr>
        <w:b/>
        <w:bCs/>
        <w:color w:val="FFFFFF" w:themeColor="background1"/>
      </w:rPr>
      <w:tblPr/>
      <w:tcPr>
        <w:tcBorders>
          <w:top w:val="single" w:sz="4" w:space="0" w:color="404143" w:themeColor="text1"/>
          <w:left w:val="single" w:sz="4" w:space="0" w:color="404143" w:themeColor="text1"/>
          <w:bottom w:val="single" w:sz="4" w:space="0" w:color="404143" w:themeColor="text1"/>
          <w:right w:val="single" w:sz="4" w:space="0" w:color="404143" w:themeColor="text1"/>
          <w:insideH w:val="nil"/>
        </w:tcBorders>
        <w:shd w:val="clear" w:color="auto" w:fill="404143" w:themeFill="text1"/>
      </w:tcPr>
    </w:tblStylePr>
    <w:tblStylePr w:type="lastRow">
      <w:rPr>
        <w:b/>
        <w:bCs/>
      </w:rPr>
      <w:tblPr/>
      <w:tcPr>
        <w:tcBorders>
          <w:top w:val="double" w:sz="4" w:space="0" w:color="8A8C8F" w:themeColor="text1" w:themeTint="99"/>
        </w:tcBorders>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ListTable4-Accent1">
    <w:name w:val="List Table 4 Accent 1"/>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E6586F" w:themeColor="accent1" w:themeTint="99"/>
        <w:left w:val="single" w:sz="4" w:space="0" w:color="E6586F" w:themeColor="accent1" w:themeTint="99"/>
        <w:bottom w:val="single" w:sz="4" w:space="0" w:color="E6586F" w:themeColor="accent1" w:themeTint="99"/>
        <w:right w:val="single" w:sz="4" w:space="0" w:color="E6586F" w:themeColor="accent1" w:themeTint="99"/>
        <w:insideH w:val="single" w:sz="4" w:space="0" w:color="E6586F" w:themeColor="accent1" w:themeTint="99"/>
      </w:tblBorders>
    </w:tblPr>
    <w:tblStylePr w:type="firstRow">
      <w:rPr>
        <w:b/>
        <w:bCs/>
        <w:color w:val="FFFFFF" w:themeColor="background1"/>
      </w:rPr>
      <w:tblPr/>
      <w:tcPr>
        <w:tcBorders>
          <w:top w:val="single" w:sz="4" w:space="0" w:color="A71930" w:themeColor="accent1"/>
          <w:left w:val="single" w:sz="4" w:space="0" w:color="A71930" w:themeColor="accent1"/>
          <w:bottom w:val="single" w:sz="4" w:space="0" w:color="A71930" w:themeColor="accent1"/>
          <w:right w:val="single" w:sz="4" w:space="0" w:color="A71930" w:themeColor="accent1"/>
          <w:insideH w:val="nil"/>
        </w:tcBorders>
        <w:shd w:val="clear" w:color="auto" w:fill="A71930" w:themeFill="accent1"/>
      </w:tcPr>
    </w:tblStylePr>
    <w:tblStylePr w:type="lastRow">
      <w:rPr>
        <w:b/>
        <w:bCs/>
      </w:rPr>
      <w:tblPr/>
      <w:tcPr>
        <w:tcBorders>
          <w:top w:val="double" w:sz="4" w:space="0" w:color="E6586F" w:themeColor="accent1" w:themeTint="99"/>
        </w:tcBorders>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ListTable4-Accent2">
    <w:name w:val="List Table 4 Accent 2"/>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FFDA5A" w:themeColor="accent2" w:themeTint="99"/>
        <w:left w:val="single" w:sz="4" w:space="0" w:color="FFDA5A" w:themeColor="accent2" w:themeTint="99"/>
        <w:bottom w:val="single" w:sz="4" w:space="0" w:color="FFDA5A" w:themeColor="accent2" w:themeTint="99"/>
        <w:right w:val="single" w:sz="4" w:space="0" w:color="FFDA5A" w:themeColor="accent2" w:themeTint="99"/>
        <w:insideH w:val="single" w:sz="4" w:space="0" w:color="FFDA5A" w:themeColor="accent2" w:themeTint="99"/>
      </w:tblBorders>
    </w:tblPr>
    <w:tblStylePr w:type="firstRow">
      <w:rPr>
        <w:b/>
        <w:bCs/>
        <w:color w:val="FFFFFF" w:themeColor="background1"/>
      </w:rPr>
      <w:tblPr/>
      <w:tcPr>
        <w:tcBorders>
          <w:top w:val="single" w:sz="4" w:space="0" w:color="EBB700" w:themeColor="accent2"/>
          <w:left w:val="single" w:sz="4" w:space="0" w:color="EBB700" w:themeColor="accent2"/>
          <w:bottom w:val="single" w:sz="4" w:space="0" w:color="EBB700" w:themeColor="accent2"/>
          <w:right w:val="single" w:sz="4" w:space="0" w:color="EBB700" w:themeColor="accent2"/>
          <w:insideH w:val="nil"/>
        </w:tcBorders>
        <w:shd w:val="clear" w:color="auto" w:fill="EBB700" w:themeFill="accent2"/>
      </w:tcPr>
    </w:tblStylePr>
    <w:tblStylePr w:type="lastRow">
      <w:rPr>
        <w:b/>
        <w:bCs/>
      </w:rPr>
      <w:tblPr/>
      <w:tcPr>
        <w:tcBorders>
          <w:top w:val="double" w:sz="4" w:space="0" w:color="FFDA5A" w:themeColor="accent2" w:themeTint="99"/>
        </w:tcBorders>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ListTable4-Accent3">
    <w:name w:val="List Table 4 Accent 3"/>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A3AAD3" w:themeColor="accent3" w:themeTint="99"/>
        <w:left w:val="single" w:sz="4" w:space="0" w:color="A3AAD3" w:themeColor="accent3" w:themeTint="99"/>
        <w:bottom w:val="single" w:sz="4" w:space="0" w:color="A3AAD3" w:themeColor="accent3" w:themeTint="99"/>
        <w:right w:val="single" w:sz="4" w:space="0" w:color="A3AAD3" w:themeColor="accent3" w:themeTint="99"/>
        <w:insideH w:val="single" w:sz="4" w:space="0" w:color="A3AAD3" w:themeColor="accent3" w:themeTint="99"/>
      </w:tblBorders>
    </w:tblPr>
    <w:tblStylePr w:type="firstRow">
      <w:rPr>
        <w:b/>
        <w:bCs/>
        <w:color w:val="FFFFFF" w:themeColor="background1"/>
      </w:rPr>
      <w:tblPr/>
      <w:tcPr>
        <w:tcBorders>
          <w:top w:val="single" w:sz="4" w:space="0" w:color="6773B6" w:themeColor="accent3"/>
          <w:left w:val="single" w:sz="4" w:space="0" w:color="6773B6" w:themeColor="accent3"/>
          <w:bottom w:val="single" w:sz="4" w:space="0" w:color="6773B6" w:themeColor="accent3"/>
          <w:right w:val="single" w:sz="4" w:space="0" w:color="6773B6" w:themeColor="accent3"/>
          <w:insideH w:val="nil"/>
        </w:tcBorders>
        <w:shd w:val="clear" w:color="auto" w:fill="6773B6" w:themeFill="accent3"/>
      </w:tcPr>
    </w:tblStylePr>
    <w:tblStylePr w:type="lastRow">
      <w:rPr>
        <w:b/>
        <w:bCs/>
      </w:rPr>
      <w:tblPr/>
      <w:tcPr>
        <w:tcBorders>
          <w:top w:val="double" w:sz="4" w:space="0" w:color="A3AAD3" w:themeColor="accent3" w:themeTint="99"/>
        </w:tcBorders>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ListTable4-Accent4">
    <w:name w:val="List Table 4 Accent 4"/>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tblBorders>
    </w:tblPr>
    <w:tblStylePr w:type="firstRow">
      <w:rPr>
        <w:b/>
        <w:bCs/>
        <w:color w:val="FFFFFF" w:themeColor="background1"/>
      </w:rPr>
      <w:tblPr/>
      <w:tcPr>
        <w:tcBorders>
          <w:top w:val="single" w:sz="4" w:space="0" w:color="A2AD00" w:themeColor="accent4"/>
          <w:left w:val="single" w:sz="4" w:space="0" w:color="A2AD00" w:themeColor="accent4"/>
          <w:bottom w:val="single" w:sz="4" w:space="0" w:color="A2AD00" w:themeColor="accent4"/>
          <w:right w:val="single" w:sz="4" w:space="0" w:color="A2AD00" w:themeColor="accent4"/>
          <w:insideH w:val="nil"/>
        </w:tcBorders>
        <w:shd w:val="clear" w:color="auto" w:fill="A2AD00" w:themeFill="accent4"/>
      </w:tcPr>
    </w:tblStylePr>
    <w:tblStylePr w:type="lastRow">
      <w:rPr>
        <w:b/>
        <w:bCs/>
      </w:rPr>
      <w:tblPr/>
      <w:tcPr>
        <w:tcBorders>
          <w:top w:val="doub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ListTable4-Accent5">
    <w:name w:val="List Table 4 Accent 5"/>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B9BABB" w:themeColor="accent5" w:themeTint="99"/>
        <w:left w:val="single" w:sz="4" w:space="0" w:color="B9BABB" w:themeColor="accent5" w:themeTint="99"/>
        <w:bottom w:val="single" w:sz="4" w:space="0" w:color="B9BABB" w:themeColor="accent5" w:themeTint="99"/>
        <w:right w:val="single" w:sz="4" w:space="0" w:color="B9BABB" w:themeColor="accent5" w:themeTint="99"/>
        <w:insideH w:val="single" w:sz="4" w:space="0" w:color="B9BABB" w:themeColor="accent5" w:themeTint="99"/>
      </w:tblBorders>
    </w:tblPr>
    <w:tblStylePr w:type="firstRow">
      <w:rPr>
        <w:b/>
        <w:bCs/>
        <w:color w:val="FFFFFF" w:themeColor="background1"/>
      </w:rPr>
      <w:tblPr/>
      <w:tcPr>
        <w:tcBorders>
          <w:top w:val="single" w:sz="4" w:space="0" w:color="8B8D8E" w:themeColor="accent5"/>
          <w:left w:val="single" w:sz="4" w:space="0" w:color="8B8D8E" w:themeColor="accent5"/>
          <w:bottom w:val="single" w:sz="4" w:space="0" w:color="8B8D8E" w:themeColor="accent5"/>
          <w:right w:val="single" w:sz="4" w:space="0" w:color="8B8D8E" w:themeColor="accent5"/>
          <w:insideH w:val="nil"/>
        </w:tcBorders>
        <w:shd w:val="clear" w:color="auto" w:fill="8B8D8E" w:themeFill="accent5"/>
      </w:tcPr>
    </w:tblStylePr>
    <w:tblStylePr w:type="lastRow">
      <w:rPr>
        <w:b/>
        <w:bCs/>
      </w:rPr>
      <w:tblPr/>
      <w:tcPr>
        <w:tcBorders>
          <w:top w:val="double" w:sz="4" w:space="0" w:color="B9BABB" w:themeColor="accent5" w:themeTint="99"/>
        </w:tcBorders>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ListTable4-Accent6">
    <w:name w:val="List Table 4 Accent 6"/>
    <w:basedOn w:val="TableNormal"/>
    <w:uiPriority w:val="49"/>
    <w:rsid w:val="00F3012E"/>
    <w:rPr>
      <w:rFonts w:asciiTheme="minorHAnsi" w:hAnsiTheme="minorHAnsi" w:cstheme="minorBidi"/>
      <w:sz w:val="22"/>
      <w:szCs w:val="22"/>
      <w:lang w:eastAsia="zh-CN"/>
    </w:rPr>
    <w:tblPr>
      <w:tblStyleRowBandSize w:val="1"/>
      <w:tblStyleColBandSize w:val="1"/>
      <w:tblBorders>
        <w:top w:val="single" w:sz="4" w:space="0" w:color="8A8C8F" w:themeColor="accent6" w:themeTint="99"/>
        <w:left w:val="single" w:sz="4" w:space="0" w:color="8A8C8F" w:themeColor="accent6" w:themeTint="99"/>
        <w:bottom w:val="single" w:sz="4" w:space="0" w:color="8A8C8F" w:themeColor="accent6" w:themeTint="99"/>
        <w:right w:val="single" w:sz="4" w:space="0" w:color="8A8C8F" w:themeColor="accent6" w:themeTint="99"/>
        <w:insideH w:val="single" w:sz="4" w:space="0" w:color="8A8C8F" w:themeColor="accent6" w:themeTint="99"/>
      </w:tblBorders>
    </w:tblPr>
    <w:tblStylePr w:type="firstRow">
      <w:rPr>
        <w:b/>
        <w:bCs/>
        <w:color w:val="FFFFFF" w:themeColor="background1"/>
      </w:rPr>
      <w:tblPr/>
      <w:tcPr>
        <w:tcBorders>
          <w:top w:val="single" w:sz="4" w:space="0" w:color="404143" w:themeColor="accent6"/>
          <w:left w:val="single" w:sz="4" w:space="0" w:color="404143" w:themeColor="accent6"/>
          <w:bottom w:val="single" w:sz="4" w:space="0" w:color="404143" w:themeColor="accent6"/>
          <w:right w:val="single" w:sz="4" w:space="0" w:color="404143" w:themeColor="accent6"/>
          <w:insideH w:val="nil"/>
        </w:tcBorders>
        <w:shd w:val="clear" w:color="auto" w:fill="404143" w:themeFill="accent6"/>
      </w:tcPr>
    </w:tblStylePr>
    <w:tblStylePr w:type="lastRow">
      <w:rPr>
        <w:b/>
        <w:bCs/>
      </w:rPr>
      <w:tblPr/>
      <w:tcPr>
        <w:tcBorders>
          <w:top w:val="double" w:sz="4" w:space="0" w:color="8A8C8F" w:themeColor="accent6" w:themeTint="99"/>
        </w:tcBorders>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ListTable5Dark">
    <w:name w:val="List Table 5 Dark"/>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404143" w:themeColor="text1"/>
        <w:left w:val="single" w:sz="24" w:space="0" w:color="404143" w:themeColor="text1"/>
        <w:bottom w:val="single" w:sz="24" w:space="0" w:color="404143" w:themeColor="text1"/>
        <w:right w:val="single" w:sz="24" w:space="0" w:color="404143" w:themeColor="text1"/>
      </w:tblBorders>
    </w:tblPr>
    <w:tcPr>
      <w:shd w:val="clear" w:color="auto" w:fill="40414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A71930" w:themeColor="accent1"/>
        <w:left w:val="single" w:sz="24" w:space="0" w:color="A71930" w:themeColor="accent1"/>
        <w:bottom w:val="single" w:sz="24" w:space="0" w:color="A71930" w:themeColor="accent1"/>
        <w:right w:val="single" w:sz="24" w:space="0" w:color="A71930" w:themeColor="accent1"/>
      </w:tblBorders>
    </w:tblPr>
    <w:tcPr>
      <w:shd w:val="clear" w:color="auto" w:fill="A719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EBB700" w:themeColor="accent2"/>
        <w:left w:val="single" w:sz="24" w:space="0" w:color="EBB700" w:themeColor="accent2"/>
        <w:bottom w:val="single" w:sz="24" w:space="0" w:color="EBB700" w:themeColor="accent2"/>
        <w:right w:val="single" w:sz="24" w:space="0" w:color="EBB700" w:themeColor="accent2"/>
      </w:tblBorders>
    </w:tblPr>
    <w:tcPr>
      <w:shd w:val="clear" w:color="auto" w:fill="EBB7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6773B6" w:themeColor="accent3"/>
        <w:left w:val="single" w:sz="24" w:space="0" w:color="6773B6" w:themeColor="accent3"/>
        <w:bottom w:val="single" w:sz="24" w:space="0" w:color="6773B6" w:themeColor="accent3"/>
        <w:right w:val="single" w:sz="24" w:space="0" w:color="6773B6" w:themeColor="accent3"/>
      </w:tblBorders>
    </w:tblPr>
    <w:tcPr>
      <w:shd w:val="clear" w:color="auto" w:fill="6773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A2AD00" w:themeColor="accent4"/>
        <w:left w:val="single" w:sz="24" w:space="0" w:color="A2AD00" w:themeColor="accent4"/>
        <w:bottom w:val="single" w:sz="24" w:space="0" w:color="A2AD00" w:themeColor="accent4"/>
        <w:right w:val="single" w:sz="24" w:space="0" w:color="A2AD00" w:themeColor="accent4"/>
      </w:tblBorders>
    </w:tblPr>
    <w:tcPr>
      <w:shd w:val="clear" w:color="auto" w:fill="A2AD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8B8D8E" w:themeColor="accent5"/>
        <w:left w:val="single" w:sz="24" w:space="0" w:color="8B8D8E" w:themeColor="accent5"/>
        <w:bottom w:val="single" w:sz="24" w:space="0" w:color="8B8D8E" w:themeColor="accent5"/>
        <w:right w:val="single" w:sz="24" w:space="0" w:color="8B8D8E" w:themeColor="accent5"/>
      </w:tblBorders>
    </w:tblPr>
    <w:tcPr>
      <w:shd w:val="clear" w:color="auto" w:fill="8B8D8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012E"/>
    <w:rPr>
      <w:rFonts w:asciiTheme="minorHAnsi" w:hAnsiTheme="minorHAnsi" w:cstheme="minorBidi"/>
      <w:color w:val="FFFFFF" w:themeColor="background1"/>
      <w:sz w:val="22"/>
      <w:szCs w:val="22"/>
      <w:lang w:eastAsia="zh-CN"/>
    </w:rPr>
    <w:tblPr>
      <w:tblStyleRowBandSize w:val="1"/>
      <w:tblStyleColBandSize w:val="1"/>
      <w:tblBorders>
        <w:top w:val="single" w:sz="24" w:space="0" w:color="404143" w:themeColor="accent6"/>
        <w:left w:val="single" w:sz="24" w:space="0" w:color="404143" w:themeColor="accent6"/>
        <w:bottom w:val="single" w:sz="24" w:space="0" w:color="404143" w:themeColor="accent6"/>
        <w:right w:val="single" w:sz="24" w:space="0" w:color="404143" w:themeColor="accent6"/>
      </w:tblBorders>
    </w:tblPr>
    <w:tcPr>
      <w:shd w:val="clear" w:color="auto" w:fill="40414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012E"/>
    <w:rPr>
      <w:rFonts w:asciiTheme="minorHAnsi" w:hAnsiTheme="minorHAnsi" w:cstheme="minorBidi"/>
      <w:color w:val="404143" w:themeColor="text1"/>
      <w:sz w:val="22"/>
      <w:szCs w:val="22"/>
      <w:lang w:eastAsia="zh-CN"/>
    </w:rPr>
    <w:tblPr>
      <w:tblStyleRowBandSize w:val="1"/>
      <w:tblStyleColBandSize w:val="1"/>
      <w:tblBorders>
        <w:top w:val="single" w:sz="4" w:space="0" w:color="404143" w:themeColor="text1"/>
        <w:bottom w:val="single" w:sz="4" w:space="0" w:color="404143" w:themeColor="text1"/>
      </w:tblBorders>
    </w:tblPr>
    <w:tblStylePr w:type="firstRow">
      <w:rPr>
        <w:b/>
        <w:bCs/>
      </w:rPr>
      <w:tblPr/>
      <w:tcPr>
        <w:tcBorders>
          <w:bottom w:val="single" w:sz="4" w:space="0" w:color="404143" w:themeColor="text1"/>
        </w:tcBorders>
      </w:tcPr>
    </w:tblStylePr>
    <w:tblStylePr w:type="lastRow">
      <w:rPr>
        <w:b/>
        <w:bCs/>
      </w:rPr>
      <w:tblPr/>
      <w:tcPr>
        <w:tcBorders>
          <w:top w:val="double" w:sz="4" w:space="0" w:color="404143" w:themeColor="text1"/>
        </w:tcBorders>
      </w:tcPr>
    </w:tblStylePr>
    <w:tblStylePr w:type="firstCol">
      <w:rPr>
        <w:b/>
        <w:bCs/>
      </w:rPr>
    </w:tblStylePr>
    <w:tblStylePr w:type="lastCol">
      <w:rPr>
        <w:b/>
        <w:bCs/>
      </w:rPr>
    </w:tblStylePr>
    <w:tblStylePr w:type="band1Vert">
      <w:tblPr/>
      <w:tcPr>
        <w:shd w:val="clear" w:color="auto" w:fill="D8D8DA" w:themeFill="text1" w:themeFillTint="33"/>
      </w:tcPr>
    </w:tblStylePr>
    <w:tblStylePr w:type="band1Horz">
      <w:tblPr/>
      <w:tcPr>
        <w:shd w:val="clear" w:color="auto" w:fill="D8D8DA" w:themeFill="text1" w:themeFillTint="33"/>
      </w:tcPr>
    </w:tblStylePr>
  </w:style>
  <w:style w:type="table" w:styleId="ListTable6Colorful-Accent1">
    <w:name w:val="List Table 6 Colorful Accent 1"/>
    <w:basedOn w:val="TableNormal"/>
    <w:uiPriority w:val="51"/>
    <w:rsid w:val="00F3012E"/>
    <w:rPr>
      <w:rFonts w:asciiTheme="minorHAnsi" w:hAnsiTheme="minorHAnsi" w:cstheme="minorBidi"/>
      <w:color w:val="7C1223" w:themeColor="accent1" w:themeShade="BF"/>
      <w:sz w:val="22"/>
      <w:szCs w:val="22"/>
      <w:lang w:eastAsia="zh-CN"/>
    </w:rPr>
    <w:tblPr>
      <w:tblStyleRowBandSize w:val="1"/>
      <w:tblStyleColBandSize w:val="1"/>
      <w:tblBorders>
        <w:top w:val="single" w:sz="4" w:space="0" w:color="A71930" w:themeColor="accent1"/>
        <w:bottom w:val="single" w:sz="4" w:space="0" w:color="A71930" w:themeColor="accent1"/>
      </w:tblBorders>
    </w:tblPr>
    <w:tblStylePr w:type="firstRow">
      <w:rPr>
        <w:b/>
        <w:bCs/>
      </w:rPr>
      <w:tblPr/>
      <w:tcPr>
        <w:tcBorders>
          <w:bottom w:val="single" w:sz="4" w:space="0" w:color="A71930" w:themeColor="accent1"/>
        </w:tcBorders>
      </w:tcPr>
    </w:tblStylePr>
    <w:tblStylePr w:type="lastRow">
      <w:rPr>
        <w:b/>
        <w:bCs/>
      </w:rPr>
      <w:tblPr/>
      <w:tcPr>
        <w:tcBorders>
          <w:top w:val="double" w:sz="4" w:space="0" w:color="A71930" w:themeColor="accent1"/>
        </w:tcBorders>
      </w:tcPr>
    </w:tblStylePr>
    <w:tblStylePr w:type="firstCol">
      <w:rPr>
        <w:b/>
        <w:bCs/>
      </w:rPr>
    </w:tblStylePr>
    <w:tblStylePr w:type="lastCol">
      <w:rPr>
        <w:b/>
        <w:bCs/>
      </w:rPr>
    </w:tblStylePr>
    <w:tblStylePr w:type="band1Vert">
      <w:tblPr/>
      <w:tcPr>
        <w:shd w:val="clear" w:color="auto" w:fill="F6C7CF" w:themeFill="accent1" w:themeFillTint="33"/>
      </w:tcPr>
    </w:tblStylePr>
    <w:tblStylePr w:type="band1Horz">
      <w:tblPr/>
      <w:tcPr>
        <w:shd w:val="clear" w:color="auto" w:fill="F6C7CF" w:themeFill="accent1" w:themeFillTint="33"/>
      </w:tcPr>
    </w:tblStylePr>
  </w:style>
  <w:style w:type="table" w:styleId="ListTable6Colorful-Accent2">
    <w:name w:val="List Table 6 Colorful Accent 2"/>
    <w:basedOn w:val="TableNormal"/>
    <w:uiPriority w:val="51"/>
    <w:rsid w:val="00F3012E"/>
    <w:rPr>
      <w:rFonts w:asciiTheme="minorHAnsi" w:hAnsiTheme="minorHAnsi" w:cstheme="minorBidi"/>
      <w:color w:val="B08800" w:themeColor="accent2" w:themeShade="BF"/>
      <w:sz w:val="22"/>
      <w:szCs w:val="22"/>
      <w:lang w:eastAsia="zh-CN"/>
    </w:rPr>
    <w:tblPr>
      <w:tblStyleRowBandSize w:val="1"/>
      <w:tblStyleColBandSize w:val="1"/>
      <w:tblBorders>
        <w:top w:val="single" w:sz="4" w:space="0" w:color="EBB700" w:themeColor="accent2"/>
        <w:bottom w:val="single" w:sz="4" w:space="0" w:color="EBB700" w:themeColor="accent2"/>
      </w:tblBorders>
    </w:tblPr>
    <w:tblStylePr w:type="firstRow">
      <w:rPr>
        <w:b/>
        <w:bCs/>
      </w:rPr>
      <w:tblPr/>
      <w:tcPr>
        <w:tcBorders>
          <w:bottom w:val="single" w:sz="4" w:space="0" w:color="EBB700" w:themeColor="accent2"/>
        </w:tcBorders>
      </w:tcPr>
    </w:tblStylePr>
    <w:tblStylePr w:type="lastRow">
      <w:rPr>
        <w:b/>
        <w:bCs/>
      </w:rPr>
      <w:tblPr/>
      <w:tcPr>
        <w:tcBorders>
          <w:top w:val="double" w:sz="4" w:space="0" w:color="EBB700" w:themeColor="accent2"/>
        </w:tcBorders>
      </w:tcPr>
    </w:tblStylePr>
    <w:tblStylePr w:type="firstCol">
      <w:rPr>
        <w:b/>
        <w:bCs/>
      </w:rPr>
    </w:tblStylePr>
    <w:tblStylePr w:type="lastCol">
      <w:rPr>
        <w:b/>
        <w:bCs/>
      </w:rPr>
    </w:tblStylePr>
    <w:tblStylePr w:type="band1Vert">
      <w:tblPr/>
      <w:tcPr>
        <w:shd w:val="clear" w:color="auto" w:fill="FFF2C8" w:themeFill="accent2" w:themeFillTint="33"/>
      </w:tcPr>
    </w:tblStylePr>
    <w:tblStylePr w:type="band1Horz">
      <w:tblPr/>
      <w:tcPr>
        <w:shd w:val="clear" w:color="auto" w:fill="FFF2C8" w:themeFill="accent2" w:themeFillTint="33"/>
      </w:tcPr>
    </w:tblStylePr>
  </w:style>
  <w:style w:type="table" w:styleId="ListTable6Colorful-Accent3">
    <w:name w:val="List Table 6 Colorful Accent 3"/>
    <w:basedOn w:val="TableNormal"/>
    <w:uiPriority w:val="51"/>
    <w:rsid w:val="00F3012E"/>
    <w:rPr>
      <w:rFonts w:asciiTheme="minorHAnsi" w:hAnsiTheme="minorHAnsi" w:cstheme="minorBidi"/>
      <w:color w:val="455090" w:themeColor="accent3" w:themeShade="BF"/>
      <w:sz w:val="22"/>
      <w:szCs w:val="22"/>
      <w:lang w:eastAsia="zh-CN"/>
    </w:rPr>
    <w:tblPr>
      <w:tblStyleRowBandSize w:val="1"/>
      <w:tblStyleColBandSize w:val="1"/>
      <w:tblBorders>
        <w:top w:val="single" w:sz="4" w:space="0" w:color="6773B6" w:themeColor="accent3"/>
        <w:bottom w:val="single" w:sz="4" w:space="0" w:color="6773B6" w:themeColor="accent3"/>
      </w:tblBorders>
    </w:tblPr>
    <w:tblStylePr w:type="firstRow">
      <w:rPr>
        <w:b/>
        <w:bCs/>
      </w:rPr>
      <w:tblPr/>
      <w:tcPr>
        <w:tcBorders>
          <w:bottom w:val="single" w:sz="4" w:space="0" w:color="6773B6" w:themeColor="accent3"/>
        </w:tcBorders>
      </w:tcPr>
    </w:tblStylePr>
    <w:tblStylePr w:type="lastRow">
      <w:rPr>
        <w:b/>
        <w:bCs/>
      </w:rPr>
      <w:tblPr/>
      <w:tcPr>
        <w:tcBorders>
          <w:top w:val="double" w:sz="4" w:space="0" w:color="6773B6" w:themeColor="accent3"/>
        </w:tcBorders>
      </w:tcPr>
    </w:tblStylePr>
    <w:tblStylePr w:type="firstCol">
      <w:rPr>
        <w:b/>
        <w:bCs/>
      </w:rPr>
    </w:tblStylePr>
    <w:tblStylePr w:type="lastCol">
      <w:rPr>
        <w:b/>
        <w:bCs/>
      </w:rPr>
    </w:tblStylePr>
    <w:tblStylePr w:type="band1Vert">
      <w:tblPr/>
      <w:tcPr>
        <w:shd w:val="clear" w:color="auto" w:fill="E0E2F0" w:themeFill="accent3" w:themeFillTint="33"/>
      </w:tcPr>
    </w:tblStylePr>
    <w:tblStylePr w:type="band1Horz">
      <w:tblPr/>
      <w:tcPr>
        <w:shd w:val="clear" w:color="auto" w:fill="E0E2F0" w:themeFill="accent3" w:themeFillTint="33"/>
      </w:tcPr>
    </w:tblStylePr>
  </w:style>
  <w:style w:type="table" w:styleId="ListTable6Colorful-Accent4">
    <w:name w:val="List Table 6 Colorful Accent 4"/>
    <w:basedOn w:val="TableNormal"/>
    <w:uiPriority w:val="51"/>
    <w:rsid w:val="00F3012E"/>
    <w:rPr>
      <w:rFonts w:asciiTheme="minorHAnsi" w:hAnsiTheme="minorHAnsi" w:cstheme="minorBidi"/>
      <w:color w:val="788100" w:themeColor="accent4" w:themeShade="BF"/>
      <w:sz w:val="22"/>
      <w:szCs w:val="22"/>
      <w:lang w:eastAsia="zh-CN"/>
    </w:rPr>
    <w:tblPr>
      <w:tblStyleRowBandSize w:val="1"/>
      <w:tblStyleColBandSize w:val="1"/>
      <w:tblBorders>
        <w:top w:val="single" w:sz="4" w:space="0" w:color="A2AD00" w:themeColor="accent4"/>
        <w:bottom w:val="single" w:sz="4" w:space="0" w:color="A2AD00" w:themeColor="accent4"/>
      </w:tblBorders>
    </w:tblPr>
    <w:tblStylePr w:type="firstRow">
      <w:rPr>
        <w:b/>
        <w:bCs/>
      </w:rPr>
      <w:tblPr/>
      <w:tcPr>
        <w:tcBorders>
          <w:bottom w:val="single" w:sz="4" w:space="0" w:color="A2AD00" w:themeColor="accent4"/>
        </w:tcBorders>
      </w:tcPr>
    </w:tblStylePr>
    <w:tblStylePr w:type="lastRow">
      <w:rPr>
        <w:b/>
        <w:bCs/>
      </w:rPr>
      <w:tblPr/>
      <w:tcPr>
        <w:tcBorders>
          <w:top w:val="double" w:sz="4" w:space="0" w:color="A2AD00" w:themeColor="accent4"/>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styleId="ListTable6Colorful-Accent5">
    <w:name w:val="List Table 6 Colorful Accent 5"/>
    <w:basedOn w:val="TableNormal"/>
    <w:uiPriority w:val="51"/>
    <w:rsid w:val="00F3012E"/>
    <w:rPr>
      <w:rFonts w:asciiTheme="minorHAnsi" w:hAnsiTheme="minorHAnsi" w:cstheme="minorBidi"/>
      <w:color w:val="67696A" w:themeColor="accent5" w:themeShade="BF"/>
      <w:sz w:val="22"/>
      <w:szCs w:val="22"/>
      <w:lang w:eastAsia="zh-CN"/>
    </w:rPr>
    <w:tblPr>
      <w:tblStyleRowBandSize w:val="1"/>
      <w:tblStyleColBandSize w:val="1"/>
      <w:tblBorders>
        <w:top w:val="single" w:sz="4" w:space="0" w:color="8B8D8E" w:themeColor="accent5"/>
        <w:bottom w:val="single" w:sz="4" w:space="0" w:color="8B8D8E" w:themeColor="accent5"/>
      </w:tblBorders>
    </w:tblPr>
    <w:tblStylePr w:type="firstRow">
      <w:rPr>
        <w:b/>
        <w:bCs/>
      </w:rPr>
      <w:tblPr/>
      <w:tcPr>
        <w:tcBorders>
          <w:bottom w:val="single" w:sz="4" w:space="0" w:color="8B8D8E" w:themeColor="accent5"/>
        </w:tcBorders>
      </w:tcPr>
    </w:tblStylePr>
    <w:tblStylePr w:type="lastRow">
      <w:rPr>
        <w:b/>
        <w:bCs/>
      </w:rPr>
      <w:tblPr/>
      <w:tcPr>
        <w:tcBorders>
          <w:top w:val="double" w:sz="4" w:space="0" w:color="8B8D8E" w:themeColor="accent5"/>
        </w:tcBorders>
      </w:tcPr>
    </w:tblStylePr>
    <w:tblStylePr w:type="firstCol">
      <w:rPr>
        <w:b/>
        <w:bCs/>
      </w:rPr>
    </w:tblStylePr>
    <w:tblStylePr w:type="lastCol">
      <w:rPr>
        <w:b/>
        <w:bCs/>
      </w:rPr>
    </w:tblStylePr>
    <w:tblStylePr w:type="band1Vert">
      <w:tblPr/>
      <w:tcPr>
        <w:shd w:val="clear" w:color="auto" w:fill="E7E8E8" w:themeFill="accent5" w:themeFillTint="33"/>
      </w:tcPr>
    </w:tblStylePr>
    <w:tblStylePr w:type="band1Horz">
      <w:tblPr/>
      <w:tcPr>
        <w:shd w:val="clear" w:color="auto" w:fill="E7E8E8" w:themeFill="accent5" w:themeFillTint="33"/>
      </w:tcPr>
    </w:tblStylePr>
  </w:style>
  <w:style w:type="table" w:styleId="ListTable6Colorful-Accent6">
    <w:name w:val="List Table 6 Colorful Accent 6"/>
    <w:basedOn w:val="TableNormal"/>
    <w:uiPriority w:val="51"/>
    <w:rsid w:val="00F3012E"/>
    <w:rPr>
      <w:rFonts w:asciiTheme="minorHAnsi" w:hAnsiTheme="minorHAnsi" w:cstheme="minorBidi"/>
      <w:color w:val="303032" w:themeColor="accent6" w:themeShade="BF"/>
      <w:sz w:val="22"/>
      <w:szCs w:val="22"/>
      <w:lang w:eastAsia="zh-CN"/>
    </w:rPr>
    <w:tblPr>
      <w:tblStyleRowBandSize w:val="1"/>
      <w:tblStyleColBandSize w:val="1"/>
      <w:tblBorders>
        <w:top w:val="single" w:sz="4" w:space="0" w:color="404143" w:themeColor="accent6"/>
        <w:bottom w:val="single" w:sz="4" w:space="0" w:color="404143" w:themeColor="accent6"/>
      </w:tblBorders>
    </w:tblPr>
    <w:tblStylePr w:type="firstRow">
      <w:rPr>
        <w:b/>
        <w:bCs/>
      </w:rPr>
      <w:tblPr/>
      <w:tcPr>
        <w:tcBorders>
          <w:bottom w:val="single" w:sz="4" w:space="0" w:color="404143" w:themeColor="accent6"/>
        </w:tcBorders>
      </w:tcPr>
    </w:tblStylePr>
    <w:tblStylePr w:type="lastRow">
      <w:rPr>
        <w:b/>
        <w:bCs/>
      </w:rPr>
      <w:tblPr/>
      <w:tcPr>
        <w:tcBorders>
          <w:top w:val="double" w:sz="4" w:space="0" w:color="404143" w:themeColor="accent6"/>
        </w:tcBorders>
      </w:tcPr>
    </w:tblStylePr>
    <w:tblStylePr w:type="firstCol">
      <w:rPr>
        <w:b/>
        <w:bCs/>
      </w:rPr>
    </w:tblStylePr>
    <w:tblStylePr w:type="lastCol">
      <w:rPr>
        <w:b/>
        <w:bCs/>
      </w:rPr>
    </w:tblStylePr>
    <w:tblStylePr w:type="band1Vert">
      <w:tblPr/>
      <w:tcPr>
        <w:shd w:val="clear" w:color="auto" w:fill="D8D8DA" w:themeFill="accent6" w:themeFillTint="33"/>
      </w:tcPr>
    </w:tblStylePr>
    <w:tblStylePr w:type="band1Horz">
      <w:tblPr/>
      <w:tcPr>
        <w:shd w:val="clear" w:color="auto" w:fill="D8D8DA" w:themeFill="accent6" w:themeFillTint="33"/>
      </w:tcPr>
    </w:tblStylePr>
  </w:style>
  <w:style w:type="table" w:styleId="ListTable7Colorful">
    <w:name w:val="List Table 7 Colorful"/>
    <w:basedOn w:val="TableNormal"/>
    <w:uiPriority w:val="52"/>
    <w:rsid w:val="00F3012E"/>
    <w:rPr>
      <w:rFonts w:asciiTheme="minorHAnsi" w:hAnsiTheme="minorHAnsi" w:cstheme="minorBidi"/>
      <w:color w:val="404143" w:themeColor="text1"/>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14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14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14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143" w:themeColor="text1"/>
        </w:tcBorders>
        <w:shd w:val="clear" w:color="auto" w:fill="FFFFFF" w:themeFill="background1"/>
      </w:tcPr>
    </w:tblStylePr>
    <w:tblStylePr w:type="band1Vert">
      <w:tblPr/>
      <w:tcPr>
        <w:shd w:val="clear" w:color="auto" w:fill="D8D8DA" w:themeFill="text1" w:themeFillTint="33"/>
      </w:tcPr>
    </w:tblStylePr>
    <w:tblStylePr w:type="band1Horz">
      <w:tblPr/>
      <w:tcPr>
        <w:shd w:val="clear" w:color="auto" w:fill="D8D8DA"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012E"/>
    <w:rPr>
      <w:rFonts w:asciiTheme="minorHAnsi" w:hAnsiTheme="minorHAnsi" w:cstheme="minorBidi"/>
      <w:color w:val="7C1223" w:themeColor="accent1"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19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19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19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1930" w:themeColor="accent1"/>
        </w:tcBorders>
        <w:shd w:val="clear" w:color="auto" w:fill="FFFFFF" w:themeFill="background1"/>
      </w:tcPr>
    </w:tblStylePr>
    <w:tblStylePr w:type="band1Vert">
      <w:tblPr/>
      <w:tcPr>
        <w:shd w:val="clear" w:color="auto" w:fill="F6C7CF" w:themeFill="accent1" w:themeFillTint="33"/>
      </w:tcPr>
    </w:tblStylePr>
    <w:tblStylePr w:type="band1Horz">
      <w:tblPr/>
      <w:tcPr>
        <w:shd w:val="clear" w:color="auto" w:fill="F6C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012E"/>
    <w:rPr>
      <w:rFonts w:asciiTheme="minorHAnsi" w:hAnsiTheme="minorHAnsi" w:cstheme="minorBidi"/>
      <w:color w:val="B08800" w:themeColor="accent2"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B7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B7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B7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B700" w:themeColor="accent2"/>
        </w:tcBorders>
        <w:shd w:val="clear" w:color="auto" w:fill="FFFFFF" w:themeFill="background1"/>
      </w:tcPr>
    </w:tblStylePr>
    <w:tblStylePr w:type="band1Vert">
      <w:tblPr/>
      <w:tcPr>
        <w:shd w:val="clear" w:color="auto" w:fill="FFF2C8" w:themeFill="accent2" w:themeFillTint="33"/>
      </w:tcPr>
    </w:tblStylePr>
    <w:tblStylePr w:type="band1Horz">
      <w:tblPr/>
      <w:tcPr>
        <w:shd w:val="clear" w:color="auto" w:fill="FFF2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012E"/>
    <w:rPr>
      <w:rFonts w:asciiTheme="minorHAnsi" w:hAnsiTheme="minorHAnsi" w:cstheme="minorBidi"/>
      <w:color w:val="455090" w:themeColor="accent3"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3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3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3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3B6" w:themeColor="accent3"/>
        </w:tcBorders>
        <w:shd w:val="clear" w:color="auto" w:fill="FFFFFF" w:themeFill="background1"/>
      </w:tcPr>
    </w:tblStylePr>
    <w:tblStylePr w:type="band1Vert">
      <w:tblPr/>
      <w:tcPr>
        <w:shd w:val="clear" w:color="auto" w:fill="E0E2F0" w:themeFill="accent3" w:themeFillTint="33"/>
      </w:tcPr>
    </w:tblStylePr>
    <w:tblStylePr w:type="band1Horz">
      <w:tblPr/>
      <w:tcPr>
        <w:shd w:val="clear" w:color="auto" w:fill="E0E2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012E"/>
    <w:rPr>
      <w:rFonts w:asciiTheme="minorHAnsi" w:hAnsiTheme="minorHAnsi" w:cstheme="minorBidi"/>
      <w:color w:val="788100" w:themeColor="accent4"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AD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AD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AD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AD00" w:themeColor="accent4"/>
        </w:tcBorders>
        <w:shd w:val="clear" w:color="auto" w:fill="FFFFFF"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012E"/>
    <w:rPr>
      <w:rFonts w:asciiTheme="minorHAnsi" w:hAnsiTheme="minorHAnsi" w:cstheme="minorBidi"/>
      <w:color w:val="67696A" w:themeColor="accent5"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8D8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8D8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8D8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8D8E" w:themeColor="accent5"/>
        </w:tcBorders>
        <w:shd w:val="clear" w:color="auto" w:fill="FFFFFF" w:themeFill="background1"/>
      </w:tcPr>
    </w:tblStylePr>
    <w:tblStylePr w:type="band1Vert">
      <w:tblPr/>
      <w:tcPr>
        <w:shd w:val="clear" w:color="auto" w:fill="E7E8E8" w:themeFill="accent5" w:themeFillTint="33"/>
      </w:tcPr>
    </w:tblStylePr>
    <w:tblStylePr w:type="band1Horz">
      <w:tblPr/>
      <w:tcPr>
        <w:shd w:val="clear" w:color="auto" w:fill="E7E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012E"/>
    <w:rPr>
      <w:rFonts w:asciiTheme="minorHAnsi" w:hAnsiTheme="minorHAnsi" w:cstheme="minorBidi"/>
      <w:color w:val="303032" w:themeColor="accent6"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14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14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14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143" w:themeColor="accent6"/>
        </w:tcBorders>
        <w:shd w:val="clear" w:color="auto" w:fill="FFFFFF" w:themeFill="background1"/>
      </w:tcPr>
    </w:tblStylePr>
    <w:tblStylePr w:type="band1Vert">
      <w:tblPr/>
      <w:tcPr>
        <w:shd w:val="clear" w:color="auto" w:fill="D8D8DA" w:themeFill="accent6" w:themeFillTint="33"/>
      </w:tcPr>
    </w:tblStylePr>
    <w:tblStylePr w:type="band1Horz">
      <w:tblPr/>
      <w:tcPr>
        <w:shd w:val="clear" w:color="auto" w:fill="D8D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E7073" w:themeColor="text1" w:themeTint="BF"/>
        <w:left w:val="single" w:sz="8" w:space="0" w:color="6E7073" w:themeColor="text1" w:themeTint="BF"/>
        <w:bottom w:val="single" w:sz="8" w:space="0" w:color="6E7073" w:themeColor="text1" w:themeTint="BF"/>
        <w:right w:val="single" w:sz="8" w:space="0" w:color="6E7073" w:themeColor="text1" w:themeTint="BF"/>
        <w:insideH w:val="single" w:sz="8" w:space="0" w:color="6E7073" w:themeColor="text1" w:themeTint="BF"/>
        <w:insideV w:val="single" w:sz="8" w:space="0" w:color="6E7073" w:themeColor="text1" w:themeTint="BF"/>
      </w:tblBorders>
    </w:tblPr>
    <w:tcPr>
      <w:shd w:val="clear" w:color="auto" w:fill="CFCFD1" w:themeFill="text1" w:themeFillTint="3F"/>
    </w:tcPr>
    <w:tblStylePr w:type="firstRow">
      <w:rPr>
        <w:b/>
        <w:bCs/>
      </w:rPr>
    </w:tblStylePr>
    <w:tblStylePr w:type="lastRow">
      <w:rPr>
        <w:b/>
        <w:bCs/>
      </w:rPr>
      <w:tblPr/>
      <w:tcPr>
        <w:tcBorders>
          <w:top w:val="single" w:sz="18" w:space="0" w:color="6E7073" w:themeColor="text1" w:themeTint="BF"/>
        </w:tcBorders>
      </w:tcPr>
    </w:tblStylePr>
    <w:tblStylePr w:type="firstCol">
      <w:rPr>
        <w:b/>
        <w:bCs/>
      </w:rPr>
    </w:tblStylePr>
    <w:tblStylePr w:type="lastCol">
      <w:rPr>
        <w:b/>
        <w:bCs/>
      </w:rPr>
    </w:tblStylePr>
    <w:tblStylePr w:type="band1Vert">
      <w:tblPr/>
      <w:tcPr>
        <w:shd w:val="clear" w:color="auto" w:fill="9E9FA2" w:themeFill="text1" w:themeFillTint="7F"/>
      </w:tcPr>
    </w:tblStylePr>
    <w:tblStylePr w:type="band1Horz">
      <w:tblPr/>
      <w:tcPr>
        <w:shd w:val="clear" w:color="auto" w:fill="9E9FA2" w:themeFill="text1" w:themeFillTint="7F"/>
      </w:tcPr>
    </w:tblStylePr>
  </w:style>
  <w:style w:type="table" w:styleId="MediumGrid1-Accent1">
    <w:name w:val="Medium Grid 1 Accent 1"/>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02F4C" w:themeColor="accent1" w:themeTint="BF"/>
        <w:left w:val="single" w:sz="8" w:space="0" w:color="E02F4C" w:themeColor="accent1" w:themeTint="BF"/>
        <w:bottom w:val="single" w:sz="8" w:space="0" w:color="E02F4C" w:themeColor="accent1" w:themeTint="BF"/>
        <w:right w:val="single" w:sz="8" w:space="0" w:color="E02F4C" w:themeColor="accent1" w:themeTint="BF"/>
        <w:insideH w:val="single" w:sz="8" w:space="0" w:color="E02F4C" w:themeColor="accent1" w:themeTint="BF"/>
        <w:insideV w:val="single" w:sz="8" w:space="0" w:color="E02F4C" w:themeColor="accent1" w:themeTint="BF"/>
      </w:tblBorders>
    </w:tblPr>
    <w:tcPr>
      <w:shd w:val="clear" w:color="auto" w:fill="F4BAC3" w:themeFill="accent1" w:themeFillTint="3F"/>
    </w:tcPr>
    <w:tblStylePr w:type="firstRow">
      <w:rPr>
        <w:b/>
        <w:bCs/>
      </w:rPr>
    </w:tblStylePr>
    <w:tblStylePr w:type="lastRow">
      <w:rPr>
        <w:b/>
        <w:bCs/>
      </w:rPr>
      <w:tblPr/>
      <w:tcPr>
        <w:tcBorders>
          <w:top w:val="single" w:sz="18" w:space="0" w:color="E02F4C" w:themeColor="accent1" w:themeTint="BF"/>
        </w:tcBorders>
      </w:tcPr>
    </w:tblStylePr>
    <w:tblStylePr w:type="firstCol">
      <w:rPr>
        <w:b/>
        <w:bCs/>
      </w:rPr>
    </w:tblStylePr>
    <w:tblStylePr w:type="lastCol">
      <w:rPr>
        <w:b/>
        <w:bCs/>
      </w:rPr>
    </w:tblStylePr>
    <w:tblStylePr w:type="band1Vert">
      <w:tblPr/>
      <w:tcPr>
        <w:shd w:val="clear" w:color="auto" w:fill="EA7587" w:themeFill="accent1" w:themeFillTint="7F"/>
      </w:tcPr>
    </w:tblStylePr>
    <w:tblStylePr w:type="band1Horz">
      <w:tblPr/>
      <w:tcPr>
        <w:shd w:val="clear" w:color="auto" w:fill="EA7587" w:themeFill="accent1" w:themeFillTint="7F"/>
      </w:tcPr>
    </w:tblStylePr>
  </w:style>
  <w:style w:type="table" w:styleId="MediumGrid1-Accent2">
    <w:name w:val="Medium Grid 1 Accent 2"/>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D031" w:themeColor="accent2" w:themeTint="BF"/>
        <w:left w:val="single" w:sz="8" w:space="0" w:color="FFD031" w:themeColor="accent2" w:themeTint="BF"/>
        <w:bottom w:val="single" w:sz="8" w:space="0" w:color="FFD031" w:themeColor="accent2" w:themeTint="BF"/>
        <w:right w:val="single" w:sz="8" w:space="0" w:color="FFD031" w:themeColor="accent2" w:themeTint="BF"/>
        <w:insideH w:val="single" w:sz="8" w:space="0" w:color="FFD031" w:themeColor="accent2" w:themeTint="BF"/>
        <w:insideV w:val="single" w:sz="8" w:space="0" w:color="FFD031" w:themeColor="accent2" w:themeTint="BF"/>
      </w:tblBorders>
    </w:tblPr>
    <w:tcPr>
      <w:shd w:val="clear" w:color="auto" w:fill="FFEFBB" w:themeFill="accent2" w:themeFillTint="3F"/>
    </w:tcPr>
    <w:tblStylePr w:type="firstRow">
      <w:rPr>
        <w:b/>
        <w:bCs/>
      </w:rPr>
    </w:tblStylePr>
    <w:tblStylePr w:type="lastRow">
      <w:rPr>
        <w:b/>
        <w:bCs/>
      </w:rPr>
      <w:tblPr/>
      <w:tcPr>
        <w:tcBorders>
          <w:top w:val="single" w:sz="18" w:space="0" w:color="FFD031" w:themeColor="accent2" w:themeTint="BF"/>
        </w:tcBorders>
      </w:tcPr>
    </w:tblStylePr>
    <w:tblStylePr w:type="firstCol">
      <w:rPr>
        <w:b/>
        <w:bCs/>
      </w:rPr>
    </w:tblStylePr>
    <w:tblStylePr w:type="lastCol">
      <w:rPr>
        <w:b/>
        <w:bCs/>
      </w:rPr>
    </w:tblStylePr>
    <w:tblStylePr w:type="band1Vert">
      <w:tblPr/>
      <w:tcPr>
        <w:shd w:val="clear" w:color="auto" w:fill="FFE076" w:themeFill="accent2" w:themeFillTint="7F"/>
      </w:tcPr>
    </w:tblStylePr>
    <w:tblStylePr w:type="band1Horz">
      <w:tblPr/>
      <w:tcPr>
        <w:shd w:val="clear" w:color="auto" w:fill="FFE076" w:themeFill="accent2" w:themeFillTint="7F"/>
      </w:tcPr>
    </w:tblStylePr>
  </w:style>
  <w:style w:type="table" w:styleId="MediumGrid1-Accent3">
    <w:name w:val="Medium Grid 1 Accent 3"/>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8D95C8" w:themeColor="accent3" w:themeTint="BF"/>
        <w:left w:val="single" w:sz="8" w:space="0" w:color="8D95C8" w:themeColor="accent3" w:themeTint="BF"/>
        <w:bottom w:val="single" w:sz="8" w:space="0" w:color="8D95C8" w:themeColor="accent3" w:themeTint="BF"/>
        <w:right w:val="single" w:sz="8" w:space="0" w:color="8D95C8" w:themeColor="accent3" w:themeTint="BF"/>
        <w:insideH w:val="single" w:sz="8" w:space="0" w:color="8D95C8" w:themeColor="accent3" w:themeTint="BF"/>
        <w:insideV w:val="single" w:sz="8" w:space="0" w:color="8D95C8" w:themeColor="accent3" w:themeTint="BF"/>
      </w:tblBorders>
    </w:tblPr>
    <w:tcPr>
      <w:shd w:val="clear" w:color="auto" w:fill="D9DCED" w:themeFill="accent3" w:themeFillTint="3F"/>
    </w:tcPr>
    <w:tblStylePr w:type="firstRow">
      <w:rPr>
        <w:b/>
        <w:bCs/>
      </w:rPr>
    </w:tblStylePr>
    <w:tblStylePr w:type="lastRow">
      <w:rPr>
        <w:b/>
        <w:bCs/>
      </w:rPr>
      <w:tblPr/>
      <w:tcPr>
        <w:tcBorders>
          <w:top w:val="single" w:sz="18" w:space="0" w:color="8D95C8" w:themeColor="accent3" w:themeTint="BF"/>
        </w:tcBorders>
      </w:tcPr>
    </w:tblStylePr>
    <w:tblStylePr w:type="firstCol">
      <w:rPr>
        <w:b/>
        <w:bCs/>
      </w:rPr>
    </w:tblStylePr>
    <w:tblStylePr w:type="lastCol">
      <w:rPr>
        <w:b/>
        <w:bCs/>
      </w:rPr>
    </w:tblStylePr>
    <w:tblStylePr w:type="band1Vert">
      <w:tblPr/>
      <w:tcPr>
        <w:shd w:val="clear" w:color="auto" w:fill="B3B8DA" w:themeFill="accent3" w:themeFillTint="7F"/>
      </w:tcPr>
    </w:tblStylePr>
    <w:tblStylePr w:type="band1Horz">
      <w:tblPr/>
      <w:tcPr>
        <w:shd w:val="clear" w:color="auto" w:fill="B3B8DA" w:themeFill="accent3" w:themeFillTint="7F"/>
      </w:tcPr>
    </w:tblStylePr>
  </w:style>
  <w:style w:type="table" w:styleId="MediumGrid1-Accent4">
    <w:name w:val="Medium Grid 1 Accent 4"/>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single" w:sz="8" w:space="0" w:color="EEFF02" w:themeColor="accent4" w:themeTint="BF"/>
        <w:insideV w:val="single" w:sz="8" w:space="0" w:color="EEFF02" w:themeColor="accent4" w:themeTint="BF"/>
      </w:tblBorders>
    </w:tblPr>
    <w:tcPr>
      <w:shd w:val="clear" w:color="auto" w:fill="F9FFAB" w:themeFill="accent4" w:themeFillTint="3F"/>
    </w:tcPr>
    <w:tblStylePr w:type="firstRow">
      <w:rPr>
        <w:b/>
        <w:bCs/>
      </w:rPr>
    </w:tblStylePr>
    <w:tblStylePr w:type="lastRow">
      <w:rPr>
        <w:b/>
        <w:bCs/>
      </w:rPr>
      <w:tblPr/>
      <w:tcPr>
        <w:tcBorders>
          <w:top w:val="single" w:sz="18" w:space="0" w:color="EEFF02" w:themeColor="accent4" w:themeTint="BF"/>
        </w:tcBorders>
      </w:tcPr>
    </w:tblStylePr>
    <w:tblStylePr w:type="firstCol">
      <w:rPr>
        <w:b/>
        <w:bCs/>
      </w:rPr>
    </w:tblStylePr>
    <w:tblStylePr w:type="lastCol">
      <w:rPr>
        <w:b/>
        <w:bCs/>
      </w:rPr>
    </w:tblStylePr>
    <w:tblStylePr w:type="band1Vert">
      <w:tblPr/>
      <w:tcPr>
        <w:shd w:val="clear" w:color="auto" w:fill="F3FF57" w:themeFill="accent4" w:themeFillTint="7F"/>
      </w:tcPr>
    </w:tblStylePr>
    <w:tblStylePr w:type="band1Horz">
      <w:tblPr/>
      <w:tcPr>
        <w:shd w:val="clear" w:color="auto" w:fill="F3FF57" w:themeFill="accent4" w:themeFillTint="7F"/>
      </w:tcPr>
    </w:tblStylePr>
  </w:style>
  <w:style w:type="table" w:styleId="MediumGrid1-Accent5">
    <w:name w:val="Medium Grid 1 Accent 5"/>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8A9AA" w:themeColor="accent5" w:themeTint="BF"/>
        <w:left w:val="single" w:sz="8" w:space="0" w:color="A8A9AA" w:themeColor="accent5" w:themeTint="BF"/>
        <w:bottom w:val="single" w:sz="8" w:space="0" w:color="A8A9AA" w:themeColor="accent5" w:themeTint="BF"/>
        <w:right w:val="single" w:sz="8" w:space="0" w:color="A8A9AA" w:themeColor="accent5" w:themeTint="BF"/>
        <w:insideH w:val="single" w:sz="8" w:space="0" w:color="A8A9AA" w:themeColor="accent5" w:themeTint="BF"/>
        <w:insideV w:val="single" w:sz="8" w:space="0" w:color="A8A9AA" w:themeColor="accent5" w:themeTint="BF"/>
      </w:tblBorders>
    </w:tblPr>
    <w:tcPr>
      <w:shd w:val="clear" w:color="auto" w:fill="E2E2E3" w:themeFill="accent5" w:themeFillTint="3F"/>
    </w:tcPr>
    <w:tblStylePr w:type="firstRow">
      <w:rPr>
        <w:b/>
        <w:bCs/>
      </w:rPr>
    </w:tblStylePr>
    <w:tblStylePr w:type="lastRow">
      <w:rPr>
        <w:b/>
        <w:bCs/>
      </w:rPr>
      <w:tblPr/>
      <w:tcPr>
        <w:tcBorders>
          <w:top w:val="single" w:sz="18" w:space="0" w:color="A8A9AA" w:themeColor="accent5" w:themeTint="BF"/>
        </w:tcBorders>
      </w:tcPr>
    </w:tblStylePr>
    <w:tblStylePr w:type="firstCol">
      <w:rPr>
        <w:b/>
        <w:bCs/>
      </w:rPr>
    </w:tblStylePr>
    <w:tblStylePr w:type="lastCol">
      <w:rPr>
        <w:b/>
        <w:bCs/>
      </w:rPr>
    </w:tblStylePr>
    <w:tblStylePr w:type="band1Vert">
      <w:tblPr/>
      <w:tcPr>
        <w:shd w:val="clear" w:color="auto" w:fill="C5C6C6" w:themeFill="accent5" w:themeFillTint="7F"/>
      </w:tcPr>
    </w:tblStylePr>
    <w:tblStylePr w:type="band1Horz">
      <w:tblPr/>
      <w:tcPr>
        <w:shd w:val="clear" w:color="auto" w:fill="C5C6C6" w:themeFill="accent5" w:themeFillTint="7F"/>
      </w:tcPr>
    </w:tblStylePr>
  </w:style>
  <w:style w:type="table" w:styleId="MediumGrid1-Accent6">
    <w:name w:val="Medium Grid 1 Accent 6"/>
    <w:basedOn w:val="TableNormal"/>
    <w:uiPriority w:val="67"/>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E7073" w:themeColor="accent6" w:themeTint="BF"/>
        <w:left w:val="single" w:sz="8" w:space="0" w:color="6E7073" w:themeColor="accent6" w:themeTint="BF"/>
        <w:bottom w:val="single" w:sz="8" w:space="0" w:color="6E7073" w:themeColor="accent6" w:themeTint="BF"/>
        <w:right w:val="single" w:sz="8" w:space="0" w:color="6E7073" w:themeColor="accent6" w:themeTint="BF"/>
        <w:insideH w:val="single" w:sz="8" w:space="0" w:color="6E7073" w:themeColor="accent6" w:themeTint="BF"/>
        <w:insideV w:val="single" w:sz="8" w:space="0" w:color="6E7073" w:themeColor="accent6" w:themeTint="BF"/>
      </w:tblBorders>
    </w:tblPr>
    <w:tcPr>
      <w:shd w:val="clear" w:color="auto" w:fill="CFCFD1" w:themeFill="accent6" w:themeFillTint="3F"/>
    </w:tcPr>
    <w:tblStylePr w:type="firstRow">
      <w:rPr>
        <w:b/>
        <w:bCs/>
      </w:rPr>
    </w:tblStylePr>
    <w:tblStylePr w:type="lastRow">
      <w:rPr>
        <w:b/>
        <w:bCs/>
      </w:rPr>
      <w:tblPr/>
      <w:tcPr>
        <w:tcBorders>
          <w:top w:val="single" w:sz="18" w:space="0" w:color="6E7073" w:themeColor="accent6" w:themeTint="BF"/>
        </w:tcBorders>
      </w:tcPr>
    </w:tblStylePr>
    <w:tblStylePr w:type="firstCol">
      <w:rPr>
        <w:b/>
        <w:bCs/>
      </w:rPr>
    </w:tblStylePr>
    <w:tblStylePr w:type="lastCol">
      <w:rPr>
        <w:b/>
        <w:bCs/>
      </w:rPr>
    </w:tblStylePr>
    <w:tblStylePr w:type="band1Vert">
      <w:tblPr/>
      <w:tcPr>
        <w:shd w:val="clear" w:color="auto" w:fill="9E9FA2" w:themeFill="accent6" w:themeFillTint="7F"/>
      </w:tcPr>
    </w:tblStylePr>
    <w:tblStylePr w:type="band1Horz">
      <w:tblPr/>
      <w:tcPr>
        <w:shd w:val="clear" w:color="auto" w:fill="9E9FA2" w:themeFill="accent6" w:themeFillTint="7F"/>
      </w:tcPr>
    </w:tblStylePr>
  </w:style>
  <w:style w:type="table" w:styleId="MediumGrid2">
    <w:name w:val="Medium Grid 2"/>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404143" w:themeColor="text1"/>
        <w:left w:val="single" w:sz="8" w:space="0" w:color="404143" w:themeColor="text1"/>
        <w:bottom w:val="single" w:sz="8" w:space="0" w:color="404143" w:themeColor="text1"/>
        <w:right w:val="single" w:sz="8" w:space="0" w:color="404143" w:themeColor="text1"/>
        <w:insideH w:val="single" w:sz="8" w:space="0" w:color="404143" w:themeColor="text1"/>
        <w:insideV w:val="single" w:sz="8" w:space="0" w:color="404143" w:themeColor="text1"/>
      </w:tblBorders>
    </w:tblPr>
    <w:tcPr>
      <w:shd w:val="clear" w:color="auto" w:fill="CFCFD1" w:themeFill="text1" w:themeFillTint="3F"/>
    </w:tcPr>
    <w:tblStylePr w:type="firstRow">
      <w:rPr>
        <w:b/>
        <w:bCs/>
        <w:color w:val="404143" w:themeColor="text1"/>
      </w:rPr>
      <w:tblPr/>
      <w:tcPr>
        <w:shd w:val="clear" w:color="auto" w:fill="EBECEC" w:themeFill="text1"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D8D8DA" w:themeFill="text1" w:themeFillTint="33"/>
      </w:tcPr>
    </w:tblStylePr>
    <w:tblStylePr w:type="band1Vert">
      <w:tblPr/>
      <w:tcPr>
        <w:shd w:val="clear" w:color="auto" w:fill="9E9FA2" w:themeFill="text1" w:themeFillTint="7F"/>
      </w:tcPr>
    </w:tblStylePr>
    <w:tblStylePr w:type="band1Horz">
      <w:tblPr/>
      <w:tcPr>
        <w:tcBorders>
          <w:insideH w:val="single" w:sz="6" w:space="0" w:color="404143" w:themeColor="text1"/>
          <w:insideV w:val="single" w:sz="6" w:space="0" w:color="404143" w:themeColor="text1"/>
        </w:tcBorders>
        <w:shd w:val="clear" w:color="auto" w:fill="9E9FA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A71930" w:themeColor="accent1"/>
        <w:left w:val="single" w:sz="8" w:space="0" w:color="A71930" w:themeColor="accent1"/>
        <w:bottom w:val="single" w:sz="8" w:space="0" w:color="A71930" w:themeColor="accent1"/>
        <w:right w:val="single" w:sz="8" w:space="0" w:color="A71930" w:themeColor="accent1"/>
        <w:insideH w:val="single" w:sz="8" w:space="0" w:color="A71930" w:themeColor="accent1"/>
        <w:insideV w:val="single" w:sz="8" w:space="0" w:color="A71930" w:themeColor="accent1"/>
      </w:tblBorders>
    </w:tblPr>
    <w:tcPr>
      <w:shd w:val="clear" w:color="auto" w:fill="F4BAC3" w:themeFill="accent1" w:themeFillTint="3F"/>
    </w:tcPr>
    <w:tblStylePr w:type="firstRow">
      <w:rPr>
        <w:b/>
        <w:bCs/>
        <w:color w:val="404143" w:themeColor="text1"/>
      </w:rPr>
      <w:tblPr/>
      <w:tcPr>
        <w:shd w:val="clear" w:color="auto" w:fill="FBE3E7" w:themeFill="accent1"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F6C7CF" w:themeFill="accent1" w:themeFillTint="33"/>
      </w:tcPr>
    </w:tblStylePr>
    <w:tblStylePr w:type="band1Vert">
      <w:tblPr/>
      <w:tcPr>
        <w:shd w:val="clear" w:color="auto" w:fill="EA7587" w:themeFill="accent1" w:themeFillTint="7F"/>
      </w:tcPr>
    </w:tblStylePr>
    <w:tblStylePr w:type="band1Horz">
      <w:tblPr/>
      <w:tcPr>
        <w:tcBorders>
          <w:insideH w:val="single" w:sz="6" w:space="0" w:color="A71930" w:themeColor="accent1"/>
          <w:insideV w:val="single" w:sz="6" w:space="0" w:color="A71930" w:themeColor="accent1"/>
        </w:tcBorders>
        <w:shd w:val="clear" w:color="auto" w:fill="EA758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EBB700" w:themeColor="accent2"/>
        <w:left w:val="single" w:sz="8" w:space="0" w:color="EBB700" w:themeColor="accent2"/>
        <w:bottom w:val="single" w:sz="8" w:space="0" w:color="EBB700" w:themeColor="accent2"/>
        <w:right w:val="single" w:sz="8" w:space="0" w:color="EBB700" w:themeColor="accent2"/>
        <w:insideH w:val="single" w:sz="8" w:space="0" w:color="EBB700" w:themeColor="accent2"/>
        <w:insideV w:val="single" w:sz="8" w:space="0" w:color="EBB700" w:themeColor="accent2"/>
      </w:tblBorders>
    </w:tblPr>
    <w:tcPr>
      <w:shd w:val="clear" w:color="auto" w:fill="FFEFBB" w:themeFill="accent2" w:themeFillTint="3F"/>
    </w:tcPr>
    <w:tblStylePr w:type="firstRow">
      <w:rPr>
        <w:b/>
        <w:bCs/>
        <w:color w:val="404143" w:themeColor="text1"/>
      </w:rPr>
      <w:tblPr/>
      <w:tcPr>
        <w:shd w:val="clear" w:color="auto" w:fill="FFF8E4" w:themeFill="accent2"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FFF2C8" w:themeFill="accent2" w:themeFillTint="33"/>
      </w:tcPr>
    </w:tblStylePr>
    <w:tblStylePr w:type="band1Vert">
      <w:tblPr/>
      <w:tcPr>
        <w:shd w:val="clear" w:color="auto" w:fill="FFE076" w:themeFill="accent2" w:themeFillTint="7F"/>
      </w:tcPr>
    </w:tblStylePr>
    <w:tblStylePr w:type="band1Horz">
      <w:tblPr/>
      <w:tcPr>
        <w:tcBorders>
          <w:insideH w:val="single" w:sz="6" w:space="0" w:color="EBB700" w:themeColor="accent2"/>
          <w:insideV w:val="single" w:sz="6" w:space="0" w:color="EBB700" w:themeColor="accent2"/>
        </w:tcBorders>
        <w:shd w:val="clear" w:color="auto" w:fill="FFE07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6773B6" w:themeColor="accent3"/>
        <w:left w:val="single" w:sz="8" w:space="0" w:color="6773B6" w:themeColor="accent3"/>
        <w:bottom w:val="single" w:sz="8" w:space="0" w:color="6773B6" w:themeColor="accent3"/>
        <w:right w:val="single" w:sz="8" w:space="0" w:color="6773B6" w:themeColor="accent3"/>
        <w:insideH w:val="single" w:sz="8" w:space="0" w:color="6773B6" w:themeColor="accent3"/>
        <w:insideV w:val="single" w:sz="8" w:space="0" w:color="6773B6" w:themeColor="accent3"/>
      </w:tblBorders>
    </w:tblPr>
    <w:tcPr>
      <w:shd w:val="clear" w:color="auto" w:fill="D9DCED" w:themeFill="accent3" w:themeFillTint="3F"/>
    </w:tcPr>
    <w:tblStylePr w:type="firstRow">
      <w:rPr>
        <w:b/>
        <w:bCs/>
        <w:color w:val="404143" w:themeColor="text1"/>
      </w:rPr>
      <w:tblPr/>
      <w:tcPr>
        <w:shd w:val="clear" w:color="auto" w:fill="EFF1F7" w:themeFill="accent3"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E0E2F0" w:themeFill="accent3" w:themeFillTint="33"/>
      </w:tcPr>
    </w:tblStylePr>
    <w:tblStylePr w:type="band1Vert">
      <w:tblPr/>
      <w:tcPr>
        <w:shd w:val="clear" w:color="auto" w:fill="B3B8DA" w:themeFill="accent3" w:themeFillTint="7F"/>
      </w:tcPr>
    </w:tblStylePr>
    <w:tblStylePr w:type="band1Horz">
      <w:tblPr/>
      <w:tcPr>
        <w:tcBorders>
          <w:insideH w:val="single" w:sz="6" w:space="0" w:color="6773B6" w:themeColor="accent3"/>
          <w:insideV w:val="single" w:sz="6" w:space="0" w:color="6773B6" w:themeColor="accent3"/>
        </w:tcBorders>
        <w:shd w:val="clear" w:color="auto" w:fill="B3B8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insideH w:val="single" w:sz="8" w:space="0" w:color="A2AD00" w:themeColor="accent4"/>
        <w:insideV w:val="single" w:sz="8" w:space="0" w:color="A2AD00" w:themeColor="accent4"/>
      </w:tblBorders>
    </w:tblPr>
    <w:tcPr>
      <w:shd w:val="clear" w:color="auto" w:fill="F9FFAB" w:themeFill="accent4" w:themeFillTint="3F"/>
    </w:tcPr>
    <w:tblStylePr w:type="firstRow">
      <w:rPr>
        <w:b/>
        <w:bCs/>
        <w:color w:val="404143" w:themeColor="text1"/>
      </w:rPr>
      <w:tblPr/>
      <w:tcPr>
        <w:shd w:val="clear" w:color="auto" w:fill="FCFFDD" w:themeFill="accent4"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FAFFBB" w:themeFill="accent4" w:themeFillTint="33"/>
      </w:tcPr>
    </w:tblStylePr>
    <w:tblStylePr w:type="band1Vert">
      <w:tblPr/>
      <w:tcPr>
        <w:shd w:val="clear" w:color="auto" w:fill="F3FF57" w:themeFill="accent4" w:themeFillTint="7F"/>
      </w:tcPr>
    </w:tblStylePr>
    <w:tblStylePr w:type="band1Horz">
      <w:tblPr/>
      <w:tcPr>
        <w:tcBorders>
          <w:insideH w:val="single" w:sz="6" w:space="0" w:color="A2AD00" w:themeColor="accent4"/>
          <w:insideV w:val="single" w:sz="6" w:space="0" w:color="A2AD00" w:themeColor="accent4"/>
        </w:tcBorders>
        <w:shd w:val="clear" w:color="auto" w:fill="F3FF5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8B8D8E" w:themeColor="accent5"/>
        <w:left w:val="single" w:sz="8" w:space="0" w:color="8B8D8E" w:themeColor="accent5"/>
        <w:bottom w:val="single" w:sz="8" w:space="0" w:color="8B8D8E" w:themeColor="accent5"/>
        <w:right w:val="single" w:sz="8" w:space="0" w:color="8B8D8E" w:themeColor="accent5"/>
        <w:insideH w:val="single" w:sz="8" w:space="0" w:color="8B8D8E" w:themeColor="accent5"/>
        <w:insideV w:val="single" w:sz="8" w:space="0" w:color="8B8D8E" w:themeColor="accent5"/>
      </w:tblBorders>
    </w:tblPr>
    <w:tcPr>
      <w:shd w:val="clear" w:color="auto" w:fill="E2E2E3" w:themeFill="accent5" w:themeFillTint="3F"/>
    </w:tcPr>
    <w:tblStylePr w:type="firstRow">
      <w:rPr>
        <w:b/>
        <w:bCs/>
        <w:color w:val="404143" w:themeColor="text1"/>
      </w:rPr>
      <w:tblPr/>
      <w:tcPr>
        <w:shd w:val="clear" w:color="auto" w:fill="F3F3F3" w:themeFill="accent5"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E7E8E8" w:themeFill="accent5" w:themeFillTint="33"/>
      </w:tcPr>
    </w:tblStylePr>
    <w:tblStylePr w:type="band1Vert">
      <w:tblPr/>
      <w:tcPr>
        <w:shd w:val="clear" w:color="auto" w:fill="C5C6C6" w:themeFill="accent5" w:themeFillTint="7F"/>
      </w:tcPr>
    </w:tblStylePr>
    <w:tblStylePr w:type="band1Horz">
      <w:tblPr/>
      <w:tcPr>
        <w:tcBorders>
          <w:insideH w:val="single" w:sz="6" w:space="0" w:color="8B8D8E" w:themeColor="accent5"/>
          <w:insideV w:val="single" w:sz="6" w:space="0" w:color="8B8D8E" w:themeColor="accent5"/>
        </w:tcBorders>
        <w:shd w:val="clear" w:color="auto" w:fill="C5C6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404143" w:themeColor="accent6"/>
        <w:left w:val="single" w:sz="8" w:space="0" w:color="404143" w:themeColor="accent6"/>
        <w:bottom w:val="single" w:sz="8" w:space="0" w:color="404143" w:themeColor="accent6"/>
        <w:right w:val="single" w:sz="8" w:space="0" w:color="404143" w:themeColor="accent6"/>
        <w:insideH w:val="single" w:sz="8" w:space="0" w:color="404143" w:themeColor="accent6"/>
        <w:insideV w:val="single" w:sz="8" w:space="0" w:color="404143" w:themeColor="accent6"/>
      </w:tblBorders>
    </w:tblPr>
    <w:tcPr>
      <w:shd w:val="clear" w:color="auto" w:fill="CFCFD1" w:themeFill="accent6" w:themeFillTint="3F"/>
    </w:tcPr>
    <w:tblStylePr w:type="firstRow">
      <w:rPr>
        <w:b/>
        <w:bCs/>
        <w:color w:val="404143" w:themeColor="text1"/>
      </w:rPr>
      <w:tblPr/>
      <w:tcPr>
        <w:shd w:val="clear" w:color="auto" w:fill="EBECEC" w:themeFill="accent6" w:themeFillTint="19"/>
      </w:tcPr>
    </w:tblStylePr>
    <w:tblStylePr w:type="lastRow">
      <w:rPr>
        <w:b/>
        <w:bCs/>
        <w:color w:val="404143" w:themeColor="text1"/>
      </w:rPr>
      <w:tblPr/>
      <w:tcPr>
        <w:tcBorders>
          <w:top w:val="single" w:sz="12" w:space="0" w:color="404143" w:themeColor="text1"/>
          <w:left w:val="nil"/>
          <w:bottom w:val="nil"/>
          <w:right w:val="nil"/>
          <w:insideH w:val="nil"/>
          <w:insideV w:val="nil"/>
        </w:tcBorders>
        <w:shd w:val="clear" w:color="auto" w:fill="FFFFFF" w:themeFill="background1"/>
      </w:tcPr>
    </w:tblStylePr>
    <w:tblStylePr w:type="firstCol">
      <w:rPr>
        <w:b/>
        <w:bCs/>
        <w:color w:val="40414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143" w:themeColor="text1"/>
      </w:rPr>
      <w:tblPr/>
      <w:tcPr>
        <w:tcBorders>
          <w:top w:val="nil"/>
          <w:left w:val="nil"/>
          <w:bottom w:val="nil"/>
          <w:right w:val="nil"/>
          <w:insideH w:val="nil"/>
          <w:insideV w:val="nil"/>
        </w:tcBorders>
        <w:shd w:val="clear" w:color="auto" w:fill="D8D8DA" w:themeFill="accent6" w:themeFillTint="33"/>
      </w:tcPr>
    </w:tblStylePr>
    <w:tblStylePr w:type="band1Vert">
      <w:tblPr/>
      <w:tcPr>
        <w:shd w:val="clear" w:color="auto" w:fill="9E9FA2" w:themeFill="accent6" w:themeFillTint="7F"/>
      </w:tcPr>
    </w:tblStylePr>
    <w:tblStylePr w:type="band1Horz">
      <w:tblPr/>
      <w:tcPr>
        <w:tcBorders>
          <w:insideH w:val="single" w:sz="6" w:space="0" w:color="404143" w:themeColor="accent6"/>
          <w:insideV w:val="single" w:sz="6" w:space="0" w:color="404143" w:themeColor="accent6"/>
        </w:tcBorders>
        <w:shd w:val="clear" w:color="auto" w:fill="9E9F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14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14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14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14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FA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FA2" w:themeFill="text1" w:themeFillTint="7F"/>
      </w:tcPr>
    </w:tblStylePr>
  </w:style>
  <w:style w:type="table" w:styleId="MediumGrid3-Accent1">
    <w:name w:val="Medium Grid 3 Accent 1"/>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A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19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19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19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19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58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587" w:themeFill="accent1" w:themeFillTint="7F"/>
      </w:tcPr>
    </w:tblStylePr>
  </w:style>
  <w:style w:type="table" w:styleId="MediumGrid3-Accent2">
    <w:name w:val="Medium Grid 3 Accent 2"/>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B7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B7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B7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B7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07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076" w:themeFill="accent2" w:themeFillTint="7F"/>
      </w:tcPr>
    </w:tblStylePr>
  </w:style>
  <w:style w:type="table" w:styleId="MediumGrid3-Accent3">
    <w:name w:val="Medium Grid 3 Accent 3"/>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C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3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3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3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3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B8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B8DA" w:themeFill="accent3" w:themeFillTint="7F"/>
      </w:tcPr>
    </w:tblStylePr>
  </w:style>
  <w:style w:type="table" w:styleId="MediumGrid3-Accent4">
    <w:name w:val="Medium Grid 3 Accent 4"/>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FA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D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D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D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AD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F5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F57" w:themeFill="accent4" w:themeFillTint="7F"/>
      </w:tcPr>
    </w:tblStylePr>
  </w:style>
  <w:style w:type="table" w:styleId="MediumGrid3-Accent5">
    <w:name w:val="Medium Grid 3 Accent 5"/>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2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8D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8D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8D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8D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6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6C6" w:themeFill="accent5" w:themeFillTint="7F"/>
      </w:tcPr>
    </w:tblStylePr>
  </w:style>
  <w:style w:type="table" w:styleId="MediumGrid3-Accent6">
    <w:name w:val="Medium Grid 3 Accent 6"/>
    <w:basedOn w:val="TableNormal"/>
    <w:uiPriority w:val="69"/>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14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14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14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14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F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FA2" w:themeFill="accent6" w:themeFillTint="7F"/>
      </w:tcPr>
    </w:tblStylePr>
  </w:style>
  <w:style w:type="table" w:styleId="MediumList1">
    <w:name w:val="Medium List 1"/>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404143" w:themeColor="text1"/>
        <w:bottom w:val="single" w:sz="8" w:space="0" w:color="404143" w:themeColor="text1"/>
      </w:tblBorders>
    </w:tblPr>
    <w:tblStylePr w:type="firstRow">
      <w:rPr>
        <w:rFonts w:asciiTheme="majorHAnsi" w:eastAsiaTheme="majorEastAsia" w:hAnsiTheme="majorHAnsi" w:cstheme="majorBidi"/>
      </w:rPr>
      <w:tblPr/>
      <w:tcPr>
        <w:tcBorders>
          <w:top w:val="nil"/>
          <w:bottom w:val="single" w:sz="8" w:space="0" w:color="404143" w:themeColor="text1"/>
        </w:tcBorders>
      </w:tcPr>
    </w:tblStylePr>
    <w:tblStylePr w:type="lastRow">
      <w:rPr>
        <w:b/>
        <w:bCs/>
        <w:color w:val="404144" w:themeColor="text2"/>
      </w:rPr>
      <w:tblPr/>
      <w:tcPr>
        <w:tcBorders>
          <w:top w:val="single" w:sz="8" w:space="0" w:color="404143" w:themeColor="text1"/>
          <w:bottom w:val="single" w:sz="8" w:space="0" w:color="404143" w:themeColor="text1"/>
        </w:tcBorders>
      </w:tcPr>
    </w:tblStylePr>
    <w:tblStylePr w:type="firstCol">
      <w:rPr>
        <w:b/>
        <w:bCs/>
      </w:rPr>
    </w:tblStylePr>
    <w:tblStylePr w:type="lastCol">
      <w:rPr>
        <w:b/>
        <w:bCs/>
      </w:rPr>
      <w:tblPr/>
      <w:tcPr>
        <w:tcBorders>
          <w:top w:val="single" w:sz="8" w:space="0" w:color="404143" w:themeColor="text1"/>
          <w:bottom w:val="single" w:sz="8" w:space="0" w:color="404143" w:themeColor="text1"/>
        </w:tcBorders>
      </w:tcPr>
    </w:tblStylePr>
    <w:tblStylePr w:type="band1Vert">
      <w:tblPr/>
      <w:tcPr>
        <w:shd w:val="clear" w:color="auto" w:fill="CFCFD1" w:themeFill="text1" w:themeFillTint="3F"/>
      </w:tcPr>
    </w:tblStylePr>
    <w:tblStylePr w:type="band1Horz">
      <w:tblPr/>
      <w:tcPr>
        <w:shd w:val="clear" w:color="auto" w:fill="CFCFD1" w:themeFill="text1" w:themeFillTint="3F"/>
      </w:tcPr>
    </w:tblStylePr>
  </w:style>
  <w:style w:type="table" w:styleId="MediumList1-Accent1">
    <w:name w:val="Medium List 1 Accent 1"/>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A71930" w:themeColor="accent1"/>
        <w:bottom w:val="single" w:sz="8" w:space="0" w:color="A71930" w:themeColor="accent1"/>
      </w:tblBorders>
    </w:tblPr>
    <w:tblStylePr w:type="firstRow">
      <w:rPr>
        <w:rFonts w:asciiTheme="majorHAnsi" w:eastAsiaTheme="majorEastAsia" w:hAnsiTheme="majorHAnsi" w:cstheme="majorBidi"/>
      </w:rPr>
      <w:tblPr/>
      <w:tcPr>
        <w:tcBorders>
          <w:top w:val="nil"/>
          <w:bottom w:val="single" w:sz="8" w:space="0" w:color="A71930" w:themeColor="accent1"/>
        </w:tcBorders>
      </w:tcPr>
    </w:tblStylePr>
    <w:tblStylePr w:type="lastRow">
      <w:rPr>
        <w:b/>
        <w:bCs/>
        <w:color w:val="404144" w:themeColor="text2"/>
      </w:rPr>
      <w:tblPr/>
      <w:tcPr>
        <w:tcBorders>
          <w:top w:val="single" w:sz="8" w:space="0" w:color="A71930" w:themeColor="accent1"/>
          <w:bottom w:val="single" w:sz="8" w:space="0" w:color="A71930" w:themeColor="accent1"/>
        </w:tcBorders>
      </w:tcPr>
    </w:tblStylePr>
    <w:tblStylePr w:type="firstCol">
      <w:rPr>
        <w:b/>
        <w:bCs/>
      </w:rPr>
    </w:tblStylePr>
    <w:tblStylePr w:type="lastCol">
      <w:rPr>
        <w:b/>
        <w:bCs/>
      </w:rPr>
      <w:tblPr/>
      <w:tcPr>
        <w:tcBorders>
          <w:top w:val="single" w:sz="8" w:space="0" w:color="A71930" w:themeColor="accent1"/>
          <w:bottom w:val="single" w:sz="8" w:space="0" w:color="A71930" w:themeColor="accent1"/>
        </w:tcBorders>
      </w:tcPr>
    </w:tblStylePr>
    <w:tblStylePr w:type="band1Vert">
      <w:tblPr/>
      <w:tcPr>
        <w:shd w:val="clear" w:color="auto" w:fill="F4BAC3" w:themeFill="accent1" w:themeFillTint="3F"/>
      </w:tcPr>
    </w:tblStylePr>
    <w:tblStylePr w:type="band1Horz">
      <w:tblPr/>
      <w:tcPr>
        <w:shd w:val="clear" w:color="auto" w:fill="F4BAC3" w:themeFill="accent1" w:themeFillTint="3F"/>
      </w:tcPr>
    </w:tblStylePr>
  </w:style>
  <w:style w:type="table" w:styleId="MediumList1-Accent2">
    <w:name w:val="Medium List 1 Accent 2"/>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EBB700" w:themeColor="accent2"/>
        <w:bottom w:val="single" w:sz="8" w:space="0" w:color="EBB700" w:themeColor="accent2"/>
      </w:tblBorders>
    </w:tblPr>
    <w:tblStylePr w:type="firstRow">
      <w:rPr>
        <w:rFonts w:asciiTheme="majorHAnsi" w:eastAsiaTheme="majorEastAsia" w:hAnsiTheme="majorHAnsi" w:cstheme="majorBidi"/>
      </w:rPr>
      <w:tblPr/>
      <w:tcPr>
        <w:tcBorders>
          <w:top w:val="nil"/>
          <w:bottom w:val="single" w:sz="8" w:space="0" w:color="EBB700" w:themeColor="accent2"/>
        </w:tcBorders>
      </w:tcPr>
    </w:tblStylePr>
    <w:tblStylePr w:type="lastRow">
      <w:rPr>
        <w:b/>
        <w:bCs/>
        <w:color w:val="404144" w:themeColor="text2"/>
      </w:rPr>
      <w:tblPr/>
      <w:tcPr>
        <w:tcBorders>
          <w:top w:val="single" w:sz="8" w:space="0" w:color="EBB700" w:themeColor="accent2"/>
          <w:bottom w:val="single" w:sz="8" w:space="0" w:color="EBB700" w:themeColor="accent2"/>
        </w:tcBorders>
      </w:tcPr>
    </w:tblStylePr>
    <w:tblStylePr w:type="firstCol">
      <w:rPr>
        <w:b/>
        <w:bCs/>
      </w:rPr>
    </w:tblStylePr>
    <w:tblStylePr w:type="lastCol">
      <w:rPr>
        <w:b/>
        <w:bCs/>
      </w:rPr>
      <w:tblPr/>
      <w:tcPr>
        <w:tcBorders>
          <w:top w:val="single" w:sz="8" w:space="0" w:color="EBB700" w:themeColor="accent2"/>
          <w:bottom w:val="single" w:sz="8" w:space="0" w:color="EBB700" w:themeColor="accent2"/>
        </w:tcBorders>
      </w:tcPr>
    </w:tblStylePr>
    <w:tblStylePr w:type="band1Vert">
      <w:tblPr/>
      <w:tcPr>
        <w:shd w:val="clear" w:color="auto" w:fill="FFEFBB" w:themeFill="accent2" w:themeFillTint="3F"/>
      </w:tcPr>
    </w:tblStylePr>
    <w:tblStylePr w:type="band1Horz">
      <w:tblPr/>
      <w:tcPr>
        <w:shd w:val="clear" w:color="auto" w:fill="FFEFBB" w:themeFill="accent2" w:themeFillTint="3F"/>
      </w:tcPr>
    </w:tblStylePr>
  </w:style>
  <w:style w:type="table" w:styleId="MediumList1-Accent3">
    <w:name w:val="Medium List 1 Accent 3"/>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6773B6" w:themeColor="accent3"/>
        <w:bottom w:val="single" w:sz="8" w:space="0" w:color="6773B6" w:themeColor="accent3"/>
      </w:tblBorders>
    </w:tblPr>
    <w:tblStylePr w:type="firstRow">
      <w:rPr>
        <w:rFonts w:asciiTheme="majorHAnsi" w:eastAsiaTheme="majorEastAsia" w:hAnsiTheme="majorHAnsi" w:cstheme="majorBidi"/>
      </w:rPr>
      <w:tblPr/>
      <w:tcPr>
        <w:tcBorders>
          <w:top w:val="nil"/>
          <w:bottom w:val="single" w:sz="8" w:space="0" w:color="6773B6" w:themeColor="accent3"/>
        </w:tcBorders>
      </w:tcPr>
    </w:tblStylePr>
    <w:tblStylePr w:type="lastRow">
      <w:rPr>
        <w:b/>
        <w:bCs/>
        <w:color w:val="404144" w:themeColor="text2"/>
      </w:rPr>
      <w:tblPr/>
      <w:tcPr>
        <w:tcBorders>
          <w:top w:val="single" w:sz="8" w:space="0" w:color="6773B6" w:themeColor="accent3"/>
          <w:bottom w:val="single" w:sz="8" w:space="0" w:color="6773B6" w:themeColor="accent3"/>
        </w:tcBorders>
      </w:tcPr>
    </w:tblStylePr>
    <w:tblStylePr w:type="firstCol">
      <w:rPr>
        <w:b/>
        <w:bCs/>
      </w:rPr>
    </w:tblStylePr>
    <w:tblStylePr w:type="lastCol">
      <w:rPr>
        <w:b/>
        <w:bCs/>
      </w:rPr>
      <w:tblPr/>
      <w:tcPr>
        <w:tcBorders>
          <w:top w:val="single" w:sz="8" w:space="0" w:color="6773B6" w:themeColor="accent3"/>
          <w:bottom w:val="single" w:sz="8" w:space="0" w:color="6773B6" w:themeColor="accent3"/>
        </w:tcBorders>
      </w:tcPr>
    </w:tblStylePr>
    <w:tblStylePr w:type="band1Vert">
      <w:tblPr/>
      <w:tcPr>
        <w:shd w:val="clear" w:color="auto" w:fill="D9DCED" w:themeFill="accent3" w:themeFillTint="3F"/>
      </w:tcPr>
    </w:tblStylePr>
    <w:tblStylePr w:type="band1Horz">
      <w:tblPr/>
      <w:tcPr>
        <w:shd w:val="clear" w:color="auto" w:fill="D9DCED" w:themeFill="accent3" w:themeFillTint="3F"/>
      </w:tcPr>
    </w:tblStylePr>
  </w:style>
  <w:style w:type="table" w:styleId="MediumList1-Accent4">
    <w:name w:val="Medium List 1 Accent 4"/>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A2AD00" w:themeColor="accent4"/>
        <w:bottom w:val="single" w:sz="8" w:space="0" w:color="A2AD00" w:themeColor="accent4"/>
      </w:tblBorders>
    </w:tblPr>
    <w:tblStylePr w:type="firstRow">
      <w:rPr>
        <w:rFonts w:asciiTheme="majorHAnsi" w:eastAsiaTheme="majorEastAsia" w:hAnsiTheme="majorHAnsi" w:cstheme="majorBidi"/>
      </w:rPr>
      <w:tblPr/>
      <w:tcPr>
        <w:tcBorders>
          <w:top w:val="nil"/>
          <w:bottom w:val="single" w:sz="8" w:space="0" w:color="A2AD00" w:themeColor="accent4"/>
        </w:tcBorders>
      </w:tcPr>
    </w:tblStylePr>
    <w:tblStylePr w:type="lastRow">
      <w:rPr>
        <w:b/>
        <w:bCs/>
        <w:color w:val="404144" w:themeColor="text2"/>
      </w:rPr>
      <w:tblPr/>
      <w:tcPr>
        <w:tcBorders>
          <w:top w:val="single" w:sz="8" w:space="0" w:color="A2AD00" w:themeColor="accent4"/>
          <w:bottom w:val="single" w:sz="8" w:space="0" w:color="A2AD00" w:themeColor="accent4"/>
        </w:tcBorders>
      </w:tcPr>
    </w:tblStylePr>
    <w:tblStylePr w:type="firstCol">
      <w:rPr>
        <w:b/>
        <w:bCs/>
      </w:rPr>
    </w:tblStylePr>
    <w:tblStylePr w:type="lastCol">
      <w:rPr>
        <w:b/>
        <w:bCs/>
      </w:rPr>
      <w:tblPr/>
      <w:tcPr>
        <w:tcBorders>
          <w:top w:val="single" w:sz="8" w:space="0" w:color="A2AD00" w:themeColor="accent4"/>
          <w:bottom w:val="single" w:sz="8" w:space="0" w:color="A2AD00" w:themeColor="accent4"/>
        </w:tcBorders>
      </w:tcPr>
    </w:tblStylePr>
    <w:tblStylePr w:type="band1Vert">
      <w:tblPr/>
      <w:tcPr>
        <w:shd w:val="clear" w:color="auto" w:fill="F9FFAB" w:themeFill="accent4" w:themeFillTint="3F"/>
      </w:tcPr>
    </w:tblStylePr>
    <w:tblStylePr w:type="band1Horz">
      <w:tblPr/>
      <w:tcPr>
        <w:shd w:val="clear" w:color="auto" w:fill="F9FFAB" w:themeFill="accent4" w:themeFillTint="3F"/>
      </w:tcPr>
    </w:tblStylePr>
  </w:style>
  <w:style w:type="table" w:styleId="MediumList1-Accent5">
    <w:name w:val="Medium List 1 Accent 5"/>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8B8D8E" w:themeColor="accent5"/>
        <w:bottom w:val="single" w:sz="8" w:space="0" w:color="8B8D8E" w:themeColor="accent5"/>
      </w:tblBorders>
    </w:tblPr>
    <w:tblStylePr w:type="firstRow">
      <w:rPr>
        <w:rFonts w:asciiTheme="majorHAnsi" w:eastAsiaTheme="majorEastAsia" w:hAnsiTheme="majorHAnsi" w:cstheme="majorBidi"/>
      </w:rPr>
      <w:tblPr/>
      <w:tcPr>
        <w:tcBorders>
          <w:top w:val="nil"/>
          <w:bottom w:val="single" w:sz="8" w:space="0" w:color="8B8D8E" w:themeColor="accent5"/>
        </w:tcBorders>
      </w:tcPr>
    </w:tblStylePr>
    <w:tblStylePr w:type="lastRow">
      <w:rPr>
        <w:b/>
        <w:bCs/>
        <w:color w:val="404144" w:themeColor="text2"/>
      </w:rPr>
      <w:tblPr/>
      <w:tcPr>
        <w:tcBorders>
          <w:top w:val="single" w:sz="8" w:space="0" w:color="8B8D8E" w:themeColor="accent5"/>
          <w:bottom w:val="single" w:sz="8" w:space="0" w:color="8B8D8E" w:themeColor="accent5"/>
        </w:tcBorders>
      </w:tcPr>
    </w:tblStylePr>
    <w:tblStylePr w:type="firstCol">
      <w:rPr>
        <w:b/>
        <w:bCs/>
      </w:rPr>
    </w:tblStylePr>
    <w:tblStylePr w:type="lastCol">
      <w:rPr>
        <w:b/>
        <w:bCs/>
      </w:rPr>
      <w:tblPr/>
      <w:tcPr>
        <w:tcBorders>
          <w:top w:val="single" w:sz="8" w:space="0" w:color="8B8D8E" w:themeColor="accent5"/>
          <w:bottom w:val="single" w:sz="8" w:space="0" w:color="8B8D8E" w:themeColor="accent5"/>
        </w:tcBorders>
      </w:tcPr>
    </w:tblStylePr>
    <w:tblStylePr w:type="band1Vert">
      <w:tblPr/>
      <w:tcPr>
        <w:shd w:val="clear" w:color="auto" w:fill="E2E2E3" w:themeFill="accent5" w:themeFillTint="3F"/>
      </w:tcPr>
    </w:tblStylePr>
    <w:tblStylePr w:type="band1Horz">
      <w:tblPr/>
      <w:tcPr>
        <w:shd w:val="clear" w:color="auto" w:fill="E2E2E3" w:themeFill="accent5" w:themeFillTint="3F"/>
      </w:tcPr>
    </w:tblStylePr>
  </w:style>
  <w:style w:type="table" w:styleId="MediumList1-Accent6">
    <w:name w:val="Medium List 1 Accent 6"/>
    <w:basedOn w:val="TableNormal"/>
    <w:uiPriority w:val="65"/>
    <w:semiHidden/>
    <w:unhideWhenUsed/>
    <w:rsid w:val="00F3012E"/>
    <w:rPr>
      <w:rFonts w:asciiTheme="minorHAnsi" w:hAnsiTheme="minorHAnsi" w:cstheme="minorBidi"/>
      <w:color w:val="404143" w:themeColor="text1"/>
      <w:sz w:val="22"/>
      <w:szCs w:val="22"/>
      <w:lang w:eastAsia="zh-CN"/>
    </w:rPr>
    <w:tblPr>
      <w:tblStyleRowBandSize w:val="1"/>
      <w:tblStyleColBandSize w:val="1"/>
      <w:tblBorders>
        <w:top w:val="single" w:sz="8" w:space="0" w:color="404143" w:themeColor="accent6"/>
        <w:bottom w:val="single" w:sz="8" w:space="0" w:color="404143" w:themeColor="accent6"/>
      </w:tblBorders>
    </w:tblPr>
    <w:tblStylePr w:type="firstRow">
      <w:rPr>
        <w:rFonts w:asciiTheme="majorHAnsi" w:eastAsiaTheme="majorEastAsia" w:hAnsiTheme="majorHAnsi" w:cstheme="majorBidi"/>
      </w:rPr>
      <w:tblPr/>
      <w:tcPr>
        <w:tcBorders>
          <w:top w:val="nil"/>
          <w:bottom w:val="single" w:sz="8" w:space="0" w:color="404143" w:themeColor="accent6"/>
        </w:tcBorders>
      </w:tcPr>
    </w:tblStylePr>
    <w:tblStylePr w:type="lastRow">
      <w:rPr>
        <w:b/>
        <w:bCs/>
        <w:color w:val="404144" w:themeColor="text2"/>
      </w:rPr>
      <w:tblPr/>
      <w:tcPr>
        <w:tcBorders>
          <w:top w:val="single" w:sz="8" w:space="0" w:color="404143" w:themeColor="accent6"/>
          <w:bottom w:val="single" w:sz="8" w:space="0" w:color="404143" w:themeColor="accent6"/>
        </w:tcBorders>
      </w:tcPr>
    </w:tblStylePr>
    <w:tblStylePr w:type="firstCol">
      <w:rPr>
        <w:b/>
        <w:bCs/>
      </w:rPr>
    </w:tblStylePr>
    <w:tblStylePr w:type="lastCol">
      <w:rPr>
        <w:b/>
        <w:bCs/>
      </w:rPr>
      <w:tblPr/>
      <w:tcPr>
        <w:tcBorders>
          <w:top w:val="single" w:sz="8" w:space="0" w:color="404143" w:themeColor="accent6"/>
          <w:bottom w:val="single" w:sz="8" w:space="0" w:color="404143" w:themeColor="accent6"/>
        </w:tcBorders>
      </w:tcPr>
    </w:tblStylePr>
    <w:tblStylePr w:type="band1Vert">
      <w:tblPr/>
      <w:tcPr>
        <w:shd w:val="clear" w:color="auto" w:fill="CFCFD1" w:themeFill="accent6" w:themeFillTint="3F"/>
      </w:tcPr>
    </w:tblStylePr>
    <w:tblStylePr w:type="band1Horz">
      <w:tblPr/>
      <w:tcPr>
        <w:shd w:val="clear" w:color="auto" w:fill="CFCFD1" w:themeFill="accent6" w:themeFillTint="3F"/>
      </w:tcPr>
    </w:tblStylePr>
  </w:style>
  <w:style w:type="table" w:styleId="MediumList2">
    <w:name w:val="Medium List 2"/>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404143" w:themeColor="text1"/>
        <w:left w:val="single" w:sz="8" w:space="0" w:color="404143" w:themeColor="text1"/>
        <w:bottom w:val="single" w:sz="8" w:space="0" w:color="404143" w:themeColor="text1"/>
        <w:right w:val="single" w:sz="8" w:space="0" w:color="404143" w:themeColor="text1"/>
      </w:tblBorders>
    </w:tblPr>
    <w:tblStylePr w:type="firstRow">
      <w:rPr>
        <w:sz w:val="24"/>
        <w:szCs w:val="24"/>
      </w:rPr>
      <w:tblPr/>
      <w:tcPr>
        <w:tcBorders>
          <w:top w:val="nil"/>
          <w:left w:val="nil"/>
          <w:bottom w:val="single" w:sz="24" w:space="0" w:color="40414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143" w:themeColor="text1"/>
          <w:insideH w:val="nil"/>
          <w:insideV w:val="nil"/>
        </w:tcBorders>
        <w:shd w:val="clear" w:color="auto" w:fill="FFFFFF" w:themeFill="background1"/>
      </w:tcPr>
    </w:tblStylePr>
    <w:tblStylePr w:type="lastCol">
      <w:tblPr/>
      <w:tcPr>
        <w:tcBorders>
          <w:top w:val="nil"/>
          <w:left w:val="single" w:sz="8" w:space="0" w:color="40414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1" w:themeFill="text1" w:themeFillTint="3F"/>
      </w:tcPr>
    </w:tblStylePr>
    <w:tblStylePr w:type="band1Horz">
      <w:tblPr/>
      <w:tcPr>
        <w:tcBorders>
          <w:top w:val="nil"/>
          <w:bottom w:val="nil"/>
          <w:insideH w:val="nil"/>
          <w:insideV w:val="nil"/>
        </w:tcBorders>
        <w:shd w:val="clear" w:color="auto" w:fill="CFCFD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A71930" w:themeColor="accent1"/>
        <w:left w:val="single" w:sz="8" w:space="0" w:color="A71930" w:themeColor="accent1"/>
        <w:bottom w:val="single" w:sz="8" w:space="0" w:color="A71930" w:themeColor="accent1"/>
        <w:right w:val="single" w:sz="8" w:space="0" w:color="A71930" w:themeColor="accent1"/>
      </w:tblBorders>
    </w:tblPr>
    <w:tblStylePr w:type="firstRow">
      <w:rPr>
        <w:sz w:val="24"/>
        <w:szCs w:val="24"/>
      </w:rPr>
      <w:tblPr/>
      <w:tcPr>
        <w:tcBorders>
          <w:top w:val="nil"/>
          <w:left w:val="nil"/>
          <w:bottom w:val="single" w:sz="24" w:space="0" w:color="A7193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1930" w:themeColor="accent1"/>
          <w:insideH w:val="nil"/>
          <w:insideV w:val="nil"/>
        </w:tcBorders>
        <w:shd w:val="clear" w:color="auto" w:fill="FFFFFF" w:themeFill="background1"/>
      </w:tcPr>
    </w:tblStylePr>
    <w:tblStylePr w:type="lastCol">
      <w:tblPr/>
      <w:tcPr>
        <w:tcBorders>
          <w:top w:val="nil"/>
          <w:left w:val="single" w:sz="8" w:space="0" w:color="A719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AC3" w:themeFill="accent1" w:themeFillTint="3F"/>
      </w:tcPr>
    </w:tblStylePr>
    <w:tblStylePr w:type="band1Horz">
      <w:tblPr/>
      <w:tcPr>
        <w:tcBorders>
          <w:top w:val="nil"/>
          <w:bottom w:val="nil"/>
          <w:insideH w:val="nil"/>
          <w:insideV w:val="nil"/>
        </w:tcBorders>
        <w:shd w:val="clear" w:color="auto" w:fill="F4BA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EBB700" w:themeColor="accent2"/>
        <w:left w:val="single" w:sz="8" w:space="0" w:color="EBB700" w:themeColor="accent2"/>
        <w:bottom w:val="single" w:sz="8" w:space="0" w:color="EBB700" w:themeColor="accent2"/>
        <w:right w:val="single" w:sz="8" w:space="0" w:color="EBB700" w:themeColor="accent2"/>
      </w:tblBorders>
    </w:tblPr>
    <w:tblStylePr w:type="firstRow">
      <w:rPr>
        <w:sz w:val="24"/>
        <w:szCs w:val="24"/>
      </w:rPr>
      <w:tblPr/>
      <w:tcPr>
        <w:tcBorders>
          <w:top w:val="nil"/>
          <w:left w:val="nil"/>
          <w:bottom w:val="single" w:sz="24" w:space="0" w:color="EBB7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B700" w:themeColor="accent2"/>
          <w:insideH w:val="nil"/>
          <w:insideV w:val="nil"/>
        </w:tcBorders>
        <w:shd w:val="clear" w:color="auto" w:fill="FFFFFF" w:themeFill="background1"/>
      </w:tcPr>
    </w:tblStylePr>
    <w:tblStylePr w:type="lastCol">
      <w:tblPr/>
      <w:tcPr>
        <w:tcBorders>
          <w:top w:val="nil"/>
          <w:left w:val="single" w:sz="8" w:space="0" w:color="EBB7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B" w:themeFill="accent2" w:themeFillTint="3F"/>
      </w:tcPr>
    </w:tblStylePr>
    <w:tblStylePr w:type="band1Horz">
      <w:tblPr/>
      <w:tcPr>
        <w:tcBorders>
          <w:top w:val="nil"/>
          <w:bottom w:val="nil"/>
          <w:insideH w:val="nil"/>
          <w:insideV w:val="nil"/>
        </w:tcBorders>
        <w:shd w:val="clear" w:color="auto" w:fill="FFEF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6773B6" w:themeColor="accent3"/>
        <w:left w:val="single" w:sz="8" w:space="0" w:color="6773B6" w:themeColor="accent3"/>
        <w:bottom w:val="single" w:sz="8" w:space="0" w:color="6773B6" w:themeColor="accent3"/>
        <w:right w:val="single" w:sz="8" w:space="0" w:color="6773B6" w:themeColor="accent3"/>
      </w:tblBorders>
    </w:tblPr>
    <w:tblStylePr w:type="firstRow">
      <w:rPr>
        <w:sz w:val="24"/>
        <w:szCs w:val="24"/>
      </w:rPr>
      <w:tblPr/>
      <w:tcPr>
        <w:tcBorders>
          <w:top w:val="nil"/>
          <w:left w:val="nil"/>
          <w:bottom w:val="single" w:sz="24" w:space="0" w:color="6773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3B6" w:themeColor="accent3"/>
          <w:insideH w:val="nil"/>
          <w:insideV w:val="nil"/>
        </w:tcBorders>
        <w:shd w:val="clear" w:color="auto" w:fill="FFFFFF" w:themeFill="background1"/>
      </w:tcPr>
    </w:tblStylePr>
    <w:tblStylePr w:type="lastCol">
      <w:tblPr/>
      <w:tcPr>
        <w:tcBorders>
          <w:top w:val="nil"/>
          <w:left w:val="single" w:sz="8" w:space="0" w:color="6773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CED" w:themeFill="accent3" w:themeFillTint="3F"/>
      </w:tcPr>
    </w:tblStylePr>
    <w:tblStylePr w:type="band1Horz">
      <w:tblPr/>
      <w:tcPr>
        <w:tcBorders>
          <w:top w:val="nil"/>
          <w:bottom w:val="nil"/>
          <w:insideH w:val="nil"/>
          <w:insideV w:val="nil"/>
        </w:tcBorders>
        <w:shd w:val="clear" w:color="auto" w:fill="D9DC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tblBorders>
    </w:tblPr>
    <w:tblStylePr w:type="firstRow">
      <w:rPr>
        <w:sz w:val="24"/>
        <w:szCs w:val="24"/>
      </w:rPr>
      <w:tblPr/>
      <w:tcPr>
        <w:tcBorders>
          <w:top w:val="nil"/>
          <w:left w:val="nil"/>
          <w:bottom w:val="single" w:sz="24" w:space="0" w:color="A2AD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AD00" w:themeColor="accent4"/>
          <w:insideH w:val="nil"/>
          <w:insideV w:val="nil"/>
        </w:tcBorders>
        <w:shd w:val="clear" w:color="auto" w:fill="FFFFFF" w:themeFill="background1"/>
      </w:tcPr>
    </w:tblStylePr>
    <w:tblStylePr w:type="lastCol">
      <w:tblPr/>
      <w:tcPr>
        <w:tcBorders>
          <w:top w:val="nil"/>
          <w:left w:val="single" w:sz="8" w:space="0" w:color="A2AD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FAB" w:themeFill="accent4" w:themeFillTint="3F"/>
      </w:tcPr>
    </w:tblStylePr>
    <w:tblStylePr w:type="band1Horz">
      <w:tblPr/>
      <w:tcPr>
        <w:tcBorders>
          <w:top w:val="nil"/>
          <w:bottom w:val="nil"/>
          <w:insideH w:val="nil"/>
          <w:insideV w:val="nil"/>
        </w:tcBorders>
        <w:shd w:val="clear" w:color="auto" w:fill="F9FFA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8B8D8E" w:themeColor="accent5"/>
        <w:left w:val="single" w:sz="8" w:space="0" w:color="8B8D8E" w:themeColor="accent5"/>
        <w:bottom w:val="single" w:sz="8" w:space="0" w:color="8B8D8E" w:themeColor="accent5"/>
        <w:right w:val="single" w:sz="8" w:space="0" w:color="8B8D8E" w:themeColor="accent5"/>
      </w:tblBorders>
    </w:tblPr>
    <w:tblStylePr w:type="firstRow">
      <w:rPr>
        <w:sz w:val="24"/>
        <w:szCs w:val="24"/>
      </w:rPr>
      <w:tblPr/>
      <w:tcPr>
        <w:tcBorders>
          <w:top w:val="nil"/>
          <w:left w:val="nil"/>
          <w:bottom w:val="single" w:sz="24" w:space="0" w:color="8B8D8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8D8E" w:themeColor="accent5"/>
          <w:insideH w:val="nil"/>
          <w:insideV w:val="nil"/>
        </w:tcBorders>
        <w:shd w:val="clear" w:color="auto" w:fill="FFFFFF" w:themeFill="background1"/>
      </w:tcPr>
    </w:tblStylePr>
    <w:tblStylePr w:type="lastCol">
      <w:tblPr/>
      <w:tcPr>
        <w:tcBorders>
          <w:top w:val="nil"/>
          <w:left w:val="single" w:sz="8" w:space="0" w:color="8B8D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2E3" w:themeFill="accent5" w:themeFillTint="3F"/>
      </w:tcPr>
    </w:tblStylePr>
    <w:tblStylePr w:type="band1Horz">
      <w:tblPr/>
      <w:tcPr>
        <w:tcBorders>
          <w:top w:val="nil"/>
          <w:bottom w:val="nil"/>
          <w:insideH w:val="nil"/>
          <w:insideV w:val="nil"/>
        </w:tcBorders>
        <w:shd w:val="clear" w:color="auto" w:fill="E2E2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012E"/>
    <w:rPr>
      <w:rFonts w:asciiTheme="majorHAnsi" w:eastAsiaTheme="majorEastAsia" w:hAnsiTheme="majorHAnsi" w:cstheme="majorBidi"/>
      <w:color w:val="404143" w:themeColor="text1"/>
      <w:sz w:val="22"/>
      <w:szCs w:val="22"/>
      <w:lang w:eastAsia="zh-CN"/>
    </w:rPr>
    <w:tblPr>
      <w:tblStyleRowBandSize w:val="1"/>
      <w:tblStyleColBandSize w:val="1"/>
      <w:tblBorders>
        <w:top w:val="single" w:sz="8" w:space="0" w:color="404143" w:themeColor="accent6"/>
        <w:left w:val="single" w:sz="8" w:space="0" w:color="404143" w:themeColor="accent6"/>
        <w:bottom w:val="single" w:sz="8" w:space="0" w:color="404143" w:themeColor="accent6"/>
        <w:right w:val="single" w:sz="8" w:space="0" w:color="404143" w:themeColor="accent6"/>
      </w:tblBorders>
    </w:tblPr>
    <w:tblStylePr w:type="firstRow">
      <w:rPr>
        <w:sz w:val="24"/>
        <w:szCs w:val="24"/>
      </w:rPr>
      <w:tblPr/>
      <w:tcPr>
        <w:tcBorders>
          <w:top w:val="nil"/>
          <w:left w:val="nil"/>
          <w:bottom w:val="single" w:sz="24" w:space="0" w:color="40414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143" w:themeColor="accent6"/>
          <w:insideH w:val="nil"/>
          <w:insideV w:val="nil"/>
        </w:tcBorders>
        <w:shd w:val="clear" w:color="auto" w:fill="FFFFFF" w:themeFill="background1"/>
      </w:tcPr>
    </w:tblStylePr>
    <w:tblStylePr w:type="lastCol">
      <w:tblPr/>
      <w:tcPr>
        <w:tcBorders>
          <w:top w:val="nil"/>
          <w:left w:val="single" w:sz="8" w:space="0" w:color="40414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1" w:themeFill="accent6" w:themeFillTint="3F"/>
      </w:tcPr>
    </w:tblStylePr>
    <w:tblStylePr w:type="band1Horz">
      <w:tblPr/>
      <w:tcPr>
        <w:tcBorders>
          <w:top w:val="nil"/>
          <w:bottom w:val="nil"/>
          <w:insideH w:val="nil"/>
          <w:insideV w:val="nil"/>
        </w:tcBorders>
        <w:shd w:val="clear" w:color="auto" w:fill="CFCF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E7073" w:themeColor="text1" w:themeTint="BF"/>
        <w:left w:val="single" w:sz="8" w:space="0" w:color="6E7073" w:themeColor="text1" w:themeTint="BF"/>
        <w:bottom w:val="single" w:sz="8" w:space="0" w:color="6E7073" w:themeColor="text1" w:themeTint="BF"/>
        <w:right w:val="single" w:sz="8" w:space="0" w:color="6E7073" w:themeColor="text1" w:themeTint="BF"/>
        <w:insideH w:val="single" w:sz="8" w:space="0" w:color="6E7073" w:themeColor="text1" w:themeTint="BF"/>
      </w:tblBorders>
    </w:tblPr>
    <w:tblStylePr w:type="firstRow">
      <w:pPr>
        <w:spacing w:before="0" w:after="0" w:line="240" w:lineRule="auto"/>
      </w:pPr>
      <w:rPr>
        <w:b/>
        <w:bCs/>
        <w:color w:val="FFFFFF" w:themeColor="background1"/>
      </w:rPr>
      <w:tblPr/>
      <w:tcPr>
        <w:tcBorders>
          <w:top w:val="single" w:sz="8" w:space="0" w:color="6E7073" w:themeColor="text1" w:themeTint="BF"/>
          <w:left w:val="single" w:sz="8" w:space="0" w:color="6E7073" w:themeColor="text1" w:themeTint="BF"/>
          <w:bottom w:val="single" w:sz="8" w:space="0" w:color="6E7073" w:themeColor="text1" w:themeTint="BF"/>
          <w:right w:val="single" w:sz="8" w:space="0" w:color="6E7073" w:themeColor="text1" w:themeTint="BF"/>
          <w:insideH w:val="nil"/>
          <w:insideV w:val="nil"/>
        </w:tcBorders>
        <w:shd w:val="clear" w:color="auto" w:fill="404143" w:themeFill="text1"/>
      </w:tcPr>
    </w:tblStylePr>
    <w:tblStylePr w:type="lastRow">
      <w:pPr>
        <w:spacing w:before="0" w:after="0" w:line="240" w:lineRule="auto"/>
      </w:pPr>
      <w:rPr>
        <w:b/>
        <w:bCs/>
      </w:rPr>
      <w:tblPr/>
      <w:tcPr>
        <w:tcBorders>
          <w:top w:val="double" w:sz="6" w:space="0" w:color="6E7073" w:themeColor="text1" w:themeTint="BF"/>
          <w:left w:val="single" w:sz="8" w:space="0" w:color="6E7073" w:themeColor="text1" w:themeTint="BF"/>
          <w:bottom w:val="single" w:sz="8" w:space="0" w:color="6E7073" w:themeColor="text1" w:themeTint="BF"/>
          <w:right w:val="single" w:sz="8" w:space="0" w:color="6E7073"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1" w:themeFill="text1" w:themeFillTint="3F"/>
      </w:tcPr>
    </w:tblStylePr>
    <w:tblStylePr w:type="band1Horz">
      <w:tblPr/>
      <w:tcPr>
        <w:tcBorders>
          <w:insideH w:val="nil"/>
          <w:insideV w:val="nil"/>
        </w:tcBorders>
        <w:shd w:val="clear" w:color="auto" w:fill="CFCFD1"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02F4C" w:themeColor="accent1" w:themeTint="BF"/>
        <w:left w:val="single" w:sz="8" w:space="0" w:color="E02F4C" w:themeColor="accent1" w:themeTint="BF"/>
        <w:bottom w:val="single" w:sz="8" w:space="0" w:color="E02F4C" w:themeColor="accent1" w:themeTint="BF"/>
        <w:right w:val="single" w:sz="8" w:space="0" w:color="E02F4C" w:themeColor="accent1" w:themeTint="BF"/>
        <w:insideH w:val="single" w:sz="8" w:space="0" w:color="E02F4C" w:themeColor="accent1" w:themeTint="BF"/>
      </w:tblBorders>
    </w:tblPr>
    <w:tblStylePr w:type="firstRow">
      <w:pPr>
        <w:spacing w:before="0" w:after="0" w:line="240" w:lineRule="auto"/>
      </w:pPr>
      <w:rPr>
        <w:b/>
        <w:bCs/>
        <w:color w:val="FFFFFF" w:themeColor="background1"/>
      </w:rPr>
      <w:tblPr/>
      <w:tcPr>
        <w:tcBorders>
          <w:top w:val="single" w:sz="8" w:space="0" w:color="E02F4C" w:themeColor="accent1" w:themeTint="BF"/>
          <w:left w:val="single" w:sz="8" w:space="0" w:color="E02F4C" w:themeColor="accent1" w:themeTint="BF"/>
          <w:bottom w:val="single" w:sz="8" w:space="0" w:color="E02F4C" w:themeColor="accent1" w:themeTint="BF"/>
          <w:right w:val="single" w:sz="8" w:space="0" w:color="E02F4C" w:themeColor="accent1" w:themeTint="BF"/>
          <w:insideH w:val="nil"/>
          <w:insideV w:val="nil"/>
        </w:tcBorders>
        <w:shd w:val="clear" w:color="auto" w:fill="A71930" w:themeFill="accent1"/>
      </w:tcPr>
    </w:tblStylePr>
    <w:tblStylePr w:type="lastRow">
      <w:pPr>
        <w:spacing w:before="0" w:after="0" w:line="240" w:lineRule="auto"/>
      </w:pPr>
      <w:rPr>
        <w:b/>
        <w:bCs/>
      </w:rPr>
      <w:tblPr/>
      <w:tcPr>
        <w:tcBorders>
          <w:top w:val="double" w:sz="6" w:space="0" w:color="E02F4C" w:themeColor="accent1" w:themeTint="BF"/>
          <w:left w:val="single" w:sz="8" w:space="0" w:color="E02F4C" w:themeColor="accent1" w:themeTint="BF"/>
          <w:bottom w:val="single" w:sz="8" w:space="0" w:color="E02F4C" w:themeColor="accent1" w:themeTint="BF"/>
          <w:right w:val="single" w:sz="8" w:space="0" w:color="E02F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BAC3" w:themeFill="accent1" w:themeFillTint="3F"/>
      </w:tcPr>
    </w:tblStylePr>
    <w:tblStylePr w:type="band1Horz">
      <w:tblPr/>
      <w:tcPr>
        <w:tcBorders>
          <w:insideH w:val="nil"/>
          <w:insideV w:val="nil"/>
        </w:tcBorders>
        <w:shd w:val="clear" w:color="auto" w:fill="F4BA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FFD031" w:themeColor="accent2" w:themeTint="BF"/>
        <w:left w:val="single" w:sz="8" w:space="0" w:color="FFD031" w:themeColor="accent2" w:themeTint="BF"/>
        <w:bottom w:val="single" w:sz="8" w:space="0" w:color="FFD031" w:themeColor="accent2" w:themeTint="BF"/>
        <w:right w:val="single" w:sz="8" w:space="0" w:color="FFD031" w:themeColor="accent2" w:themeTint="BF"/>
        <w:insideH w:val="single" w:sz="8" w:space="0" w:color="FFD031" w:themeColor="accent2" w:themeTint="BF"/>
      </w:tblBorders>
    </w:tblPr>
    <w:tblStylePr w:type="firstRow">
      <w:pPr>
        <w:spacing w:before="0" w:after="0" w:line="240" w:lineRule="auto"/>
      </w:pPr>
      <w:rPr>
        <w:b/>
        <w:bCs/>
        <w:color w:val="FFFFFF" w:themeColor="background1"/>
      </w:rPr>
      <w:tblPr/>
      <w:tcPr>
        <w:tcBorders>
          <w:top w:val="single" w:sz="8" w:space="0" w:color="FFD031" w:themeColor="accent2" w:themeTint="BF"/>
          <w:left w:val="single" w:sz="8" w:space="0" w:color="FFD031" w:themeColor="accent2" w:themeTint="BF"/>
          <w:bottom w:val="single" w:sz="8" w:space="0" w:color="FFD031" w:themeColor="accent2" w:themeTint="BF"/>
          <w:right w:val="single" w:sz="8" w:space="0" w:color="FFD031" w:themeColor="accent2" w:themeTint="BF"/>
          <w:insideH w:val="nil"/>
          <w:insideV w:val="nil"/>
        </w:tcBorders>
        <w:shd w:val="clear" w:color="auto" w:fill="EBB700" w:themeFill="accent2"/>
      </w:tcPr>
    </w:tblStylePr>
    <w:tblStylePr w:type="lastRow">
      <w:pPr>
        <w:spacing w:before="0" w:after="0" w:line="240" w:lineRule="auto"/>
      </w:pPr>
      <w:rPr>
        <w:b/>
        <w:bCs/>
      </w:rPr>
      <w:tblPr/>
      <w:tcPr>
        <w:tcBorders>
          <w:top w:val="double" w:sz="6" w:space="0" w:color="FFD031" w:themeColor="accent2" w:themeTint="BF"/>
          <w:left w:val="single" w:sz="8" w:space="0" w:color="FFD031" w:themeColor="accent2" w:themeTint="BF"/>
          <w:bottom w:val="single" w:sz="8" w:space="0" w:color="FFD031" w:themeColor="accent2" w:themeTint="BF"/>
          <w:right w:val="single" w:sz="8" w:space="0" w:color="FFD0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BB" w:themeFill="accent2" w:themeFillTint="3F"/>
      </w:tcPr>
    </w:tblStylePr>
    <w:tblStylePr w:type="band1Horz">
      <w:tblPr/>
      <w:tcPr>
        <w:tcBorders>
          <w:insideH w:val="nil"/>
          <w:insideV w:val="nil"/>
        </w:tcBorders>
        <w:shd w:val="clear" w:color="auto" w:fill="FFEFB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8D95C8" w:themeColor="accent3" w:themeTint="BF"/>
        <w:left w:val="single" w:sz="8" w:space="0" w:color="8D95C8" w:themeColor="accent3" w:themeTint="BF"/>
        <w:bottom w:val="single" w:sz="8" w:space="0" w:color="8D95C8" w:themeColor="accent3" w:themeTint="BF"/>
        <w:right w:val="single" w:sz="8" w:space="0" w:color="8D95C8" w:themeColor="accent3" w:themeTint="BF"/>
        <w:insideH w:val="single" w:sz="8" w:space="0" w:color="8D95C8" w:themeColor="accent3" w:themeTint="BF"/>
      </w:tblBorders>
    </w:tblPr>
    <w:tblStylePr w:type="firstRow">
      <w:pPr>
        <w:spacing w:before="0" w:after="0" w:line="240" w:lineRule="auto"/>
      </w:pPr>
      <w:rPr>
        <w:b/>
        <w:bCs/>
        <w:color w:val="FFFFFF" w:themeColor="background1"/>
      </w:rPr>
      <w:tblPr/>
      <w:tcPr>
        <w:tcBorders>
          <w:top w:val="single" w:sz="8" w:space="0" w:color="8D95C8" w:themeColor="accent3" w:themeTint="BF"/>
          <w:left w:val="single" w:sz="8" w:space="0" w:color="8D95C8" w:themeColor="accent3" w:themeTint="BF"/>
          <w:bottom w:val="single" w:sz="8" w:space="0" w:color="8D95C8" w:themeColor="accent3" w:themeTint="BF"/>
          <w:right w:val="single" w:sz="8" w:space="0" w:color="8D95C8" w:themeColor="accent3" w:themeTint="BF"/>
          <w:insideH w:val="nil"/>
          <w:insideV w:val="nil"/>
        </w:tcBorders>
        <w:shd w:val="clear" w:color="auto" w:fill="6773B6" w:themeFill="accent3"/>
      </w:tcPr>
    </w:tblStylePr>
    <w:tblStylePr w:type="lastRow">
      <w:pPr>
        <w:spacing w:before="0" w:after="0" w:line="240" w:lineRule="auto"/>
      </w:pPr>
      <w:rPr>
        <w:b/>
        <w:bCs/>
      </w:rPr>
      <w:tblPr/>
      <w:tcPr>
        <w:tcBorders>
          <w:top w:val="double" w:sz="6" w:space="0" w:color="8D95C8" w:themeColor="accent3" w:themeTint="BF"/>
          <w:left w:val="single" w:sz="8" w:space="0" w:color="8D95C8" w:themeColor="accent3" w:themeTint="BF"/>
          <w:bottom w:val="single" w:sz="8" w:space="0" w:color="8D95C8" w:themeColor="accent3" w:themeTint="BF"/>
          <w:right w:val="single" w:sz="8" w:space="0" w:color="8D95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9DCED" w:themeFill="accent3" w:themeFillTint="3F"/>
      </w:tcPr>
    </w:tblStylePr>
    <w:tblStylePr w:type="band1Horz">
      <w:tblPr/>
      <w:tcPr>
        <w:tcBorders>
          <w:insideH w:val="nil"/>
          <w:insideV w:val="nil"/>
        </w:tcBorders>
        <w:shd w:val="clear" w:color="auto" w:fill="D9DC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single" w:sz="8" w:space="0" w:color="EEFF02" w:themeColor="accent4" w:themeTint="BF"/>
      </w:tblBorders>
    </w:tblPr>
    <w:tblStylePr w:type="firstRow">
      <w:pPr>
        <w:spacing w:before="0" w:after="0" w:line="240" w:lineRule="auto"/>
      </w:pPr>
      <w:rPr>
        <w:b/>
        <w:bCs/>
        <w:color w:val="FFFFFF" w:themeColor="background1"/>
      </w:rPr>
      <w:tblPr/>
      <w:tcPr>
        <w:tc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nil"/>
          <w:insideV w:val="nil"/>
        </w:tcBorders>
        <w:shd w:val="clear" w:color="auto" w:fill="A2AD00" w:themeFill="accent4"/>
      </w:tcPr>
    </w:tblStylePr>
    <w:tblStylePr w:type="lastRow">
      <w:pPr>
        <w:spacing w:before="0" w:after="0" w:line="240" w:lineRule="auto"/>
      </w:pPr>
      <w:rPr>
        <w:b/>
        <w:bCs/>
      </w:rPr>
      <w:tblPr/>
      <w:tcPr>
        <w:tcBorders>
          <w:top w:val="double" w:sz="6"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FAB" w:themeFill="accent4" w:themeFillTint="3F"/>
      </w:tcPr>
    </w:tblStylePr>
    <w:tblStylePr w:type="band1Horz">
      <w:tblPr/>
      <w:tcPr>
        <w:tcBorders>
          <w:insideH w:val="nil"/>
          <w:insideV w:val="nil"/>
        </w:tcBorders>
        <w:shd w:val="clear" w:color="auto" w:fill="F9FFA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A8A9AA" w:themeColor="accent5" w:themeTint="BF"/>
        <w:left w:val="single" w:sz="8" w:space="0" w:color="A8A9AA" w:themeColor="accent5" w:themeTint="BF"/>
        <w:bottom w:val="single" w:sz="8" w:space="0" w:color="A8A9AA" w:themeColor="accent5" w:themeTint="BF"/>
        <w:right w:val="single" w:sz="8" w:space="0" w:color="A8A9AA" w:themeColor="accent5" w:themeTint="BF"/>
        <w:insideH w:val="single" w:sz="8" w:space="0" w:color="A8A9AA" w:themeColor="accent5" w:themeTint="BF"/>
      </w:tblBorders>
    </w:tblPr>
    <w:tblStylePr w:type="firstRow">
      <w:pPr>
        <w:spacing w:before="0" w:after="0" w:line="240" w:lineRule="auto"/>
      </w:pPr>
      <w:rPr>
        <w:b/>
        <w:bCs/>
        <w:color w:val="FFFFFF" w:themeColor="background1"/>
      </w:rPr>
      <w:tblPr/>
      <w:tcPr>
        <w:tcBorders>
          <w:top w:val="single" w:sz="8" w:space="0" w:color="A8A9AA" w:themeColor="accent5" w:themeTint="BF"/>
          <w:left w:val="single" w:sz="8" w:space="0" w:color="A8A9AA" w:themeColor="accent5" w:themeTint="BF"/>
          <w:bottom w:val="single" w:sz="8" w:space="0" w:color="A8A9AA" w:themeColor="accent5" w:themeTint="BF"/>
          <w:right w:val="single" w:sz="8" w:space="0" w:color="A8A9AA" w:themeColor="accent5" w:themeTint="BF"/>
          <w:insideH w:val="nil"/>
          <w:insideV w:val="nil"/>
        </w:tcBorders>
        <w:shd w:val="clear" w:color="auto" w:fill="8B8D8E" w:themeFill="accent5"/>
      </w:tcPr>
    </w:tblStylePr>
    <w:tblStylePr w:type="lastRow">
      <w:pPr>
        <w:spacing w:before="0" w:after="0" w:line="240" w:lineRule="auto"/>
      </w:pPr>
      <w:rPr>
        <w:b/>
        <w:bCs/>
      </w:rPr>
      <w:tblPr/>
      <w:tcPr>
        <w:tcBorders>
          <w:top w:val="double" w:sz="6" w:space="0" w:color="A8A9AA" w:themeColor="accent5" w:themeTint="BF"/>
          <w:left w:val="single" w:sz="8" w:space="0" w:color="A8A9AA" w:themeColor="accent5" w:themeTint="BF"/>
          <w:bottom w:val="single" w:sz="8" w:space="0" w:color="A8A9AA" w:themeColor="accent5" w:themeTint="BF"/>
          <w:right w:val="single" w:sz="8" w:space="0" w:color="A8A9A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E2E3" w:themeFill="accent5" w:themeFillTint="3F"/>
      </w:tcPr>
    </w:tblStylePr>
    <w:tblStylePr w:type="band1Horz">
      <w:tblPr/>
      <w:tcPr>
        <w:tcBorders>
          <w:insideH w:val="nil"/>
          <w:insideV w:val="nil"/>
        </w:tcBorders>
        <w:shd w:val="clear" w:color="auto" w:fill="E2E2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012E"/>
    <w:rPr>
      <w:rFonts w:asciiTheme="minorHAnsi" w:hAnsiTheme="minorHAnsi" w:cstheme="minorBidi"/>
      <w:sz w:val="22"/>
      <w:szCs w:val="22"/>
      <w:lang w:eastAsia="zh-CN"/>
    </w:rPr>
    <w:tblPr>
      <w:tblStyleRowBandSize w:val="1"/>
      <w:tblStyleColBandSize w:val="1"/>
      <w:tblBorders>
        <w:top w:val="single" w:sz="8" w:space="0" w:color="6E7073" w:themeColor="accent6" w:themeTint="BF"/>
        <w:left w:val="single" w:sz="8" w:space="0" w:color="6E7073" w:themeColor="accent6" w:themeTint="BF"/>
        <w:bottom w:val="single" w:sz="8" w:space="0" w:color="6E7073" w:themeColor="accent6" w:themeTint="BF"/>
        <w:right w:val="single" w:sz="8" w:space="0" w:color="6E7073" w:themeColor="accent6" w:themeTint="BF"/>
        <w:insideH w:val="single" w:sz="8" w:space="0" w:color="6E7073" w:themeColor="accent6" w:themeTint="BF"/>
      </w:tblBorders>
    </w:tblPr>
    <w:tblStylePr w:type="firstRow">
      <w:pPr>
        <w:spacing w:before="0" w:after="0" w:line="240" w:lineRule="auto"/>
      </w:pPr>
      <w:rPr>
        <w:b/>
        <w:bCs/>
        <w:color w:val="FFFFFF" w:themeColor="background1"/>
      </w:rPr>
      <w:tblPr/>
      <w:tcPr>
        <w:tcBorders>
          <w:top w:val="single" w:sz="8" w:space="0" w:color="6E7073" w:themeColor="accent6" w:themeTint="BF"/>
          <w:left w:val="single" w:sz="8" w:space="0" w:color="6E7073" w:themeColor="accent6" w:themeTint="BF"/>
          <w:bottom w:val="single" w:sz="8" w:space="0" w:color="6E7073" w:themeColor="accent6" w:themeTint="BF"/>
          <w:right w:val="single" w:sz="8" w:space="0" w:color="6E7073" w:themeColor="accent6" w:themeTint="BF"/>
          <w:insideH w:val="nil"/>
          <w:insideV w:val="nil"/>
        </w:tcBorders>
        <w:shd w:val="clear" w:color="auto" w:fill="404143" w:themeFill="accent6"/>
      </w:tcPr>
    </w:tblStylePr>
    <w:tblStylePr w:type="lastRow">
      <w:pPr>
        <w:spacing w:before="0" w:after="0" w:line="240" w:lineRule="auto"/>
      </w:pPr>
      <w:rPr>
        <w:b/>
        <w:bCs/>
      </w:rPr>
      <w:tblPr/>
      <w:tcPr>
        <w:tcBorders>
          <w:top w:val="double" w:sz="6" w:space="0" w:color="6E7073" w:themeColor="accent6" w:themeTint="BF"/>
          <w:left w:val="single" w:sz="8" w:space="0" w:color="6E7073" w:themeColor="accent6" w:themeTint="BF"/>
          <w:bottom w:val="single" w:sz="8" w:space="0" w:color="6E7073" w:themeColor="accent6" w:themeTint="BF"/>
          <w:right w:val="single" w:sz="8" w:space="0" w:color="6E70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CFD1" w:themeFill="accent6" w:themeFillTint="3F"/>
      </w:tcPr>
    </w:tblStylePr>
    <w:tblStylePr w:type="band1Horz">
      <w:tblPr/>
      <w:tcPr>
        <w:tcBorders>
          <w:insideH w:val="nil"/>
          <w:insideV w:val="nil"/>
        </w:tcBorders>
        <w:shd w:val="clear" w:color="auto" w:fill="CFCF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14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143" w:themeFill="text1"/>
      </w:tcPr>
    </w:tblStylePr>
    <w:tblStylePr w:type="lastCol">
      <w:rPr>
        <w:b/>
        <w:bCs/>
        <w:color w:val="FFFFFF" w:themeColor="background1"/>
      </w:rPr>
      <w:tblPr/>
      <w:tcPr>
        <w:tcBorders>
          <w:left w:val="nil"/>
          <w:right w:val="nil"/>
          <w:insideH w:val="nil"/>
          <w:insideV w:val="nil"/>
        </w:tcBorders>
        <w:shd w:val="clear" w:color="auto" w:fill="40414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19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1930" w:themeFill="accent1"/>
      </w:tcPr>
    </w:tblStylePr>
    <w:tblStylePr w:type="lastCol">
      <w:rPr>
        <w:b/>
        <w:bCs/>
        <w:color w:val="FFFFFF" w:themeColor="background1"/>
      </w:rPr>
      <w:tblPr/>
      <w:tcPr>
        <w:tcBorders>
          <w:left w:val="nil"/>
          <w:right w:val="nil"/>
          <w:insideH w:val="nil"/>
          <w:insideV w:val="nil"/>
        </w:tcBorders>
        <w:shd w:val="clear" w:color="auto" w:fill="A719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B7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B700" w:themeFill="accent2"/>
      </w:tcPr>
    </w:tblStylePr>
    <w:tblStylePr w:type="lastCol">
      <w:rPr>
        <w:b/>
        <w:bCs/>
        <w:color w:val="FFFFFF" w:themeColor="background1"/>
      </w:rPr>
      <w:tblPr/>
      <w:tcPr>
        <w:tcBorders>
          <w:left w:val="nil"/>
          <w:right w:val="nil"/>
          <w:insideH w:val="nil"/>
          <w:insideV w:val="nil"/>
        </w:tcBorders>
        <w:shd w:val="clear" w:color="auto" w:fill="EBB7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3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3B6" w:themeFill="accent3"/>
      </w:tcPr>
    </w:tblStylePr>
    <w:tblStylePr w:type="lastCol">
      <w:rPr>
        <w:b/>
        <w:bCs/>
        <w:color w:val="FFFFFF" w:themeColor="background1"/>
      </w:rPr>
      <w:tblPr/>
      <w:tcPr>
        <w:tcBorders>
          <w:left w:val="nil"/>
          <w:right w:val="nil"/>
          <w:insideH w:val="nil"/>
          <w:insideV w:val="nil"/>
        </w:tcBorders>
        <w:shd w:val="clear" w:color="auto" w:fill="6773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AD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2AD00" w:themeFill="accent4"/>
      </w:tcPr>
    </w:tblStylePr>
    <w:tblStylePr w:type="lastCol">
      <w:rPr>
        <w:b/>
        <w:bCs/>
        <w:color w:val="FFFFFF" w:themeColor="background1"/>
      </w:rPr>
      <w:tblPr/>
      <w:tcPr>
        <w:tcBorders>
          <w:left w:val="nil"/>
          <w:right w:val="nil"/>
          <w:insideH w:val="nil"/>
          <w:insideV w:val="nil"/>
        </w:tcBorders>
        <w:shd w:val="clear" w:color="auto" w:fill="A2AD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8D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B8D8E" w:themeFill="accent5"/>
      </w:tcPr>
    </w:tblStylePr>
    <w:tblStylePr w:type="lastCol">
      <w:rPr>
        <w:b/>
        <w:bCs/>
        <w:color w:val="FFFFFF" w:themeColor="background1"/>
      </w:rPr>
      <w:tblPr/>
      <w:tcPr>
        <w:tcBorders>
          <w:left w:val="nil"/>
          <w:right w:val="nil"/>
          <w:insideH w:val="nil"/>
          <w:insideV w:val="nil"/>
        </w:tcBorders>
        <w:shd w:val="clear" w:color="auto" w:fill="8B8D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012E"/>
    <w:rPr>
      <w:rFonts w:asciiTheme="minorHAnsi"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14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143" w:themeFill="accent6"/>
      </w:tcPr>
    </w:tblStylePr>
    <w:tblStylePr w:type="lastCol">
      <w:rPr>
        <w:b/>
        <w:bCs/>
        <w:color w:val="FFFFFF" w:themeColor="background1"/>
      </w:rPr>
      <w:tblPr/>
      <w:tcPr>
        <w:tcBorders>
          <w:left w:val="nil"/>
          <w:right w:val="nil"/>
          <w:insideH w:val="nil"/>
          <w:insideV w:val="nil"/>
        </w:tcBorders>
        <w:shd w:val="clear" w:color="auto" w:fill="40414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rsid w:val="00F3012E"/>
    <w:rPr>
      <w:rFonts w:asciiTheme="minorHAnsi"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012E"/>
    <w:rPr>
      <w:rFonts w:asciiTheme="minorHAnsi" w:hAnsiTheme="minorHAnsi" w:cstheme="minorBidi"/>
      <w:sz w:val="22"/>
      <w:szCs w:val="22"/>
      <w:lang w:eastAsia="zh-CN"/>
    </w:rPr>
    <w:tblPr>
      <w:tblStyleRowBandSize w:val="1"/>
      <w:tblStyleColBandSize w:val="1"/>
      <w:tblBorders>
        <w:top w:val="single" w:sz="4" w:space="0" w:color="9D9FA2" w:themeColor="text1" w:themeTint="80"/>
        <w:bottom w:val="single" w:sz="4" w:space="0" w:color="9D9FA2" w:themeColor="text1" w:themeTint="80"/>
      </w:tblBorders>
    </w:tblPr>
    <w:tblStylePr w:type="firstRow">
      <w:rPr>
        <w:b/>
        <w:bCs/>
      </w:rPr>
      <w:tblPr/>
      <w:tcPr>
        <w:tcBorders>
          <w:bottom w:val="single" w:sz="4" w:space="0" w:color="9D9FA2" w:themeColor="text1" w:themeTint="80"/>
        </w:tcBorders>
      </w:tcPr>
    </w:tblStylePr>
    <w:tblStylePr w:type="lastRow">
      <w:rPr>
        <w:b/>
        <w:bCs/>
      </w:rPr>
      <w:tblPr/>
      <w:tcPr>
        <w:tcBorders>
          <w:top w:val="single" w:sz="4" w:space="0" w:color="9D9FA2" w:themeColor="text1" w:themeTint="80"/>
        </w:tcBorders>
      </w:tcPr>
    </w:tblStylePr>
    <w:tblStylePr w:type="firstCol">
      <w:rPr>
        <w:b/>
        <w:bCs/>
      </w:rPr>
    </w:tblStylePr>
    <w:tblStylePr w:type="lastCol">
      <w:rPr>
        <w:b/>
        <w:bCs/>
      </w:rPr>
    </w:tblStylePr>
    <w:tblStylePr w:type="band1Vert">
      <w:tblPr/>
      <w:tcPr>
        <w:tcBorders>
          <w:left w:val="single" w:sz="4" w:space="0" w:color="9D9FA2" w:themeColor="text1" w:themeTint="80"/>
          <w:right w:val="single" w:sz="4" w:space="0" w:color="9D9FA2" w:themeColor="text1" w:themeTint="80"/>
        </w:tcBorders>
      </w:tcPr>
    </w:tblStylePr>
    <w:tblStylePr w:type="band2Vert">
      <w:tblPr/>
      <w:tcPr>
        <w:tcBorders>
          <w:left w:val="single" w:sz="4" w:space="0" w:color="9D9FA2" w:themeColor="text1" w:themeTint="80"/>
          <w:right w:val="single" w:sz="4" w:space="0" w:color="9D9FA2" w:themeColor="text1" w:themeTint="80"/>
        </w:tcBorders>
      </w:tcPr>
    </w:tblStylePr>
    <w:tblStylePr w:type="band1Horz">
      <w:tblPr/>
      <w:tcPr>
        <w:tcBorders>
          <w:top w:val="single" w:sz="4" w:space="0" w:color="9D9FA2" w:themeColor="text1" w:themeTint="80"/>
          <w:bottom w:val="single" w:sz="4" w:space="0" w:color="9D9FA2" w:themeColor="text1" w:themeTint="80"/>
        </w:tcBorders>
      </w:tcPr>
    </w:tblStylePr>
  </w:style>
  <w:style w:type="table" w:styleId="PlainTable3">
    <w:name w:val="Plain Table 3"/>
    <w:basedOn w:val="TableNormal"/>
    <w:uiPriority w:val="43"/>
    <w:rsid w:val="00F3012E"/>
    <w:rPr>
      <w:rFonts w:asciiTheme="minorHAnsi" w:hAnsiTheme="minorHAnsi" w:cstheme="minorBidi"/>
      <w:sz w:val="22"/>
      <w:szCs w:val="22"/>
      <w:lang w:eastAsia="zh-CN"/>
    </w:rPr>
    <w:tblPr>
      <w:tblStyleRowBandSize w:val="1"/>
      <w:tblStyleColBandSize w:val="1"/>
    </w:tblPr>
    <w:tblStylePr w:type="firstRow">
      <w:rPr>
        <w:b/>
        <w:bCs/>
        <w:caps/>
      </w:rPr>
      <w:tblPr/>
      <w:tcPr>
        <w:tcBorders>
          <w:bottom w:val="single" w:sz="4" w:space="0" w:color="9D9F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F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012E"/>
    <w:rPr>
      <w:rFonts w:asciiTheme="minorHAnsi"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012E"/>
    <w:rPr>
      <w:rFonts w:asciiTheme="minorHAnsi" w:hAnsiTheme="minorHAnsi" w:cstheme="minorBidi"/>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F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F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F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F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3012E"/>
    <w:rPr>
      <w:rFonts w:asciiTheme="minorHAnsi"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MPlaceholder">
    <w:name w:val="BM Placeholder"/>
    <w:basedOn w:val="TableNormal"/>
    <w:uiPriority w:val="99"/>
    <w:rsid w:val="00F3012E"/>
    <w:rPr>
      <w:sz w:val="22"/>
      <w:lang w:eastAsia="zh-CN"/>
    </w:rPr>
    <w:tblPr>
      <w:tblCellMar>
        <w:left w:w="0" w:type="dxa"/>
        <w:right w:w="0" w:type="dxa"/>
      </w:tblCellMar>
    </w:tblPr>
  </w:style>
  <w:style w:type="character" w:customStyle="1" w:styleId="HighlightBlack">
    <w:name w:val="Highlight Black"/>
    <w:basedOn w:val="DefaultParagraphFont"/>
    <w:uiPriority w:val="1"/>
    <w:semiHidden/>
    <w:rsid w:val="00F3012E"/>
    <w:rPr>
      <w:color w:val="404143" w:themeColor="text1"/>
      <w:lang w:val="en-US"/>
    </w:rPr>
  </w:style>
  <w:style w:type="character" w:customStyle="1" w:styleId="HighlightGrey">
    <w:name w:val="Highlight Grey"/>
    <w:basedOn w:val="DefaultParagraphFont"/>
    <w:uiPriority w:val="1"/>
    <w:semiHidden/>
    <w:rsid w:val="00F3012E"/>
    <w:rPr>
      <w:color w:val="5F635F"/>
      <w:lang w:val="en-US"/>
    </w:rPr>
  </w:style>
  <w:style w:type="paragraph" w:customStyle="1" w:styleId="OfficeList-City">
    <w:name w:val="Office List - City"/>
    <w:semiHidden/>
    <w:rsid w:val="00F3012E"/>
    <w:pPr>
      <w:spacing w:before="10"/>
    </w:pPr>
    <w:rPr>
      <w:rFonts w:ascii="Arial" w:hAnsi="Arial"/>
      <w:noProof/>
      <w:spacing w:val="2"/>
      <w:sz w:val="11"/>
      <w:szCs w:val="11"/>
      <w:lang w:eastAsia="en-US"/>
    </w:rPr>
  </w:style>
  <w:style w:type="paragraph" w:customStyle="1" w:styleId="OfficeList-Region">
    <w:name w:val="Office List - Region"/>
    <w:basedOn w:val="OfficeList-City"/>
    <w:next w:val="OfficeList-City"/>
    <w:semiHidden/>
    <w:rsid w:val="00F3012E"/>
    <w:pPr>
      <w:spacing w:line="192" w:lineRule="auto"/>
    </w:pPr>
    <w:rPr>
      <w:rFonts w:ascii="Arial Black" w:hAnsi="Arial Black"/>
      <w:szCs w:val="24"/>
    </w:rPr>
  </w:style>
  <w:style w:type="paragraph" w:customStyle="1" w:styleId="OfficeList-Space">
    <w:name w:val="Office List - Space"/>
    <w:basedOn w:val="OfficeList-City"/>
    <w:semiHidden/>
    <w:rsid w:val="00F3012E"/>
    <w:pPr>
      <w:widowControl w:val="0"/>
      <w:spacing w:before="0"/>
    </w:pPr>
    <w:rPr>
      <w:spacing w:val="0"/>
      <w:sz w:val="8"/>
    </w:rPr>
  </w:style>
  <w:style w:type="paragraph" w:customStyle="1" w:styleId="OfficeMultipleListAddress">
    <w:name w:val="Office Multiple List Address"/>
    <w:basedOn w:val="Normal"/>
    <w:uiPriority w:val="11"/>
    <w:semiHidden/>
    <w:rsid w:val="00F3012E"/>
    <w:pPr>
      <w:spacing w:before="10"/>
    </w:pPr>
    <w:rPr>
      <w:rFonts w:ascii="Arial" w:eastAsiaTheme="minorEastAsia" w:hAnsi="Arial" w:cstheme="minorBidi"/>
      <w:bCs/>
      <w:spacing w:val="2"/>
      <w:sz w:val="11"/>
      <w:szCs w:val="28"/>
      <w:lang w:val="en-GB" w:eastAsia="zh-CN"/>
    </w:rPr>
  </w:style>
  <w:style w:type="paragraph" w:customStyle="1" w:styleId="OfficeMultipleListHeading">
    <w:name w:val="Office Multiple List Heading"/>
    <w:basedOn w:val="Normal"/>
    <w:next w:val="Normal"/>
    <w:uiPriority w:val="11"/>
    <w:semiHidden/>
    <w:rsid w:val="00F3012E"/>
    <w:rPr>
      <w:rFonts w:ascii="Arial Black" w:eastAsiaTheme="minorEastAsia" w:hAnsi="Arial Black" w:cstheme="minorBidi"/>
      <w:bCs/>
      <w:spacing w:val="2"/>
      <w:sz w:val="11"/>
      <w:szCs w:val="28"/>
      <w:lang w:val="en-GB" w:eastAsia="zh-CN"/>
    </w:rPr>
  </w:style>
  <w:style w:type="character" w:customStyle="1" w:styleId="Quotation">
    <w:name w:val="Quotation"/>
    <w:basedOn w:val="DefaultParagraphFont"/>
    <w:uiPriority w:val="1"/>
    <w:rsid w:val="00F3012E"/>
    <w:rPr>
      <w:i/>
      <w:caps w:val="0"/>
      <w:smallCaps w:val="0"/>
      <w:strike w:val="0"/>
      <w:dstrike w:val="0"/>
      <w:vanish w:val="0"/>
      <w:vertAlign w:val="baseline"/>
    </w:rPr>
  </w:style>
  <w:style w:type="paragraph" w:customStyle="1" w:styleId="CoverDate">
    <w:name w:val="Cover Date"/>
    <w:basedOn w:val="Normal"/>
    <w:next w:val="Normal"/>
    <w:semiHidden/>
    <w:rsid w:val="00F3012E"/>
    <w:pPr>
      <w:spacing w:before="240" w:line="480" w:lineRule="auto"/>
    </w:pPr>
    <w:rPr>
      <w:bCs/>
      <w:color w:val="6773B6" w:themeColor="accent3"/>
      <w:szCs w:val="22"/>
      <w:lang w:val="en-GB" w:eastAsia="zh-CN"/>
    </w:rPr>
  </w:style>
  <w:style w:type="paragraph" w:customStyle="1" w:styleId="TitleHeading">
    <w:name w:val="Title Heading"/>
    <w:basedOn w:val="Normal"/>
    <w:semiHidden/>
    <w:rsid w:val="00F3012E"/>
    <w:pPr>
      <w:pBdr>
        <w:top w:val="single" w:sz="8" w:space="12" w:color="auto"/>
        <w:bottom w:val="single" w:sz="8" w:space="12" w:color="auto"/>
      </w:pBdr>
      <w:spacing w:line="260" w:lineRule="atLeast"/>
      <w:ind w:left="1152" w:right="1152"/>
      <w:jc w:val="center"/>
    </w:pPr>
    <w:rPr>
      <w:rFonts w:cs="Arial"/>
      <w:b/>
      <w:caps/>
      <w:szCs w:val="22"/>
      <w:lang w:val="en-GB" w:eastAsia="zh-CN"/>
    </w:rPr>
  </w:style>
  <w:style w:type="paragraph" w:customStyle="1" w:styleId="FooterAddress">
    <w:name w:val="FooterAddress"/>
    <w:basedOn w:val="Normal"/>
    <w:semiHidden/>
    <w:rsid w:val="00F3012E"/>
    <w:pPr>
      <w:tabs>
        <w:tab w:val="left" w:pos="1430"/>
      </w:tabs>
      <w:jc w:val="right"/>
    </w:pPr>
    <w:rPr>
      <w:bCs/>
      <w:sz w:val="14"/>
      <w:szCs w:val="20"/>
      <w:lang w:val="en-GB" w:eastAsia="zh-CN"/>
    </w:rPr>
  </w:style>
  <w:style w:type="paragraph" w:customStyle="1" w:styleId="NormalAtt">
    <w:name w:val="Normal Att"/>
    <w:basedOn w:val="Normal"/>
    <w:semiHidden/>
    <w:rsid w:val="00F3012E"/>
    <w:pPr>
      <w:keepNext/>
      <w:jc w:val="both"/>
    </w:pPr>
    <w:rPr>
      <w:bCs/>
      <w:szCs w:val="22"/>
      <w:lang w:val="en-GB" w:eastAsia="zh-CN"/>
    </w:rPr>
  </w:style>
  <w:style w:type="paragraph" w:customStyle="1" w:styleId="FooterCompany">
    <w:name w:val="FooterCompany"/>
    <w:basedOn w:val="Normal"/>
    <w:semiHidden/>
    <w:rsid w:val="00F3012E"/>
    <w:pPr>
      <w:tabs>
        <w:tab w:val="left" w:pos="1430"/>
      </w:tabs>
      <w:jc w:val="right"/>
    </w:pPr>
    <w:rPr>
      <w:b/>
      <w:szCs w:val="22"/>
      <w:lang w:val="en-GB" w:eastAsia="zh-CN"/>
    </w:rPr>
  </w:style>
  <w:style w:type="paragraph" w:customStyle="1" w:styleId="FooterExecution">
    <w:name w:val="FooterExecution"/>
    <w:basedOn w:val="Normal"/>
    <w:semiHidden/>
    <w:rsid w:val="00F3012E"/>
    <w:pPr>
      <w:tabs>
        <w:tab w:val="left" w:pos="1430"/>
      </w:tabs>
      <w:jc w:val="right"/>
    </w:pPr>
    <w:rPr>
      <w:b/>
      <w:i/>
      <w:iCs/>
      <w:sz w:val="20"/>
      <w:szCs w:val="22"/>
      <w:lang w:val="en-GB" w:eastAsia="zh-CN"/>
    </w:rPr>
  </w:style>
  <w:style w:type="paragraph" w:customStyle="1" w:styleId="FooterRef">
    <w:name w:val="FooterRef"/>
    <w:basedOn w:val="Normal"/>
    <w:semiHidden/>
    <w:rsid w:val="00F3012E"/>
    <w:pPr>
      <w:tabs>
        <w:tab w:val="left" w:pos="1430"/>
      </w:tabs>
      <w:spacing w:line="240" w:lineRule="atLeast"/>
      <w:jc w:val="right"/>
    </w:pPr>
    <w:rPr>
      <w:bCs/>
      <w:sz w:val="14"/>
      <w:szCs w:val="20"/>
      <w:lang w:val="en-GB" w:eastAsia="zh-CN"/>
    </w:rPr>
  </w:style>
  <w:style w:type="paragraph" w:customStyle="1" w:styleId="TitleTopLine">
    <w:name w:val="TitleTopLine"/>
    <w:basedOn w:val="Normal"/>
    <w:semiHidden/>
    <w:rsid w:val="00F3012E"/>
    <w:pPr>
      <w:keepNext/>
      <w:keepLines/>
      <w:pBdr>
        <w:bottom w:val="single" w:sz="4" w:space="1" w:color="auto"/>
      </w:pBdr>
      <w:spacing w:after="220" w:line="260" w:lineRule="atLeast"/>
      <w:jc w:val="both"/>
    </w:pPr>
    <w:rPr>
      <w:bCs/>
      <w:szCs w:val="22"/>
      <w:lang w:val="en-GB" w:eastAsia="zh-CN"/>
    </w:rPr>
  </w:style>
  <w:style w:type="paragraph" w:customStyle="1" w:styleId="Executed">
    <w:name w:val="Executed"/>
    <w:basedOn w:val="Normal"/>
    <w:semiHidden/>
    <w:rsid w:val="00F3012E"/>
    <w:pPr>
      <w:spacing w:before="180" w:after="400" w:line="260" w:lineRule="atLeast"/>
      <w:jc w:val="both"/>
    </w:pPr>
    <w:rPr>
      <w:szCs w:val="22"/>
      <w:lang w:val="en-GB" w:eastAsia="zh-CN"/>
    </w:rPr>
  </w:style>
  <w:style w:type="paragraph" w:customStyle="1" w:styleId="FooterTitle">
    <w:name w:val="FooterTitle"/>
    <w:basedOn w:val="Footer"/>
    <w:semiHidden/>
    <w:rsid w:val="00F3012E"/>
    <w:pPr>
      <w:jc w:val="right"/>
    </w:pPr>
    <w:rPr>
      <w:rFonts w:asciiTheme="majorHAnsi" w:eastAsia="Times New Roman" w:hAnsiTheme="majorHAnsi" w:cs="Arial"/>
      <w:szCs w:val="22"/>
      <w:lang w:eastAsia="zh-CN"/>
    </w:rPr>
  </w:style>
  <w:style w:type="paragraph" w:customStyle="1" w:styleId="FooterExecution2">
    <w:name w:val="FooterExecution2"/>
    <w:basedOn w:val="Footer"/>
    <w:semiHidden/>
    <w:rsid w:val="00F3012E"/>
    <w:pPr>
      <w:jc w:val="both"/>
    </w:pPr>
    <w:rPr>
      <w:rFonts w:asciiTheme="minorHAnsi" w:eastAsia="Times New Roman" w:hAnsiTheme="minorHAnsi" w:cs="Arial"/>
      <w:bCs/>
      <w:szCs w:val="22"/>
      <w:lang w:eastAsia="zh-CN"/>
    </w:rPr>
  </w:style>
  <w:style w:type="paragraph" w:customStyle="1" w:styleId="TitleDescription">
    <w:name w:val="Title Description"/>
    <w:basedOn w:val="Normal"/>
    <w:uiPriority w:val="8"/>
    <w:semiHidden/>
    <w:qFormat/>
    <w:rsid w:val="00F3012E"/>
    <w:pPr>
      <w:pBdr>
        <w:bottom w:val="single" w:sz="8" w:space="12" w:color="auto"/>
      </w:pBdr>
      <w:ind w:left="1152" w:right="1152"/>
      <w:jc w:val="center"/>
    </w:pPr>
    <w:rPr>
      <w:b/>
      <w:bCs/>
      <w:szCs w:val="22"/>
      <w:lang w:val="en-GB" w:eastAsia="zh-CN"/>
    </w:rPr>
  </w:style>
  <w:style w:type="paragraph" w:customStyle="1" w:styleId="URL">
    <w:name w:val="URL"/>
    <w:basedOn w:val="Normal"/>
    <w:link w:val="URLChar"/>
    <w:semiHidden/>
    <w:rsid w:val="00F3012E"/>
    <w:pPr>
      <w:spacing w:before="360" w:after="360" w:line="240" w:lineRule="atLeast"/>
      <w:jc w:val="both"/>
    </w:pPr>
    <w:rPr>
      <w:rFonts w:ascii="Arial" w:hAnsi="Arial"/>
      <w:bCs/>
      <w:color w:val="5F5F5F"/>
      <w:sz w:val="28"/>
      <w:szCs w:val="20"/>
      <w:lang w:val="en-GB" w:eastAsia="zh-CN"/>
    </w:rPr>
  </w:style>
  <w:style w:type="character" w:customStyle="1" w:styleId="URLChar">
    <w:name w:val="URL Char"/>
    <w:basedOn w:val="DefaultParagraphFont"/>
    <w:link w:val="URL"/>
    <w:semiHidden/>
    <w:rsid w:val="00F3012E"/>
    <w:rPr>
      <w:rFonts w:ascii="Arial" w:hAnsi="Arial"/>
      <w:bCs/>
      <w:color w:val="5F5F5F"/>
      <w:sz w:val="28"/>
      <w:lang w:val="en-GB" w:eastAsia="zh-CN"/>
    </w:rPr>
  </w:style>
  <w:style w:type="paragraph" w:customStyle="1" w:styleId="Boilerplate3">
    <w:name w:val="Boilerplate 3"/>
    <w:basedOn w:val="Normal"/>
    <w:uiPriority w:val="4"/>
    <w:semiHidden/>
    <w:qFormat/>
    <w:rsid w:val="00F3012E"/>
    <w:pPr>
      <w:jc w:val="both"/>
    </w:pPr>
    <w:rPr>
      <w:bCs/>
      <w:color w:val="5F5F5F"/>
      <w:sz w:val="16"/>
      <w:szCs w:val="22"/>
      <w:lang w:val="en-GB" w:eastAsia="zh-CN"/>
    </w:rPr>
  </w:style>
  <w:style w:type="paragraph" w:customStyle="1" w:styleId="ExecutionSignoff">
    <w:name w:val="Execution Signoff"/>
    <w:basedOn w:val="Normal"/>
    <w:semiHidden/>
    <w:rsid w:val="00F3012E"/>
    <w:pPr>
      <w:spacing w:before="120" w:after="120"/>
    </w:pPr>
    <w:rPr>
      <w:rFonts w:eastAsia="Times New Roman"/>
      <w:bCs/>
      <w:szCs w:val="28"/>
      <w:lang w:val="en-GB" w:eastAsia="zh-CN"/>
    </w:rPr>
  </w:style>
  <w:style w:type="paragraph" w:customStyle="1" w:styleId="FooterExecution20">
    <w:name w:val="Footer Execution 2"/>
    <w:basedOn w:val="Footer"/>
    <w:semiHidden/>
    <w:rsid w:val="00F3012E"/>
    <w:rPr>
      <w:rFonts w:asciiTheme="majorHAnsi" w:eastAsia="Times New Roman" w:hAnsiTheme="majorHAnsi"/>
      <w:szCs w:val="20"/>
      <w:lang w:eastAsia="zh-CN"/>
    </w:rPr>
  </w:style>
  <w:style w:type="paragraph" w:customStyle="1" w:styleId="Section">
    <w:name w:val="Section"/>
    <w:basedOn w:val="Normal"/>
    <w:next w:val="BodyText"/>
    <w:link w:val="SectionChar"/>
    <w:uiPriority w:val="7"/>
    <w:rsid w:val="00F3012E"/>
    <w:pPr>
      <w:keepNext/>
      <w:numPr>
        <w:numId w:val="45"/>
      </w:numPr>
    </w:pPr>
    <w:rPr>
      <w:rFonts w:eastAsia="Times New Roman"/>
      <w:b/>
      <w:bCs/>
      <w:szCs w:val="28"/>
      <w:lang w:val="en-GB" w:eastAsia="zh-CN"/>
    </w:rPr>
  </w:style>
  <w:style w:type="paragraph" w:customStyle="1" w:styleId="TOCSubHeading">
    <w:name w:val="TOCSubHeading"/>
    <w:basedOn w:val="Normal"/>
    <w:semiHidden/>
    <w:rsid w:val="00F3012E"/>
    <w:rPr>
      <w:rFonts w:eastAsia="Times New Roman"/>
      <w:b/>
      <w:bCs/>
      <w:szCs w:val="28"/>
      <w:lang w:val="en-GB" w:eastAsia="zh-CN"/>
    </w:rPr>
  </w:style>
  <w:style w:type="paragraph" w:customStyle="1" w:styleId="AgreementTitle">
    <w:name w:val="Agreement Title"/>
    <w:basedOn w:val="Normal"/>
    <w:next w:val="BodyText"/>
    <w:uiPriority w:val="9"/>
    <w:semiHidden/>
    <w:qFormat/>
    <w:rsid w:val="00F3012E"/>
    <w:pPr>
      <w:jc w:val="both"/>
    </w:pPr>
    <w:rPr>
      <w:b/>
      <w:bCs/>
      <w:szCs w:val="22"/>
      <w:lang w:val="en-GB" w:eastAsia="zh-CN"/>
    </w:rPr>
  </w:style>
  <w:style w:type="paragraph" w:customStyle="1" w:styleId="Annexure1">
    <w:name w:val="Annexure 1"/>
    <w:basedOn w:val="Normal"/>
    <w:next w:val="Annexure3"/>
    <w:link w:val="Annexure1Char"/>
    <w:uiPriority w:val="9"/>
    <w:qFormat/>
    <w:rsid w:val="00F3012E"/>
    <w:pPr>
      <w:keepNext/>
      <w:pageBreakBefore/>
      <w:numPr>
        <w:numId w:val="49"/>
      </w:numPr>
      <w:jc w:val="both"/>
      <w:outlineLvl w:val="0"/>
    </w:pPr>
    <w:rPr>
      <w:rFonts w:asciiTheme="minorHAnsi" w:eastAsiaTheme="minorEastAsia"/>
      <w:b/>
      <w:szCs w:val="22"/>
      <w:lang w:val="en-GB" w:eastAsia="zh-CN"/>
    </w:rPr>
  </w:style>
  <w:style w:type="paragraph" w:customStyle="1" w:styleId="Annexure2">
    <w:name w:val="Annexure 2"/>
    <w:basedOn w:val="Normal"/>
    <w:next w:val="Annexure3"/>
    <w:link w:val="Annexure2Char"/>
    <w:uiPriority w:val="9"/>
    <w:semiHidden/>
    <w:qFormat/>
    <w:rsid w:val="00F3012E"/>
    <w:pPr>
      <w:keepNext/>
      <w:numPr>
        <w:ilvl w:val="1"/>
        <w:numId w:val="49"/>
      </w:numPr>
      <w:jc w:val="both"/>
      <w:outlineLvl w:val="1"/>
    </w:pPr>
    <w:rPr>
      <w:rFonts w:asciiTheme="minorHAnsi" w:eastAsiaTheme="minorEastAsia"/>
      <w:b/>
      <w:szCs w:val="22"/>
      <w:lang w:val="en-GB" w:eastAsia="zh-CN"/>
    </w:rPr>
  </w:style>
  <w:style w:type="paragraph" w:customStyle="1" w:styleId="Annexure3">
    <w:name w:val="Annexure 3"/>
    <w:basedOn w:val="Normal"/>
    <w:next w:val="BodyText2"/>
    <w:link w:val="Annexure3Char"/>
    <w:uiPriority w:val="9"/>
    <w:semiHidden/>
    <w:qFormat/>
    <w:rsid w:val="00F3012E"/>
    <w:pPr>
      <w:numPr>
        <w:ilvl w:val="2"/>
        <w:numId w:val="49"/>
      </w:numPr>
      <w:jc w:val="both"/>
      <w:outlineLvl w:val="2"/>
    </w:pPr>
    <w:rPr>
      <w:rFonts w:asciiTheme="minorHAnsi" w:eastAsiaTheme="minorEastAsia"/>
      <w:b/>
      <w:szCs w:val="22"/>
      <w:lang w:val="en-GB" w:eastAsia="zh-CN"/>
    </w:rPr>
  </w:style>
  <w:style w:type="paragraph" w:customStyle="1" w:styleId="Annexure4">
    <w:name w:val="Annexure 4"/>
    <w:basedOn w:val="Normal"/>
    <w:link w:val="Annexure4Char"/>
    <w:uiPriority w:val="98"/>
    <w:semiHidden/>
    <w:rsid w:val="00F3012E"/>
    <w:pPr>
      <w:numPr>
        <w:ilvl w:val="3"/>
        <w:numId w:val="49"/>
      </w:numPr>
      <w:jc w:val="both"/>
      <w:outlineLvl w:val="3"/>
    </w:pPr>
    <w:rPr>
      <w:rFonts w:asciiTheme="minorHAnsi" w:eastAsiaTheme="minorEastAsia"/>
      <w:b/>
      <w:szCs w:val="22"/>
      <w:lang w:val="en-GB" w:eastAsia="zh-CN"/>
    </w:rPr>
  </w:style>
  <w:style w:type="paragraph" w:customStyle="1" w:styleId="Annexure5">
    <w:name w:val="Annexure 5"/>
    <w:basedOn w:val="Normal"/>
    <w:link w:val="Annexure5Char"/>
    <w:uiPriority w:val="98"/>
    <w:semiHidden/>
    <w:rsid w:val="00F3012E"/>
    <w:pPr>
      <w:numPr>
        <w:ilvl w:val="4"/>
        <w:numId w:val="49"/>
      </w:numPr>
      <w:jc w:val="both"/>
      <w:outlineLvl w:val="4"/>
    </w:pPr>
    <w:rPr>
      <w:rFonts w:asciiTheme="minorHAnsi" w:eastAsiaTheme="minorEastAsia"/>
      <w:szCs w:val="22"/>
      <w:lang w:val="en-GB" w:eastAsia="zh-CN"/>
    </w:rPr>
  </w:style>
  <w:style w:type="paragraph" w:customStyle="1" w:styleId="Annexure6">
    <w:name w:val="Annexure 6"/>
    <w:basedOn w:val="Normal"/>
    <w:link w:val="Annexure6Char"/>
    <w:uiPriority w:val="98"/>
    <w:semiHidden/>
    <w:rsid w:val="00F3012E"/>
    <w:pPr>
      <w:numPr>
        <w:ilvl w:val="5"/>
        <w:numId w:val="49"/>
      </w:numPr>
      <w:jc w:val="both"/>
      <w:outlineLvl w:val="5"/>
    </w:pPr>
    <w:rPr>
      <w:rFonts w:asciiTheme="minorHAnsi" w:eastAsiaTheme="minorEastAsia"/>
      <w:szCs w:val="22"/>
      <w:lang w:val="en-GB" w:eastAsia="zh-CN"/>
    </w:rPr>
  </w:style>
  <w:style w:type="paragraph" w:customStyle="1" w:styleId="Annexure7">
    <w:name w:val="Annexure 7"/>
    <w:basedOn w:val="Normal"/>
    <w:link w:val="Annexure7Char"/>
    <w:uiPriority w:val="98"/>
    <w:semiHidden/>
    <w:rsid w:val="00F3012E"/>
    <w:pPr>
      <w:numPr>
        <w:ilvl w:val="6"/>
        <w:numId w:val="49"/>
      </w:numPr>
      <w:jc w:val="both"/>
      <w:outlineLvl w:val="6"/>
    </w:pPr>
    <w:rPr>
      <w:rFonts w:asciiTheme="minorHAnsi" w:eastAsiaTheme="minorEastAsia"/>
      <w:szCs w:val="22"/>
      <w:lang w:val="en-GB" w:eastAsia="zh-CN"/>
    </w:rPr>
  </w:style>
  <w:style w:type="paragraph" w:customStyle="1" w:styleId="Annexure8">
    <w:name w:val="Annexure 8"/>
    <w:basedOn w:val="Normal"/>
    <w:link w:val="Annexure8Char"/>
    <w:uiPriority w:val="98"/>
    <w:semiHidden/>
    <w:rsid w:val="00F3012E"/>
    <w:pPr>
      <w:numPr>
        <w:ilvl w:val="7"/>
        <w:numId w:val="49"/>
      </w:numPr>
      <w:jc w:val="both"/>
      <w:outlineLvl w:val="7"/>
    </w:pPr>
    <w:rPr>
      <w:rFonts w:asciiTheme="minorHAnsi" w:eastAsiaTheme="minorEastAsia"/>
      <w:szCs w:val="22"/>
      <w:lang w:val="en-GB" w:eastAsia="zh-CN"/>
    </w:rPr>
  </w:style>
  <w:style w:type="paragraph" w:customStyle="1" w:styleId="Annexure9">
    <w:name w:val="Annexure 9"/>
    <w:basedOn w:val="Normal"/>
    <w:link w:val="Annexure9Char"/>
    <w:uiPriority w:val="98"/>
    <w:semiHidden/>
    <w:rsid w:val="00F3012E"/>
    <w:pPr>
      <w:numPr>
        <w:ilvl w:val="8"/>
        <w:numId w:val="49"/>
      </w:numPr>
      <w:jc w:val="both"/>
      <w:outlineLvl w:val="8"/>
    </w:pPr>
    <w:rPr>
      <w:rFonts w:asciiTheme="minorHAnsi" w:eastAsiaTheme="minorEastAsia"/>
      <w:szCs w:val="22"/>
      <w:lang w:val="en-GB" w:eastAsia="zh-CN"/>
    </w:rPr>
  </w:style>
  <w:style w:type="paragraph" w:customStyle="1" w:styleId="Exhibit1">
    <w:name w:val="Exhibit 1"/>
    <w:basedOn w:val="Normal"/>
    <w:next w:val="Exhibit3"/>
    <w:link w:val="Exhibit1Char"/>
    <w:uiPriority w:val="9"/>
    <w:qFormat/>
    <w:rsid w:val="00F3012E"/>
    <w:pPr>
      <w:keepNext/>
      <w:pageBreakBefore/>
      <w:numPr>
        <w:numId w:val="48"/>
      </w:numPr>
      <w:jc w:val="both"/>
      <w:outlineLvl w:val="0"/>
    </w:pPr>
    <w:rPr>
      <w:rFonts w:asciiTheme="minorHAnsi" w:eastAsiaTheme="minorEastAsia"/>
      <w:b/>
      <w:szCs w:val="22"/>
      <w:lang w:val="en-GB" w:eastAsia="zh-CN"/>
    </w:rPr>
  </w:style>
  <w:style w:type="paragraph" w:customStyle="1" w:styleId="Exhibit2">
    <w:name w:val="Exhibit 2"/>
    <w:basedOn w:val="Normal"/>
    <w:next w:val="Exhibit3"/>
    <w:link w:val="Exhibit2Char"/>
    <w:uiPriority w:val="9"/>
    <w:semiHidden/>
    <w:qFormat/>
    <w:rsid w:val="00F3012E"/>
    <w:pPr>
      <w:keepNext/>
      <w:numPr>
        <w:ilvl w:val="1"/>
        <w:numId w:val="48"/>
      </w:numPr>
      <w:jc w:val="both"/>
      <w:outlineLvl w:val="1"/>
    </w:pPr>
    <w:rPr>
      <w:rFonts w:asciiTheme="minorHAnsi" w:eastAsiaTheme="minorEastAsia"/>
      <w:b/>
      <w:szCs w:val="22"/>
      <w:lang w:val="en-GB" w:eastAsia="zh-CN"/>
    </w:rPr>
  </w:style>
  <w:style w:type="paragraph" w:customStyle="1" w:styleId="Exhibit3">
    <w:name w:val="Exhibit 3"/>
    <w:basedOn w:val="Normal"/>
    <w:next w:val="BodyText2"/>
    <w:link w:val="Exhibit3Char"/>
    <w:uiPriority w:val="9"/>
    <w:semiHidden/>
    <w:qFormat/>
    <w:rsid w:val="00F3012E"/>
    <w:pPr>
      <w:numPr>
        <w:ilvl w:val="2"/>
        <w:numId w:val="48"/>
      </w:numPr>
      <w:jc w:val="both"/>
      <w:outlineLvl w:val="2"/>
    </w:pPr>
    <w:rPr>
      <w:rFonts w:asciiTheme="minorHAnsi" w:eastAsiaTheme="minorEastAsia"/>
      <w:b/>
      <w:szCs w:val="22"/>
      <w:lang w:val="en-GB" w:eastAsia="zh-CN"/>
    </w:rPr>
  </w:style>
  <w:style w:type="paragraph" w:customStyle="1" w:styleId="Exhibit4">
    <w:name w:val="Exhibit 4"/>
    <w:basedOn w:val="Normal"/>
    <w:next w:val="Exhibit5"/>
    <w:link w:val="Exhibit4Char"/>
    <w:uiPriority w:val="98"/>
    <w:semiHidden/>
    <w:rsid w:val="00F3012E"/>
    <w:pPr>
      <w:numPr>
        <w:ilvl w:val="3"/>
        <w:numId w:val="48"/>
      </w:numPr>
      <w:jc w:val="both"/>
      <w:outlineLvl w:val="3"/>
    </w:pPr>
    <w:rPr>
      <w:rFonts w:asciiTheme="minorHAnsi" w:eastAsiaTheme="minorEastAsia"/>
      <w:b/>
      <w:szCs w:val="22"/>
      <w:lang w:val="en-GB" w:eastAsia="zh-CN"/>
    </w:rPr>
  </w:style>
  <w:style w:type="paragraph" w:customStyle="1" w:styleId="Exhibit5">
    <w:name w:val="Exhibit 5"/>
    <w:basedOn w:val="Normal"/>
    <w:link w:val="Exhibit5Char"/>
    <w:uiPriority w:val="98"/>
    <w:semiHidden/>
    <w:rsid w:val="00F3012E"/>
    <w:pPr>
      <w:numPr>
        <w:ilvl w:val="4"/>
        <w:numId w:val="48"/>
      </w:numPr>
      <w:jc w:val="both"/>
      <w:outlineLvl w:val="4"/>
    </w:pPr>
    <w:rPr>
      <w:rFonts w:asciiTheme="minorHAnsi" w:eastAsiaTheme="minorEastAsia"/>
      <w:szCs w:val="22"/>
      <w:lang w:val="en-GB" w:eastAsia="zh-CN"/>
    </w:rPr>
  </w:style>
  <w:style w:type="paragraph" w:customStyle="1" w:styleId="Exhibit6">
    <w:name w:val="Exhibit 6"/>
    <w:basedOn w:val="Normal"/>
    <w:link w:val="Exhibit6Char"/>
    <w:uiPriority w:val="98"/>
    <w:semiHidden/>
    <w:rsid w:val="00F3012E"/>
    <w:pPr>
      <w:numPr>
        <w:ilvl w:val="5"/>
        <w:numId w:val="48"/>
      </w:numPr>
      <w:jc w:val="both"/>
      <w:outlineLvl w:val="5"/>
    </w:pPr>
    <w:rPr>
      <w:rFonts w:asciiTheme="minorHAnsi" w:eastAsiaTheme="minorEastAsia"/>
      <w:szCs w:val="22"/>
      <w:lang w:val="en-GB" w:eastAsia="zh-CN"/>
    </w:rPr>
  </w:style>
  <w:style w:type="paragraph" w:customStyle="1" w:styleId="CoverDocumentDescription">
    <w:name w:val="Cover Document Description"/>
    <w:basedOn w:val="Normal"/>
    <w:next w:val="CoverText0"/>
    <w:uiPriority w:val="8"/>
    <w:semiHidden/>
    <w:qFormat/>
    <w:rsid w:val="00F3012E"/>
    <w:rPr>
      <w:bCs/>
      <w:szCs w:val="22"/>
      <w:lang w:val="en-GB" w:eastAsia="zh-CN"/>
    </w:rPr>
  </w:style>
  <w:style w:type="paragraph" w:customStyle="1" w:styleId="CoverPartyRole">
    <w:name w:val="Cover Party Role"/>
    <w:basedOn w:val="Normal"/>
    <w:next w:val="CoverDocumentDescription"/>
    <w:uiPriority w:val="8"/>
    <w:semiHidden/>
    <w:qFormat/>
    <w:rsid w:val="00F3012E"/>
    <w:rPr>
      <w:b/>
      <w:szCs w:val="22"/>
      <w:lang w:val="en-GB" w:eastAsia="zh-CN"/>
    </w:rPr>
  </w:style>
  <w:style w:type="paragraph" w:customStyle="1" w:styleId="CoverText0">
    <w:name w:val="Cover Text"/>
    <w:basedOn w:val="Normal"/>
    <w:semiHidden/>
    <w:rsid w:val="00F3012E"/>
    <w:pPr>
      <w:spacing w:before="240"/>
    </w:pPr>
    <w:rPr>
      <w:bCs/>
      <w:szCs w:val="22"/>
      <w:lang w:val="en-GB" w:eastAsia="zh-CN"/>
    </w:rPr>
  </w:style>
  <w:style w:type="paragraph" w:customStyle="1" w:styleId="PartiesRecitals1">
    <w:name w:val="Parties/Recitals 1"/>
    <w:basedOn w:val="Normal"/>
    <w:link w:val="PartiesRecitals1Char"/>
    <w:uiPriority w:val="98"/>
    <w:rsid w:val="00F3012E"/>
    <w:pPr>
      <w:numPr>
        <w:numId w:val="47"/>
      </w:numPr>
      <w:jc w:val="both"/>
      <w:outlineLvl w:val="0"/>
    </w:pPr>
    <w:rPr>
      <w:rFonts w:asciiTheme="minorHAnsi" w:eastAsia="Times New Roman"/>
      <w:bCs/>
      <w:szCs w:val="28"/>
      <w:lang w:val="en-GB" w:eastAsia="zh-CN"/>
    </w:rPr>
  </w:style>
  <w:style w:type="paragraph" w:customStyle="1" w:styleId="PartiesRecitals2">
    <w:name w:val="Parties/Recitals 2"/>
    <w:basedOn w:val="Normal"/>
    <w:link w:val="PartiesRecitals2Char"/>
    <w:uiPriority w:val="98"/>
    <w:rsid w:val="00F3012E"/>
    <w:pPr>
      <w:numPr>
        <w:ilvl w:val="1"/>
        <w:numId w:val="47"/>
      </w:numPr>
      <w:jc w:val="both"/>
      <w:outlineLvl w:val="1"/>
    </w:pPr>
    <w:rPr>
      <w:rFonts w:asciiTheme="minorHAnsi" w:eastAsia="Times New Roman"/>
      <w:bCs/>
      <w:szCs w:val="28"/>
      <w:lang w:val="en-GB" w:eastAsia="zh-CN"/>
    </w:rPr>
  </w:style>
  <w:style w:type="paragraph" w:customStyle="1" w:styleId="PartiesRecitals3">
    <w:name w:val="Parties/Recitals 3"/>
    <w:basedOn w:val="Normal"/>
    <w:uiPriority w:val="98"/>
    <w:semiHidden/>
    <w:rsid w:val="00F3012E"/>
    <w:pPr>
      <w:numPr>
        <w:ilvl w:val="2"/>
        <w:numId w:val="47"/>
      </w:numPr>
      <w:jc w:val="both"/>
      <w:outlineLvl w:val="2"/>
    </w:pPr>
    <w:rPr>
      <w:rFonts w:asciiTheme="minorHAnsi" w:eastAsia="Times New Roman"/>
      <w:bCs/>
      <w:szCs w:val="28"/>
      <w:lang w:val="en-GB" w:eastAsia="zh-CN"/>
    </w:rPr>
  </w:style>
  <w:style w:type="paragraph" w:customStyle="1" w:styleId="PartiesRecitals4">
    <w:name w:val="Parties/Recitals 4"/>
    <w:basedOn w:val="Normal"/>
    <w:next w:val="BodyText"/>
    <w:uiPriority w:val="98"/>
    <w:semiHidden/>
    <w:rsid w:val="00F3012E"/>
    <w:pPr>
      <w:numPr>
        <w:ilvl w:val="3"/>
        <w:numId w:val="47"/>
      </w:numPr>
      <w:jc w:val="both"/>
      <w:outlineLvl w:val="3"/>
    </w:pPr>
    <w:rPr>
      <w:rFonts w:asciiTheme="minorHAnsi" w:eastAsia="Times New Roman"/>
      <w:bCs/>
      <w:szCs w:val="28"/>
      <w:lang w:val="en-GB" w:eastAsia="zh-CN"/>
    </w:rPr>
  </w:style>
  <w:style w:type="paragraph" w:customStyle="1" w:styleId="PartiesRecitals5">
    <w:name w:val="Parties/Recitals 5"/>
    <w:basedOn w:val="Normal"/>
    <w:next w:val="BodyText"/>
    <w:uiPriority w:val="98"/>
    <w:semiHidden/>
    <w:rsid w:val="00F3012E"/>
    <w:pPr>
      <w:numPr>
        <w:ilvl w:val="4"/>
        <w:numId w:val="47"/>
      </w:numPr>
      <w:jc w:val="both"/>
      <w:outlineLvl w:val="4"/>
    </w:pPr>
    <w:rPr>
      <w:rFonts w:asciiTheme="minorHAnsi" w:eastAsia="Times New Roman"/>
      <w:bCs/>
      <w:szCs w:val="28"/>
      <w:lang w:val="en-GB" w:eastAsia="zh-CN"/>
    </w:rPr>
  </w:style>
  <w:style w:type="paragraph" w:customStyle="1" w:styleId="PartiesRecitals6">
    <w:name w:val="Parties/Recitals 6"/>
    <w:basedOn w:val="Normal"/>
    <w:next w:val="BodyText"/>
    <w:uiPriority w:val="98"/>
    <w:semiHidden/>
    <w:rsid w:val="00F3012E"/>
    <w:pPr>
      <w:numPr>
        <w:ilvl w:val="5"/>
        <w:numId w:val="47"/>
      </w:numPr>
      <w:jc w:val="both"/>
      <w:outlineLvl w:val="5"/>
    </w:pPr>
    <w:rPr>
      <w:rFonts w:asciiTheme="minorHAnsi" w:eastAsia="Times New Roman"/>
      <w:bCs/>
      <w:szCs w:val="28"/>
      <w:lang w:val="en-GB" w:eastAsia="zh-CN"/>
    </w:rPr>
  </w:style>
  <w:style w:type="paragraph" w:customStyle="1" w:styleId="PartiesRecitals7">
    <w:name w:val="Parties/Recitals 7"/>
    <w:basedOn w:val="Normal"/>
    <w:next w:val="BodyText"/>
    <w:uiPriority w:val="98"/>
    <w:semiHidden/>
    <w:rsid w:val="00F3012E"/>
    <w:pPr>
      <w:numPr>
        <w:ilvl w:val="6"/>
        <w:numId w:val="47"/>
      </w:numPr>
      <w:jc w:val="both"/>
      <w:outlineLvl w:val="6"/>
    </w:pPr>
    <w:rPr>
      <w:rFonts w:asciiTheme="minorHAnsi" w:eastAsia="Times New Roman"/>
      <w:bCs/>
      <w:szCs w:val="28"/>
      <w:lang w:val="en-GB" w:eastAsia="zh-CN"/>
    </w:rPr>
  </w:style>
  <w:style w:type="paragraph" w:customStyle="1" w:styleId="PartiesRecitals8">
    <w:name w:val="Parties/Recitals 8"/>
    <w:basedOn w:val="Normal"/>
    <w:next w:val="BodyText"/>
    <w:uiPriority w:val="98"/>
    <w:semiHidden/>
    <w:rsid w:val="00F3012E"/>
    <w:pPr>
      <w:numPr>
        <w:ilvl w:val="7"/>
        <w:numId w:val="47"/>
      </w:numPr>
      <w:jc w:val="both"/>
      <w:outlineLvl w:val="7"/>
    </w:pPr>
    <w:rPr>
      <w:rFonts w:asciiTheme="minorHAnsi" w:eastAsia="Times New Roman"/>
      <w:bCs/>
      <w:szCs w:val="28"/>
      <w:lang w:val="en-GB" w:eastAsia="zh-CN"/>
    </w:rPr>
  </w:style>
  <w:style w:type="paragraph" w:customStyle="1" w:styleId="PartiesRecitals9">
    <w:name w:val="Parties/Recitals 9"/>
    <w:basedOn w:val="Normal"/>
    <w:next w:val="BodyText"/>
    <w:uiPriority w:val="98"/>
    <w:semiHidden/>
    <w:rsid w:val="00F3012E"/>
    <w:pPr>
      <w:numPr>
        <w:ilvl w:val="8"/>
        <w:numId w:val="47"/>
      </w:numPr>
      <w:jc w:val="both"/>
      <w:outlineLvl w:val="8"/>
    </w:pPr>
    <w:rPr>
      <w:rFonts w:asciiTheme="minorHAnsi" w:eastAsia="Times New Roman"/>
      <w:bCs/>
      <w:szCs w:val="28"/>
      <w:lang w:val="en-GB" w:eastAsia="zh-CN"/>
    </w:rPr>
  </w:style>
  <w:style w:type="paragraph" w:customStyle="1" w:styleId="SchH1">
    <w:name w:val="SchH 1"/>
    <w:basedOn w:val="Normal"/>
    <w:next w:val="SchH3"/>
    <w:link w:val="SchH1Char"/>
    <w:uiPriority w:val="98"/>
    <w:qFormat/>
    <w:rsid w:val="00F3012E"/>
    <w:pPr>
      <w:keepNext/>
      <w:pageBreakBefore/>
      <w:numPr>
        <w:numId w:val="50"/>
      </w:numPr>
      <w:jc w:val="both"/>
      <w:outlineLvl w:val="0"/>
    </w:pPr>
    <w:rPr>
      <w:rFonts w:asciiTheme="minorHAnsi" w:eastAsia="Times New Roman"/>
      <w:b/>
      <w:bCs/>
      <w:szCs w:val="28"/>
      <w:lang w:val="en-GB" w:eastAsia="zh-CN"/>
    </w:rPr>
  </w:style>
  <w:style w:type="paragraph" w:customStyle="1" w:styleId="SchH2">
    <w:name w:val="SchH 2"/>
    <w:basedOn w:val="Normal"/>
    <w:next w:val="SchH3"/>
    <w:link w:val="SchH2Char"/>
    <w:uiPriority w:val="98"/>
    <w:qFormat/>
    <w:rsid w:val="00F3012E"/>
    <w:pPr>
      <w:keepNext/>
      <w:numPr>
        <w:ilvl w:val="1"/>
        <w:numId w:val="50"/>
      </w:numPr>
      <w:jc w:val="both"/>
      <w:outlineLvl w:val="1"/>
    </w:pPr>
    <w:rPr>
      <w:rFonts w:asciiTheme="minorHAnsi" w:eastAsia="Times New Roman"/>
      <w:b/>
      <w:bCs/>
      <w:szCs w:val="28"/>
      <w:lang w:val="en-GB" w:eastAsia="zh-CN"/>
    </w:rPr>
  </w:style>
  <w:style w:type="paragraph" w:customStyle="1" w:styleId="SchH3">
    <w:name w:val="SchH 3"/>
    <w:basedOn w:val="Normal"/>
    <w:next w:val="BodyText2"/>
    <w:link w:val="SchH3Char"/>
    <w:uiPriority w:val="98"/>
    <w:qFormat/>
    <w:rsid w:val="00F3012E"/>
    <w:pPr>
      <w:numPr>
        <w:ilvl w:val="2"/>
        <w:numId w:val="50"/>
      </w:numPr>
      <w:jc w:val="both"/>
      <w:outlineLvl w:val="2"/>
    </w:pPr>
    <w:rPr>
      <w:rFonts w:asciiTheme="minorHAnsi" w:eastAsia="Times New Roman"/>
      <w:b/>
      <w:bCs/>
      <w:szCs w:val="28"/>
      <w:lang w:val="en-GB" w:eastAsia="zh-CN"/>
    </w:rPr>
  </w:style>
  <w:style w:type="paragraph" w:customStyle="1" w:styleId="SchH4">
    <w:name w:val="SchH 4"/>
    <w:basedOn w:val="Normal"/>
    <w:link w:val="SchH4Char"/>
    <w:uiPriority w:val="98"/>
    <w:qFormat/>
    <w:rsid w:val="00F3012E"/>
    <w:pPr>
      <w:numPr>
        <w:ilvl w:val="3"/>
        <w:numId w:val="50"/>
      </w:numPr>
      <w:jc w:val="both"/>
      <w:outlineLvl w:val="3"/>
    </w:pPr>
    <w:rPr>
      <w:rFonts w:asciiTheme="minorHAnsi" w:eastAsia="Times New Roman"/>
      <w:b/>
      <w:bCs/>
      <w:szCs w:val="28"/>
      <w:lang w:val="en-GB" w:eastAsia="zh-CN"/>
    </w:rPr>
  </w:style>
  <w:style w:type="paragraph" w:customStyle="1" w:styleId="SchH5">
    <w:name w:val="SchH 5"/>
    <w:basedOn w:val="Normal"/>
    <w:link w:val="SchH5Char"/>
    <w:uiPriority w:val="98"/>
    <w:qFormat/>
    <w:rsid w:val="00F3012E"/>
    <w:pPr>
      <w:numPr>
        <w:ilvl w:val="4"/>
        <w:numId w:val="50"/>
      </w:numPr>
      <w:jc w:val="both"/>
      <w:outlineLvl w:val="4"/>
    </w:pPr>
    <w:rPr>
      <w:rFonts w:asciiTheme="minorHAnsi" w:eastAsia="Times New Roman"/>
      <w:bCs/>
      <w:szCs w:val="28"/>
      <w:lang w:val="en-GB" w:eastAsia="zh-CN"/>
    </w:rPr>
  </w:style>
  <w:style w:type="paragraph" w:customStyle="1" w:styleId="SchH6">
    <w:name w:val="SchH 6"/>
    <w:basedOn w:val="Normal"/>
    <w:link w:val="SchH6Char"/>
    <w:uiPriority w:val="98"/>
    <w:qFormat/>
    <w:rsid w:val="00F3012E"/>
    <w:pPr>
      <w:numPr>
        <w:ilvl w:val="5"/>
        <w:numId w:val="50"/>
      </w:numPr>
      <w:jc w:val="both"/>
      <w:outlineLvl w:val="5"/>
    </w:pPr>
    <w:rPr>
      <w:rFonts w:asciiTheme="minorHAnsi" w:eastAsia="Times New Roman"/>
      <w:bCs/>
      <w:szCs w:val="28"/>
      <w:lang w:val="en-GB" w:eastAsia="zh-CN"/>
    </w:rPr>
  </w:style>
  <w:style w:type="paragraph" w:customStyle="1" w:styleId="SchH7">
    <w:name w:val="SchH 7"/>
    <w:basedOn w:val="Normal"/>
    <w:link w:val="SchH7Char"/>
    <w:uiPriority w:val="98"/>
    <w:qFormat/>
    <w:rsid w:val="00F3012E"/>
    <w:pPr>
      <w:numPr>
        <w:ilvl w:val="6"/>
        <w:numId w:val="50"/>
      </w:numPr>
      <w:jc w:val="both"/>
      <w:outlineLvl w:val="6"/>
    </w:pPr>
    <w:rPr>
      <w:rFonts w:asciiTheme="minorHAnsi" w:eastAsia="Times New Roman"/>
      <w:bCs/>
      <w:szCs w:val="28"/>
      <w:lang w:val="en-GB" w:eastAsia="zh-CN"/>
    </w:rPr>
  </w:style>
  <w:style w:type="paragraph" w:customStyle="1" w:styleId="SchH8">
    <w:name w:val="SchH 8"/>
    <w:basedOn w:val="Normal"/>
    <w:link w:val="SchH8Char"/>
    <w:uiPriority w:val="98"/>
    <w:rsid w:val="00F3012E"/>
    <w:pPr>
      <w:numPr>
        <w:ilvl w:val="7"/>
        <w:numId w:val="50"/>
      </w:numPr>
      <w:jc w:val="both"/>
      <w:outlineLvl w:val="7"/>
    </w:pPr>
    <w:rPr>
      <w:rFonts w:asciiTheme="minorHAnsi" w:eastAsia="Times New Roman"/>
      <w:bCs/>
      <w:szCs w:val="28"/>
      <w:lang w:val="en-GB" w:eastAsia="zh-CN"/>
    </w:rPr>
  </w:style>
  <w:style w:type="paragraph" w:customStyle="1" w:styleId="SchH9">
    <w:name w:val="SchH 9"/>
    <w:basedOn w:val="Normal"/>
    <w:link w:val="SchH9Char"/>
    <w:uiPriority w:val="98"/>
    <w:rsid w:val="00F3012E"/>
    <w:pPr>
      <w:numPr>
        <w:ilvl w:val="8"/>
        <w:numId w:val="50"/>
      </w:numPr>
      <w:jc w:val="both"/>
      <w:outlineLvl w:val="8"/>
    </w:pPr>
    <w:rPr>
      <w:rFonts w:asciiTheme="minorHAnsi" w:eastAsia="Times New Roman"/>
      <w:bCs/>
      <w:szCs w:val="28"/>
      <w:lang w:val="en-GB" w:eastAsia="zh-CN"/>
    </w:rPr>
  </w:style>
  <w:style w:type="paragraph" w:customStyle="1" w:styleId="CoverAddress">
    <w:name w:val="Cover Address"/>
    <w:basedOn w:val="Normal"/>
    <w:uiPriority w:val="8"/>
    <w:semiHidden/>
    <w:rsid w:val="00F3012E"/>
    <w:pPr>
      <w:ind w:left="-115"/>
    </w:pPr>
    <w:rPr>
      <w:rFonts w:eastAsia="Times New Roman"/>
      <w:bCs/>
      <w:color w:val="404144" w:themeColor="text2"/>
      <w:sz w:val="16"/>
      <w:szCs w:val="22"/>
      <w:lang w:val="en-GB" w:eastAsia="zh-CN"/>
    </w:rPr>
  </w:style>
  <w:style w:type="paragraph" w:customStyle="1" w:styleId="CoverDraft">
    <w:name w:val="Cover Draft"/>
    <w:basedOn w:val="Normal"/>
    <w:next w:val="Header"/>
    <w:uiPriority w:val="8"/>
    <w:semiHidden/>
    <w:qFormat/>
    <w:rsid w:val="00F3012E"/>
    <w:pPr>
      <w:jc w:val="right"/>
    </w:pPr>
    <w:rPr>
      <w:rFonts w:eastAsia="Times New Roman"/>
      <w:b/>
      <w:bCs/>
      <w:i/>
      <w:color w:val="404143" w:themeColor="text1"/>
      <w:sz w:val="20"/>
      <w:szCs w:val="28"/>
      <w:lang w:val="en-GB" w:eastAsia="zh-CN"/>
    </w:rPr>
  </w:style>
  <w:style w:type="paragraph" w:customStyle="1" w:styleId="Exhibit7">
    <w:name w:val="Exhibit 7"/>
    <w:basedOn w:val="Normal"/>
    <w:link w:val="Exhibit7Char"/>
    <w:uiPriority w:val="98"/>
    <w:semiHidden/>
    <w:rsid w:val="00F3012E"/>
    <w:pPr>
      <w:numPr>
        <w:ilvl w:val="6"/>
        <w:numId w:val="48"/>
      </w:numPr>
      <w:jc w:val="both"/>
      <w:outlineLvl w:val="6"/>
    </w:pPr>
    <w:rPr>
      <w:rFonts w:asciiTheme="minorHAnsi" w:eastAsiaTheme="minorEastAsia"/>
      <w:szCs w:val="22"/>
      <w:lang w:val="en-GB" w:eastAsia="zh-CN"/>
    </w:rPr>
  </w:style>
  <w:style w:type="paragraph" w:customStyle="1" w:styleId="Exhibit8">
    <w:name w:val="Exhibit 8"/>
    <w:basedOn w:val="Normal"/>
    <w:link w:val="Exhibit8Char"/>
    <w:uiPriority w:val="98"/>
    <w:semiHidden/>
    <w:rsid w:val="00F3012E"/>
    <w:pPr>
      <w:numPr>
        <w:ilvl w:val="7"/>
        <w:numId w:val="48"/>
      </w:numPr>
      <w:jc w:val="both"/>
      <w:outlineLvl w:val="7"/>
    </w:pPr>
    <w:rPr>
      <w:rFonts w:asciiTheme="minorHAnsi" w:eastAsiaTheme="minorEastAsia"/>
      <w:szCs w:val="22"/>
      <w:lang w:val="en-GB" w:eastAsia="zh-CN"/>
    </w:rPr>
  </w:style>
  <w:style w:type="paragraph" w:customStyle="1" w:styleId="Exhibit9">
    <w:name w:val="Exhibit 9"/>
    <w:basedOn w:val="Normal"/>
    <w:link w:val="Exhibit9Char"/>
    <w:uiPriority w:val="98"/>
    <w:semiHidden/>
    <w:rsid w:val="00F3012E"/>
    <w:pPr>
      <w:numPr>
        <w:ilvl w:val="8"/>
        <w:numId w:val="48"/>
      </w:numPr>
      <w:jc w:val="both"/>
      <w:outlineLvl w:val="8"/>
    </w:pPr>
    <w:rPr>
      <w:rFonts w:asciiTheme="minorHAnsi" w:eastAsiaTheme="minorEastAsia"/>
      <w:szCs w:val="22"/>
      <w:lang w:val="en-GB" w:eastAsia="zh-CN"/>
    </w:rPr>
  </w:style>
  <w:style w:type="character" w:customStyle="1" w:styleId="Definition1Char">
    <w:name w:val="Definition 1 Char"/>
    <w:basedOn w:val="DefaultParagraphFont"/>
    <w:link w:val="Definition1"/>
    <w:rsid w:val="00F3012E"/>
    <w:rPr>
      <w:rFonts w:eastAsia="Times New Roman"/>
      <w:lang w:val="en-GB"/>
    </w:rPr>
  </w:style>
  <w:style w:type="character" w:customStyle="1" w:styleId="Definition2Char">
    <w:name w:val="Definition 2 Char"/>
    <w:basedOn w:val="DefaultParagraphFont"/>
    <w:link w:val="Definition2"/>
    <w:rsid w:val="00F3012E"/>
    <w:rPr>
      <w:rFonts w:eastAsia="Times New Roman"/>
      <w:lang w:val="en-GB"/>
    </w:rPr>
  </w:style>
  <w:style w:type="paragraph" w:customStyle="1" w:styleId="Definition1">
    <w:name w:val="Definition 1"/>
    <w:basedOn w:val="Normal"/>
    <w:link w:val="Definition1Char"/>
    <w:qFormat/>
    <w:rsid w:val="00F3012E"/>
    <w:pPr>
      <w:numPr>
        <w:numId w:val="46"/>
      </w:numPr>
      <w:jc w:val="both"/>
      <w:outlineLvl w:val="0"/>
    </w:pPr>
    <w:rPr>
      <w:rFonts w:eastAsia="Times New Roman"/>
      <w:sz w:val="20"/>
      <w:szCs w:val="20"/>
      <w:lang w:val="en-GB" w:eastAsia="en-AU"/>
    </w:rPr>
  </w:style>
  <w:style w:type="paragraph" w:customStyle="1" w:styleId="Definition2">
    <w:name w:val="Definition 2"/>
    <w:basedOn w:val="Normal"/>
    <w:link w:val="Definition2Char"/>
    <w:qFormat/>
    <w:rsid w:val="00F3012E"/>
    <w:pPr>
      <w:numPr>
        <w:ilvl w:val="1"/>
        <w:numId w:val="46"/>
      </w:numPr>
      <w:jc w:val="both"/>
      <w:outlineLvl w:val="1"/>
    </w:pPr>
    <w:rPr>
      <w:rFonts w:eastAsia="Times New Roman"/>
      <w:sz w:val="20"/>
      <w:szCs w:val="20"/>
      <w:lang w:val="en-GB" w:eastAsia="en-AU"/>
    </w:rPr>
  </w:style>
  <w:style w:type="paragraph" w:customStyle="1" w:styleId="Definition3">
    <w:name w:val="Definition 3"/>
    <w:basedOn w:val="Normal"/>
    <w:link w:val="Definition3Char"/>
    <w:qFormat/>
    <w:rsid w:val="00F3012E"/>
    <w:pPr>
      <w:numPr>
        <w:ilvl w:val="2"/>
        <w:numId w:val="46"/>
      </w:numPr>
      <w:jc w:val="both"/>
      <w:outlineLvl w:val="2"/>
    </w:pPr>
    <w:rPr>
      <w:rFonts w:asciiTheme="minorHAnsi" w:eastAsia="Times New Roman"/>
      <w:bCs/>
      <w:szCs w:val="22"/>
      <w:lang w:val="en-GB" w:eastAsia="zh-CN"/>
    </w:rPr>
  </w:style>
  <w:style w:type="paragraph" w:customStyle="1" w:styleId="Definition4">
    <w:name w:val="Definition 4"/>
    <w:basedOn w:val="Normal"/>
    <w:link w:val="Definition4Char"/>
    <w:qFormat/>
    <w:rsid w:val="00F3012E"/>
    <w:pPr>
      <w:numPr>
        <w:ilvl w:val="3"/>
        <w:numId w:val="46"/>
      </w:numPr>
      <w:jc w:val="both"/>
      <w:outlineLvl w:val="3"/>
    </w:pPr>
    <w:rPr>
      <w:rFonts w:asciiTheme="minorHAnsi" w:eastAsia="Times New Roman"/>
      <w:bCs/>
      <w:szCs w:val="22"/>
      <w:lang w:val="en-GB" w:eastAsia="zh-CN"/>
    </w:rPr>
  </w:style>
  <w:style w:type="paragraph" w:customStyle="1" w:styleId="Definition5">
    <w:name w:val="Definition 5"/>
    <w:basedOn w:val="Normal"/>
    <w:next w:val="BodyText"/>
    <w:link w:val="Definition5Char"/>
    <w:semiHidden/>
    <w:rsid w:val="00F3012E"/>
    <w:pPr>
      <w:numPr>
        <w:ilvl w:val="4"/>
        <w:numId w:val="46"/>
      </w:numPr>
      <w:jc w:val="both"/>
    </w:pPr>
    <w:rPr>
      <w:rFonts w:asciiTheme="minorHAnsi" w:eastAsia="Times New Roman"/>
      <w:bCs/>
      <w:szCs w:val="22"/>
      <w:lang w:val="en-GB" w:eastAsia="zh-CN"/>
    </w:rPr>
  </w:style>
  <w:style w:type="character" w:customStyle="1" w:styleId="Definition5Char">
    <w:name w:val="Definition 5 Char"/>
    <w:basedOn w:val="DefaultParagraphFont"/>
    <w:link w:val="Definition5"/>
    <w:semiHidden/>
    <w:rsid w:val="00F3012E"/>
    <w:rPr>
      <w:rFonts w:asciiTheme="minorHAnsi" w:eastAsia="Times New Roman"/>
      <w:bCs/>
      <w:sz w:val="22"/>
      <w:szCs w:val="22"/>
      <w:lang w:val="en-GB" w:eastAsia="zh-CN"/>
    </w:rPr>
  </w:style>
  <w:style w:type="paragraph" w:customStyle="1" w:styleId="Definition6">
    <w:name w:val="Definition 6"/>
    <w:basedOn w:val="Normal"/>
    <w:next w:val="BodyText"/>
    <w:link w:val="Definition6Char"/>
    <w:semiHidden/>
    <w:rsid w:val="00F3012E"/>
    <w:pPr>
      <w:numPr>
        <w:ilvl w:val="5"/>
        <w:numId w:val="46"/>
      </w:numPr>
      <w:jc w:val="both"/>
    </w:pPr>
    <w:rPr>
      <w:rFonts w:asciiTheme="minorHAnsi" w:eastAsia="Times New Roman"/>
      <w:bCs/>
      <w:szCs w:val="22"/>
      <w:lang w:val="en-GB" w:eastAsia="zh-CN"/>
    </w:rPr>
  </w:style>
  <w:style w:type="character" w:customStyle="1" w:styleId="Definition6Char">
    <w:name w:val="Definition 6 Char"/>
    <w:basedOn w:val="DefaultParagraphFont"/>
    <w:link w:val="Definition6"/>
    <w:semiHidden/>
    <w:rsid w:val="00F3012E"/>
    <w:rPr>
      <w:rFonts w:asciiTheme="minorHAnsi" w:eastAsia="Times New Roman"/>
      <w:bCs/>
      <w:sz w:val="22"/>
      <w:szCs w:val="22"/>
      <w:lang w:val="en-GB" w:eastAsia="zh-CN"/>
    </w:rPr>
  </w:style>
  <w:style w:type="paragraph" w:customStyle="1" w:styleId="Definition7">
    <w:name w:val="Definition 7"/>
    <w:basedOn w:val="Normal"/>
    <w:next w:val="BodyText"/>
    <w:link w:val="Definition7Char"/>
    <w:semiHidden/>
    <w:rsid w:val="00F3012E"/>
    <w:pPr>
      <w:numPr>
        <w:ilvl w:val="6"/>
        <w:numId w:val="46"/>
      </w:numPr>
      <w:jc w:val="both"/>
    </w:pPr>
    <w:rPr>
      <w:rFonts w:asciiTheme="minorHAnsi" w:eastAsia="Times New Roman"/>
      <w:bCs/>
      <w:szCs w:val="22"/>
      <w:lang w:val="en-GB" w:eastAsia="zh-CN"/>
    </w:rPr>
  </w:style>
  <w:style w:type="character" w:customStyle="1" w:styleId="Definition7Char">
    <w:name w:val="Definition 7 Char"/>
    <w:basedOn w:val="DefaultParagraphFont"/>
    <w:link w:val="Definition7"/>
    <w:semiHidden/>
    <w:rsid w:val="00F3012E"/>
    <w:rPr>
      <w:rFonts w:asciiTheme="minorHAnsi" w:eastAsia="Times New Roman"/>
      <w:bCs/>
      <w:sz w:val="22"/>
      <w:szCs w:val="22"/>
      <w:lang w:val="en-GB" w:eastAsia="zh-CN"/>
    </w:rPr>
  </w:style>
  <w:style w:type="paragraph" w:customStyle="1" w:styleId="Definition8">
    <w:name w:val="Definition 8"/>
    <w:basedOn w:val="Normal"/>
    <w:next w:val="BodyText"/>
    <w:link w:val="Definition8Char"/>
    <w:semiHidden/>
    <w:rsid w:val="00F3012E"/>
    <w:pPr>
      <w:numPr>
        <w:ilvl w:val="7"/>
        <w:numId w:val="46"/>
      </w:numPr>
      <w:jc w:val="both"/>
    </w:pPr>
    <w:rPr>
      <w:rFonts w:asciiTheme="minorHAnsi" w:eastAsia="Times New Roman"/>
      <w:bCs/>
      <w:szCs w:val="22"/>
      <w:lang w:val="en-GB" w:eastAsia="zh-CN"/>
    </w:rPr>
  </w:style>
  <w:style w:type="character" w:customStyle="1" w:styleId="Definition8Char">
    <w:name w:val="Definition 8 Char"/>
    <w:basedOn w:val="DefaultParagraphFont"/>
    <w:link w:val="Definition8"/>
    <w:semiHidden/>
    <w:rsid w:val="00F3012E"/>
    <w:rPr>
      <w:rFonts w:asciiTheme="minorHAnsi" w:eastAsia="Times New Roman"/>
      <w:bCs/>
      <w:sz w:val="22"/>
      <w:szCs w:val="22"/>
      <w:lang w:val="en-GB" w:eastAsia="zh-CN"/>
    </w:rPr>
  </w:style>
  <w:style w:type="paragraph" w:customStyle="1" w:styleId="Definition9">
    <w:name w:val="Definition 9"/>
    <w:basedOn w:val="Normal"/>
    <w:next w:val="BodyText"/>
    <w:link w:val="Definition9Char"/>
    <w:semiHidden/>
    <w:rsid w:val="00F3012E"/>
    <w:pPr>
      <w:numPr>
        <w:ilvl w:val="8"/>
        <w:numId w:val="46"/>
      </w:numPr>
      <w:jc w:val="both"/>
    </w:pPr>
    <w:rPr>
      <w:rFonts w:asciiTheme="minorHAnsi" w:eastAsia="Times New Roman"/>
      <w:bCs/>
      <w:szCs w:val="22"/>
      <w:lang w:val="en-GB" w:eastAsia="zh-CN"/>
    </w:rPr>
  </w:style>
  <w:style w:type="character" w:customStyle="1" w:styleId="Definition9Char">
    <w:name w:val="Definition 9 Char"/>
    <w:basedOn w:val="DefaultParagraphFont"/>
    <w:link w:val="Definition9"/>
    <w:semiHidden/>
    <w:rsid w:val="00F3012E"/>
    <w:rPr>
      <w:rFonts w:asciiTheme="minorHAnsi" w:eastAsia="Times New Roman"/>
      <w:bCs/>
      <w:sz w:val="22"/>
      <w:szCs w:val="22"/>
      <w:lang w:val="en-GB" w:eastAsia="zh-CN"/>
    </w:rPr>
  </w:style>
  <w:style w:type="character" w:customStyle="1" w:styleId="Definition3Char">
    <w:name w:val="Definition 3 Char"/>
    <w:basedOn w:val="DefaultParagraphFont"/>
    <w:link w:val="Definition3"/>
    <w:rsid w:val="00F3012E"/>
    <w:rPr>
      <w:rFonts w:asciiTheme="minorHAnsi" w:eastAsia="Times New Roman"/>
      <w:bCs/>
      <w:sz w:val="22"/>
      <w:szCs w:val="22"/>
      <w:lang w:val="en-GB" w:eastAsia="zh-CN"/>
    </w:rPr>
  </w:style>
  <w:style w:type="character" w:customStyle="1" w:styleId="Definition4Char">
    <w:name w:val="Definition 4 Char"/>
    <w:basedOn w:val="DefaultParagraphFont"/>
    <w:link w:val="Definition4"/>
    <w:rsid w:val="00F3012E"/>
    <w:rPr>
      <w:rFonts w:asciiTheme="minorHAnsi" w:eastAsia="Times New Roman"/>
      <w:bCs/>
      <w:sz w:val="22"/>
      <w:szCs w:val="22"/>
      <w:lang w:val="en-GB" w:eastAsia="zh-CN"/>
    </w:rPr>
  </w:style>
  <w:style w:type="character" w:customStyle="1" w:styleId="Exhibit1Char">
    <w:name w:val="Exhibit 1 Char"/>
    <w:basedOn w:val="DefaultParagraphFont"/>
    <w:link w:val="Exhibit1"/>
    <w:uiPriority w:val="9"/>
    <w:rsid w:val="00F3012E"/>
    <w:rPr>
      <w:rFonts w:asciiTheme="minorHAnsi" w:eastAsiaTheme="minorEastAsia"/>
      <w:b/>
      <w:sz w:val="22"/>
      <w:szCs w:val="22"/>
      <w:lang w:val="en-GB" w:eastAsia="zh-CN"/>
    </w:rPr>
  </w:style>
  <w:style w:type="character" w:customStyle="1" w:styleId="Exhibit2Char">
    <w:name w:val="Exhibit 2 Char"/>
    <w:basedOn w:val="DefaultParagraphFont"/>
    <w:link w:val="Exhibit2"/>
    <w:uiPriority w:val="9"/>
    <w:semiHidden/>
    <w:rsid w:val="00F3012E"/>
    <w:rPr>
      <w:rFonts w:asciiTheme="minorHAnsi" w:eastAsiaTheme="minorEastAsia"/>
      <w:b/>
      <w:sz w:val="22"/>
      <w:szCs w:val="22"/>
      <w:lang w:val="en-GB" w:eastAsia="zh-CN"/>
    </w:rPr>
  </w:style>
  <w:style w:type="character" w:customStyle="1" w:styleId="Exhibit3Char">
    <w:name w:val="Exhibit 3 Char"/>
    <w:basedOn w:val="DefaultParagraphFont"/>
    <w:link w:val="Exhibit3"/>
    <w:uiPriority w:val="9"/>
    <w:semiHidden/>
    <w:rsid w:val="00F3012E"/>
    <w:rPr>
      <w:rFonts w:asciiTheme="minorHAnsi" w:eastAsiaTheme="minorEastAsia"/>
      <w:b/>
      <w:sz w:val="22"/>
      <w:szCs w:val="22"/>
      <w:lang w:val="en-GB" w:eastAsia="zh-CN"/>
    </w:rPr>
  </w:style>
  <w:style w:type="character" w:customStyle="1" w:styleId="Exhibit4Char">
    <w:name w:val="Exhibit 4 Char"/>
    <w:basedOn w:val="DefaultParagraphFont"/>
    <w:link w:val="Exhibit4"/>
    <w:uiPriority w:val="98"/>
    <w:semiHidden/>
    <w:rsid w:val="00F3012E"/>
    <w:rPr>
      <w:rFonts w:asciiTheme="minorHAnsi" w:eastAsiaTheme="minorEastAsia"/>
      <w:b/>
      <w:sz w:val="22"/>
      <w:szCs w:val="22"/>
      <w:lang w:val="en-GB" w:eastAsia="zh-CN"/>
    </w:rPr>
  </w:style>
  <w:style w:type="character" w:customStyle="1" w:styleId="Exhibit5Char">
    <w:name w:val="Exhibit 5 Char"/>
    <w:basedOn w:val="DefaultParagraphFont"/>
    <w:link w:val="Exhibit5"/>
    <w:uiPriority w:val="98"/>
    <w:semiHidden/>
    <w:rsid w:val="00F3012E"/>
    <w:rPr>
      <w:rFonts w:asciiTheme="minorHAnsi" w:eastAsiaTheme="minorEastAsia"/>
      <w:sz w:val="22"/>
      <w:szCs w:val="22"/>
      <w:lang w:val="en-GB" w:eastAsia="zh-CN"/>
    </w:rPr>
  </w:style>
  <w:style w:type="character" w:customStyle="1" w:styleId="Exhibit6Char">
    <w:name w:val="Exhibit 6 Char"/>
    <w:basedOn w:val="DefaultParagraphFont"/>
    <w:link w:val="Exhibit6"/>
    <w:uiPriority w:val="98"/>
    <w:semiHidden/>
    <w:rsid w:val="00F3012E"/>
    <w:rPr>
      <w:rFonts w:asciiTheme="minorHAnsi" w:eastAsiaTheme="minorEastAsia"/>
      <w:sz w:val="22"/>
      <w:szCs w:val="22"/>
      <w:lang w:val="en-GB" w:eastAsia="zh-CN"/>
    </w:rPr>
  </w:style>
  <w:style w:type="character" w:customStyle="1" w:styleId="Exhibit7Char">
    <w:name w:val="Exhibit 7 Char"/>
    <w:basedOn w:val="DefaultParagraphFont"/>
    <w:link w:val="Exhibit7"/>
    <w:uiPriority w:val="98"/>
    <w:semiHidden/>
    <w:rsid w:val="00F3012E"/>
    <w:rPr>
      <w:rFonts w:asciiTheme="minorHAnsi" w:eastAsiaTheme="minorEastAsia"/>
      <w:sz w:val="22"/>
      <w:szCs w:val="22"/>
      <w:lang w:val="en-GB" w:eastAsia="zh-CN"/>
    </w:rPr>
  </w:style>
  <w:style w:type="character" w:customStyle="1" w:styleId="Exhibit8Char">
    <w:name w:val="Exhibit 8 Char"/>
    <w:basedOn w:val="DefaultParagraphFont"/>
    <w:link w:val="Exhibit8"/>
    <w:uiPriority w:val="98"/>
    <w:semiHidden/>
    <w:rsid w:val="00F3012E"/>
    <w:rPr>
      <w:rFonts w:asciiTheme="minorHAnsi" w:eastAsiaTheme="minorEastAsia"/>
      <w:sz w:val="22"/>
      <w:szCs w:val="22"/>
      <w:lang w:val="en-GB" w:eastAsia="zh-CN"/>
    </w:rPr>
  </w:style>
  <w:style w:type="character" w:customStyle="1" w:styleId="Exhibit9Char">
    <w:name w:val="Exhibit 9 Char"/>
    <w:basedOn w:val="DefaultParagraphFont"/>
    <w:link w:val="Exhibit9"/>
    <w:uiPriority w:val="98"/>
    <w:semiHidden/>
    <w:rsid w:val="00F3012E"/>
    <w:rPr>
      <w:rFonts w:asciiTheme="minorHAnsi" w:eastAsiaTheme="minorEastAsia"/>
      <w:sz w:val="22"/>
      <w:szCs w:val="22"/>
      <w:lang w:val="en-GB" w:eastAsia="zh-CN"/>
    </w:rPr>
  </w:style>
  <w:style w:type="character" w:customStyle="1" w:styleId="Annexure1Char">
    <w:name w:val="Annexure 1 Char"/>
    <w:basedOn w:val="DefaultParagraphFont"/>
    <w:link w:val="Annexure1"/>
    <w:uiPriority w:val="9"/>
    <w:rsid w:val="00F3012E"/>
    <w:rPr>
      <w:rFonts w:asciiTheme="minorHAnsi" w:eastAsiaTheme="minorEastAsia"/>
      <w:b/>
      <w:sz w:val="22"/>
      <w:szCs w:val="22"/>
      <w:lang w:val="en-GB" w:eastAsia="zh-CN"/>
    </w:rPr>
  </w:style>
  <w:style w:type="character" w:customStyle="1" w:styleId="Annexure2Char">
    <w:name w:val="Annexure 2 Char"/>
    <w:basedOn w:val="DefaultParagraphFont"/>
    <w:link w:val="Annexure2"/>
    <w:uiPriority w:val="9"/>
    <w:semiHidden/>
    <w:rsid w:val="00F3012E"/>
    <w:rPr>
      <w:rFonts w:asciiTheme="minorHAnsi" w:eastAsiaTheme="minorEastAsia"/>
      <w:b/>
      <w:sz w:val="22"/>
      <w:szCs w:val="22"/>
      <w:lang w:val="en-GB" w:eastAsia="zh-CN"/>
    </w:rPr>
  </w:style>
  <w:style w:type="character" w:customStyle="1" w:styleId="Annexure3Char">
    <w:name w:val="Annexure 3 Char"/>
    <w:basedOn w:val="DefaultParagraphFont"/>
    <w:link w:val="Annexure3"/>
    <w:uiPriority w:val="9"/>
    <w:semiHidden/>
    <w:rsid w:val="00F3012E"/>
    <w:rPr>
      <w:rFonts w:asciiTheme="minorHAnsi" w:eastAsiaTheme="minorEastAsia"/>
      <w:b/>
      <w:sz w:val="22"/>
      <w:szCs w:val="22"/>
      <w:lang w:val="en-GB" w:eastAsia="zh-CN"/>
    </w:rPr>
  </w:style>
  <w:style w:type="character" w:customStyle="1" w:styleId="Annexure4Char">
    <w:name w:val="Annexure 4 Char"/>
    <w:basedOn w:val="DefaultParagraphFont"/>
    <w:link w:val="Annexure4"/>
    <w:uiPriority w:val="98"/>
    <w:semiHidden/>
    <w:rsid w:val="00F3012E"/>
    <w:rPr>
      <w:rFonts w:asciiTheme="minorHAnsi" w:eastAsiaTheme="minorEastAsia"/>
      <w:b/>
      <w:sz w:val="22"/>
      <w:szCs w:val="22"/>
      <w:lang w:val="en-GB" w:eastAsia="zh-CN"/>
    </w:rPr>
  </w:style>
  <w:style w:type="character" w:customStyle="1" w:styleId="Annexure5Char">
    <w:name w:val="Annexure 5 Char"/>
    <w:basedOn w:val="DefaultParagraphFont"/>
    <w:link w:val="Annexure5"/>
    <w:uiPriority w:val="98"/>
    <w:semiHidden/>
    <w:rsid w:val="00F3012E"/>
    <w:rPr>
      <w:rFonts w:asciiTheme="minorHAnsi" w:eastAsiaTheme="minorEastAsia"/>
      <w:sz w:val="22"/>
      <w:szCs w:val="22"/>
      <w:lang w:val="en-GB" w:eastAsia="zh-CN"/>
    </w:rPr>
  </w:style>
  <w:style w:type="character" w:customStyle="1" w:styleId="Annexure6Char">
    <w:name w:val="Annexure 6 Char"/>
    <w:basedOn w:val="DefaultParagraphFont"/>
    <w:link w:val="Annexure6"/>
    <w:uiPriority w:val="98"/>
    <w:semiHidden/>
    <w:rsid w:val="00F3012E"/>
    <w:rPr>
      <w:rFonts w:asciiTheme="minorHAnsi" w:eastAsiaTheme="minorEastAsia"/>
      <w:sz w:val="22"/>
      <w:szCs w:val="22"/>
      <w:lang w:val="en-GB" w:eastAsia="zh-CN"/>
    </w:rPr>
  </w:style>
  <w:style w:type="character" w:customStyle="1" w:styleId="Annexure7Char">
    <w:name w:val="Annexure 7 Char"/>
    <w:basedOn w:val="DefaultParagraphFont"/>
    <w:link w:val="Annexure7"/>
    <w:uiPriority w:val="98"/>
    <w:semiHidden/>
    <w:rsid w:val="00F3012E"/>
    <w:rPr>
      <w:rFonts w:asciiTheme="minorHAnsi" w:eastAsiaTheme="minorEastAsia"/>
      <w:sz w:val="22"/>
      <w:szCs w:val="22"/>
      <w:lang w:val="en-GB" w:eastAsia="zh-CN"/>
    </w:rPr>
  </w:style>
  <w:style w:type="character" w:customStyle="1" w:styleId="Annexure8Char">
    <w:name w:val="Annexure 8 Char"/>
    <w:basedOn w:val="DefaultParagraphFont"/>
    <w:link w:val="Annexure8"/>
    <w:uiPriority w:val="98"/>
    <w:semiHidden/>
    <w:rsid w:val="00F3012E"/>
    <w:rPr>
      <w:rFonts w:asciiTheme="minorHAnsi" w:eastAsiaTheme="minorEastAsia"/>
      <w:sz w:val="22"/>
      <w:szCs w:val="22"/>
      <w:lang w:val="en-GB" w:eastAsia="zh-CN"/>
    </w:rPr>
  </w:style>
  <w:style w:type="character" w:customStyle="1" w:styleId="Annexure9Char">
    <w:name w:val="Annexure 9 Char"/>
    <w:basedOn w:val="DefaultParagraphFont"/>
    <w:link w:val="Annexure9"/>
    <w:uiPriority w:val="98"/>
    <w:semiHidden/>
    <w:rsid w:val="00F3012E"/>
    <w:rPr>
      <w:rFonts w:asciiTheme="minorHAnsi" w:eastAsiaTheme="minorEastAsia"/>
      <w:sz w:val="22"/>
      <w:szCs w:val="22"/>
      <w:lang w:val="en-GB" w:eastAsia="zh-CN"/>
    </w:rPr>
  </w:style>
  <w:style w:type="character" w:customStyle="1" w:styleId="PartiesRecitals1Char">
    <w:name w:val="Parties/Recitals 1 Char"/>
    <w:basedOn w:val="DefaultParagraphFont"/>
    <w:link w:val="PartiesRecitals1"/>
    <w:uiPriority w:val="98"/>
    <w:rsid w:val="00F3012E"/>
    <w:rPr>
      <w:rFonts w:asciiTheme="minorHAnsi" w:eastAsia="Times New Roman"/>
      <w:bCs/>
      <w:sz w:val="22"/>
      <w:szCs w:val="28"/>
      <w:lang w:val="en-GB" w:eastAsia="zh-CN"/>
    </w:rPr>
  </w:style>
  <w:style w:type="character" w:customStyle="1" w:styleId="PartiesRecitals2Char">
    <w:name w:val="Parties/Recitals 2 Char"/>
    <w:basedOn w:val="DefaultParagraphFont"/>
    <w:link w:val="PartiesRecitals2"/>
    <w:uiPriority w:val="98"/>
    <w:rsid w:val="00F3012E"/>
    <w:rPr>
      <w:rFonts w:asciiTheme="minorHAnsi" w:eastAsia="Times New Roman"/>
      <w:bCs/>
      <w:sz w:val="22"/>
      <w:szCs w:val="28"/>
      <w:lang w:val="en-GB" w:eastAsia="zh-CN"/>
    </w:rPr>
  </w:style>
  <w:style w:type="character" w:customStyle="1" w:styleId="SchH1Char">
    <w:name w:val="SchH 1 Char"/>
    <w:basedOn w:val="DefaultParagraphFont"/>
    <w:link w:val="SchH1"/>
    <w:uiPriority w:val="98"/>
    <w:rsid w:val="00F3012E"/>
    <w:rPr>
      <w:rFonts w:asciiTheme="minorHAnsi" w:eastAsia="Times New Roman"/>
      <w:b/>
      <w:bCs/>
      <w:sz w:val="22"/>
      <w:szCs w:val="28"/>
      <w:lang w:val="en-GB" w:eastAsia="zh-CN"/>
    </w:rPr>
  </w:style>
  <w:style w:type="character" w:customStyle="1" w:styleId="SchH2Char">
    <w:name w:val="SchH 2 Char"/>
    <w:basedOn w:val="DefaultParagraphFont"/>
    <w:link w:val="SchH2"/>
    <w:uiPriority w:val="98"/>
    <w:rsid w:val="00F3012E"/>
    <w:rPr>
      <w:rFonts w:asciiTheme="minorHAnsi" w:eastAsia="Times New Roman"/>
      <w:b/>
      <w:bCs/>
      <w:sz w:val="22"/>
      <w:szCs w:val="28"/>
      <w:lang w:val="en-GB" w:eastAsia="zh-CN"/>
    </w:rPr>
  </w:style>
  <w:style w:type="character" w:customStyle="1" w:styleId="SchH3Char">
    <w:name w:val="SchH 3 Char"/>
    <w:basedOn w:val="DefaultParagraphFont"/>
    <w:link w:val="SchH3"/>
    <w:uiPriority w:val="98"/>
    <w:rsid w:val="00F3012E"/>
    <w:rPr>
      <w:rFonts w:asciiTheme="minorHAnsi" w:eastAsia="Times New Roman"/>
      <w:b/>
      <w:bCs/>
      <w:sz w:val="22"/>
      <w:szCs w:val="28"/>
      <w:lang w:val="en-GB" w:eastAsia="zh-CN"/>
    </w:rPr>
  </w:style>
  <w:style w:type="character" w:customStyle="1" w:styleId="SchH4Char">
    <w:name w:val="SchH 4 Char"/>
    <w:basedOn w:val="DefaultParagraphFont"/>
    <w:link w:val="SchH4"/>
    <w:uiPriority w:val="98"/>
    <w:rsid w:val="00F3012E"/>
    <w:rPr>
      <w:rFonts w:asciiTheme="minorHAnsi" w:eastAsia="Times New Roman"/>
      <w:b/>
      <w:bCs/>
      <w:sz w:val="22"/>
      <w:szCs w:val="28"/>
      <w:lang w:val="en-GB" w:eastAsia="zh-CN"/>
    </w:rPr>
  </w:style>
  <w:style w:type="character" w:customStyle="1" w:styleId="SchH5Char">
    <w:name w:val="SchH 5 Char"/>
    <w:basedOn w:val="DefaultParagraphFont"/>
    <w:link w:val="SchH5"/>
    <w:uiPriority w:val="98"/>
    <w:rsid w:val="00F3012E"/>
    <w:rPr>
      <w:rFonts w:asciiTheme="minorHAnsi" w:eastAsia="Times New Roman"/>
      <w:bCs/>
      <w:sz w:val="22"/>
      <w:szCs w:val="28"/>
      <w:lang w:val="en-GB" w:eastAsia="zh-CN"/>
    </w:rPr>
  </w:style>
  <w:style w:type="character" w:customStyle="1" w:styleId="SchH6Char">
    <w:name w:val="SchH 6 Char"/>
    <w:basedOn w:val="DefaultParagraphFont"/>
    <w:link w:val="SchH6"/>
    <w:uiPriority w:val="98"/>
    <w:rsid w:val="00F3012E"/>
    <w:rPr>
      <w:rFonts w:asciiTheme="minorHAnsi" w:eastAsia="Times New Roman"/>
      <w:bCs/>
      <w:sz w:val="22"/>
      <w:szCs w:val="28"/>
      <w:lang w:val="en-GB" w:eastAsia="zh-CN"/>
    </w:rPr>
  </w:style>
  <w:style w:type="character" w:customStyle="1" w:styleId="SchH7Char">
    <w:name w:val="SchH 7 Char"/>
    <w:basedOn w:val="DefaultParagraphFont"/>
    <w:link w:val="SchH7"/>
    <w:uiPriority w:val="98"/>
    <w:rsid w:val="00F3012E"/>
    <w:rPr>
      <w:rFonts w:asciiTheme="minorHAnsi" w:eastAsia="Times New Roman"/>
      <w:bCs/>
      <w:sz w:val="22"/>
      <w:szCs w:val="28"/>
      <w:lang w:val="en-GB" w:eastAsia="zh-CN"/>
    </w:rPr>
  </w:style>
  <w:style w:type="character" w:customStyle="1" w:styleId="SchH8Char">
    <w:name w:val="SchH 8 Char"/>
    <w:basedOn w:val="DefaultParagraphFont"/>
    <w:link w:val="SchH8"/>
    <w:uiPriority w:val="98"/>
    <w:rsid w:val="00F3012E"/>
    <w:rPr>
      <w:rFonts w:asciiTheme="minorHAnsi" w:eastAsia="Times New Roman"/>
      <w:bCs/>
      <w:sz w:val="22"/>
      <w:szCs w:val="28"/>
      <w:lang w:val="en-GB" w:eastAsia="zh-CN"/>
    </w:rPr>
  </w:style>
  <w:style w:type="character" w:customStyle="1" w:styleId="SchH9Char">
    <w:name w:val="SchH 9 Char"/>
    <w:basedOn w:val="DefaultParagraphFont"/>
    <w:link w:val="SchH9"/>
    <w:uiPriority w:val="98"/>
    <w:rsid w:val="00F3012E"/>
    <w:rPr>
      <w:rFonts w:asciiTheme="minorHAnsi" w:eastAsia="Times New Roman"/>
      <w:bCs/>
      <w:sz w:val="22"/>
      <w:szCs w:val="28"/>
      <w:lang w:val="en-GB" w:eastAsia="zh-CN"/>
    </w:rPr>
  </w:style>
  <w:style w:type="character" w:customStyle="1" w:styleId="SectionChar">
    <w:name w:val="Section Char"/>
    <w:basedOn w:val="DefaultParagraphFont"/>
    <w:link w:val="Section"/>
    <w:uiPriority w:val="7"/>
    <w:rsid w:val="00F3012E"/>
    <w:rPr>
      <w:rFonts w:eastAsia="Times New Roman"/>
      <w:b/>
      <w:bCs/>
      <w:sz w:val="22"/>
      <w:szCs w:val="28"/>
      <w:lang w:val="en-GB" w:eastAsia="zh-CN"/>
    </w:rPr>
  </w:style>
  <w:style w:type="numbering" w:customStyle="1" w:styleId="BMSchedules0">
    <w:name w:val="BMSchedules"/>
    <w:rsid w:val="00F3012E"/>
  </w:style>
  <w:style w:type="numbering" w:customStyle="1" w:styleId="1111110">
    <w:name w:val="111111"/>
    <w:rsid w:val="00F3012E"/>
    <w:pPr>
      <w:numPr>
        <w:numId w:val="31"/>
      </w:numPr>
    </w:pPr>
  </w:style>
  <w:style w:type="numbering" w:customStyle="1" w:styleId="BMIndents">
    <w:name w:val="BMIndents"/>
    <w:rsid w:val="00F3012E"/>
    <w:pPr>
      <w:numPr>
        <w:numId w:val="32"/>
      </w:numPr>
    </w:pPr>
  </w:style>
  <w:style w:type="numbering" w:customStyle="1" w:styleId="BMHeadings0">
    <w:name w:val="BMHeadings"/>
    <w:rsid w:val="00F3012E"/>
  </w:style>
  <w:style w:type="numbering" w:customStyle="1" w:styleId="BMListNumbers0">
    <w:name w:val="BMListNumbers"/>
    <w:rsid w:val="00F3012E"/>
  </w:style>
  <w:style w:type="numbering" w:customStyle="1" w:styleId="BMDefinitions0">
    <w:name w:val="BMDefinitions"/>
    <w:rsid w:val="00F3012E"/>
  </w:style>
  <w:style w:type="numbering" w:customStyle="1" w:styleId="1ai">
    <w:name w:val="1ai"/>
    <w:rsid w:val="00F3012E"/>
    <w:pPr>
      <w:numPr>
        <w:numId w:val="29"/>
      </w:numPr>
    </w:pPr>
  </w:style>
  <w:style w:type="numbering" w:customStyle="1" w:styleId="ArticleSection">
    <w:name w:val="ArticleSection"/>
    <w:rsid w:val="00F3012E"/>
    <w:pPr>
      <w:numPr>
        <w:numId w:val="30"/>
      </w:numPr>
    </w:pPr>
  </w:style>
  <w:style w:type="table" w:customStyle="1" w:styleId="TableHorizontalShaded">
    <w:name w:val="Table Horizontal Shaded"/>
    <w:basedOn w:val="TableNormal"/>
    <w:rsid w:val="00F3012E"/>
    <w:rPr>
      <w:rFonts w:ascii="Arial" w:eastAsia="Times New Roman" w:hAnsi="Arial"/>
      <w:lang w:eastAsia="zh-CN"/>
    </w:rPr>
    <w:tblPr>
      <w:tblInd w:w="113" w:type="dxa"/>
      <w:tblBorders>
        <w:top w:val="single" w:sz="4" w:space="0" w:color="A2AD00" w:themeColor="accent4"/>
        <w:bottom w:val="single" w:sz="4" w:space="0" w:color="A2AD00" w:themeColor="accent4"/>
        <w:insideH w:val="single" w:sz="4" w:space="0" w:color="A2AD00" w:themeColor="accent4"/>
        <w:insideV w:val="single" w:sz="4" w:space="0" w:color="A2AD00"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A2AD00"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81">
      <w:bodyDiv w:val="1"/>
      <w:marLeft w:val="0"/>
      <w:marRight w:val="0"/>
      <w:marTop w:val="0"/>
      <w:marBottom w:val="0"/>
      <w:divBdr>
        <w:top w:val="none" w:sz="0" w:space="0" w:color="auto"/>
        <w:left w:val="none" w:sz="0" w:space="0" w:color="auto"/>
        <w:bottom w:val="none" w:sz="0" w:space="0" w:color="auto"/>
        <w:right w:val="none" w:sz="0" w:space="0" w:color="auto"/>
      </w:divBdr>
    </w:div>
    <w:div w:id="44646110">
      <w:bodyDiv w:val="1"/>
      <w:marLeft w:val="0"/>
      <w:marRight w:val="0"/>
      <w:marTop w:val="0"/>
      <w:marBottom w:val="0"/>
      <w:divBdr>
        <w:top w:val="none" w:sz="0" w:space="0" w:color="auto"/>
        <w:left w:val="none" w:sz="0" w:space="0" w:color="auto"/>
        <w:bottom w:val="none" w:sz="0" w:space="0" w:color="auto"/>
        <w:right w:val="none" w:sz="0" w:space="0" w:color="auto"/>
      </w:divBdr>
    </w:div>
    <w:div w:id="58863517">
      <w:bodyDiv w:val="1"/>
      <w:marLeft w:val="0"/>
      <w:marRight w:val="0"/>
      <w:marTop w:val="0"/>
      <w:marBottom w:val="0"/>
      <w:divBdr>
        <w:top w:val="none" w:sz="0" w:space="0" w:color="auto"/>
        <w:left w:val="none" w:sz="0" w:space="0" w:color="auto"/>
        <w:bottom w:val="none" w:sz="0" w:space="0" w:color="auto"/>
        <w:right w:val="none" w:sz="0" w:space="0" w:color="auto"/>
      </w:divBdr>
    </w:div>
    <w:div w:id="107282580">
      <w:bodyDiv w:val="1"/>
      <w:marLeft w:val="0"/>
      <w:marRight w:val="0"/>
      <w:marTop w:val="0"/>
      <w:marBottom w:val="0"/>
      <w:divBdr>
        <w:top w:val="none" w:sz="0" w:space="0" w:color="auto"/>
        <w:left w:val="none" w:sz="0" w:space="0" w:color="auto"/>
        <w:bottom w:val="none" w:sz="0" w:space="0" w:color="auto"/>
        <w:right w:val="none" w:sz="0" w:space="0" w:color="auto"/>
      </w:divBdr>
    </w:div>
    <w:div w:id="115762459">
      <w:bodyDiv w:val="1"/>
      <w:marLeft w:val="0"/>
      <w:marRight w:val="0"/>
      <w:marTop w:val="0"/>
      <w:marBottom w:val="0"/>
      <w:divBdr>
        <w:top w:val="none" w:sz="0" w:space="0" w:color="auto"/>
        <w:left w:val="none" w:sz="0" w:space="0" w:color="auto"/>
        <w:bottom w:val="none" w:sz="0" w:space="0" w:color="auto"/>
        <w:right w:val="none" w:sz="0" w:space="0" w:color="auto"/>
      </w:divBdr>
    </w:div>
    <w:div w:id="126438430">
      <w:bodyDiv w:val="1"/>
      <w:marLeft w:val="0"/>
      <w:marRight w:val="0"/>
      <w:marTop w:val="0"/>
      <w:marBottom w:val="0"/>
      <w:divBdr>
        <w:top w:val="none" w:sz="0" w:space="0" w:color="auto"/>
        <w:left w:val="none" w:sz="0" w:space="0" w:color="auto"/>
        <w:bottom w:val="none" w:sz="0" w:space="0" w:color="auto"/>
        <w:right w:val="none" w:sz="0" w:space="0" w:color="auto"/>
      </w:divBdr>
    </w:div>
    <w:div w:id="167989781">
      <w:bodyDiv w:val="1"/>
      <w:marLeft w:val="0"/>
      <w:marRight w:val="0"/>
      <w:marTop w:val="0"/>
      <w:marBottom w:val="0"/>
      <w:divBdr>
        <w:top w:val="none" w:sz="0" w:space="0" w:color="auto"/>
        <w:left w:val="none" w:sz="0" w:space="0" w:color="auto"/>
        <w:bottom w:val="none" w:sz="0" w:space="0" w:color="auto"/>
        <w:right w:val="none" w:sz="0" w:space="0" w:color="auto"/>
      </w:divBdr>
    </w:div>
    <w:div w:id="184639718">
      <w:bodyDiv w:val="1"/>
      <w:marLeft w:val="0"/>
      <w:marRight w:val="0"/>
      <w:marTop w:val="0"/>
      <w:marBottom w:val="0"/>
      <w:divBdr>
        <w:top w:val="none" w:sz="0" w:space="0" w:color="auto"/>
        <w:left w:val="none" w:sz="0" w:space="0" w:color="auto"/>
        <w:bottom w:val="none" w:sz="0" w:space="0" w:color="auto"/>
        <w:right w:val="none" w:sz="0" w:space="0" w:color="auto"/>
      </w:divBdr>
    </w:div>
    <w:div w:id="199557796">
      <w:bodyDiv w:val="1"/>
      <w:marLeft w:val="0"/>
      <w:marRight w:val="0"/>
      <w:marTop w:val="0"/>
      <w:marBottom w:val="0"/>
      <w:divBdr>
        <w:top w:val="none" w:sz="0" w:space="0" w:color="auto"/>
        <w:left w:val="none" w:sz="0" w:space="0" w:color="auto"/>
        <w:bottom w:val="none" w:sz="0" w:space="0" w:color="auto"/>
        <w:right w:val="none" w:sz="0" w:space="0" w:color="auto"/>
      </w:divBdr>
    </w:div>
    <w:div w:id="202838679">
      <w:bodyDiv w:val="1"/>
      <w:marLeft w:val="0"/>
      <w:marRight w:val="0"/>
      <w:marTop w:val="0"/>
      <w:marBottom w:val="0"/>
      <w:divBdr>
        <w:top w:val="none" w:sz="0" w:space="0" w:color="auto"/>
        <w:left w:val="none" w:sz="0" w:space="0" w:color="auto"/>
        <w:bottom w:val="none" w:sz="0" w:space="0" w:color="auto"/>
        <w:right w:val="none" w:sz="0" w:space="0" w:color="auto"/>
      </w:divBdr>
    </w:div>
    <w:div w:id="231699055">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320427635">
      <w:bodyDiv w:val="1"/>
      <w:marLeft w:val="0"/>
      <w:marRight w:val="0"/>
      <w:marTop w:val="0"/>
      <w:marBottom w:val="0"/>
      <w:divBdr>
        <w:top w:val="none" w:sz="0" w:space="0" w:color="auto"/>
        <w:left w:val="none" w:sz="0" w:space="0" w:color="auto"/>
        <w:bottom w:val="none" w:sz="0" w:space="0" w:color="auto"/>
        <w:right w:val="none" w:sz="0" w:space="0" w:color="auto"/>
      </w:divBdr>
    </w:div>
    <w:div w:id="327483785">
      <w:bodyDiv w:val="1"/>
      <w:marLeft w:val="0"/>
      <w:marRight w:val="0"/>
      <w:marTop w:val="0"/>
      <w:marBottom w:val="0"/>
      <w:divBdr>
        <w:top w:val="none" w:sz="0" w:space="0" w:color="auto"/>
        <w:left w:val="none" w:sz="0" w:space="0" w:color="auto"/>
        <w:bottom w:val="none" w:sz="0" w:space="0" w:color="auto"/>
        <w:right w:val="none" w:sz="0" w:space="0" w:color="auto"/>
      </w:divBdr>
    </w:div>
    <w:div w:id="342441076">
      <w:bodyDiv w:val="1"/>
      <w:marLeft w:val="0"/>
      <w:marRight w:val="0"/>
      <w:marTop w:val="0"/>
      <w:marBottom w:val="0"/>
      <w:divBdr>
        <w:top w:val="none" w:sz="0" w:space="0" w:color="auto"/>
        <w:left w:val="none" w:sz="0" w:space="0" w:color="auto"/>
        <w:bottom w:val="none" w:sz="0" w:space="0" w:color="auto"/>
        <w:right w:val="none" w:sz="0" w:space="0" w:color="auto"/>
      </w:divBdr>
    </w:div>
    <w:div w:id="345597638">
      <w:bodyDiv w:val="1"/>
      <w:marLeft w:val="0"/>
      <w:marRight w:val="0"/>
      <w:marTop w:val="0"/>
      <w:marBottom w:val="0"/>
      <w:divBdr>
        <w:top w:val="none" w:sz="0" w:space="0" w:color="auto"/>
        <w:left w:val="none" w:sz="0" w:space="0" w:color="auto"/>
        <w:bottom w:val="none" w:sz="0" w:space="0" w:color="auto"/>
        <w:right w:val="none" w:sz="0" w:space="0" w:color="auto"/>
      </w:divBdr>
    </w:div>
    <w:div w:id="359471699">
      <w:bodyDiv w:val="1"/>
      <w:marLeft w:val="0"/>
      <w:marRight w:val="0"/>
      <w:marTop w:val="0"/>
      <w:marBottom w:val="0"/>
      <w:divBdr>
        <w:top w:val="none" w:sz="0" w:space="0" w:color="auto"/>
        <w:left w:val="none" w:sz="0" w:space="0" w:color="auto"/>
        <w:bottom w:val="none" w:sz="0" w:space="0" w:color="auto"/>
        <w:right w:val="none" w:sz="0" w:space="0" w:color="auto"/>
      </w:divBdr>
    </w:div>
    <w:div w:id="423305537">
      <w:bodyDiv w:val="1"/>
      <w:marLeft w:val="0"/>
      <w:marRight w:val="0"/>
      <w:marTop w:val="0"/>
      <w:marBottom w:val="0"/>
      <w:divBdr>
        <w:top w:val="none" w:sz="0" w:space="0" w:color="auto"/>
        <w:left w:val="none" w:sz="0" w:space="0" w:color="auto"/>
        <w:bottom w:val="none" w:sz="0" w:space="0" w:color="auto"/>
        <w:right w:val="none" w:sz="0" w:space="0" w:color="auto"/>
      </w:divBdr>
    </w:div>
    <w:div w:id="442070536">
      <w:bodyDiv w:val="1"/>
      <w:marLeft w:val="0"/>
      <w:marRight w:val="0"/>
      <w:marTop w:val="0"/>
      <w:marBottom w:val="0"/>
      <w:divBdr>
        <w:top w:val="none" w:sz="0" w:space="0" w:color="auto"/>
        <w:left w:val="none" w:sz="0" w:space="0" w:color="auto"/>
        <w:bottom w:val="none" w:sz="0" w:space="0" w:color="auto"/>
        <w:right w:val="none" w:sz="0" w:space="0" w:color="auto"/>
      </w:divBdr>
    </w:div>
    <w:div w:id="471026719">
      <w:bodyDiv w:val="1"/>
      <w:marLeft w:val="0"/>
      <w:marRight w:val="0"/>
      <w:marTop w:val="0"/>
      <w:marBottom w:val="0"/>
      <w:divBdr>
        <w:top w:val="none" w:sz="0" w:space="0" w:color="auto"/>
        <w:left w:val="none" w:sz="0" w:space="0" w:color="auto"/>
        <w:bottom w:val="none" w:sz="0" w:space="0" w:color="auto"/>
        <w:right w:val="none" w:sz="0" w:space="0" w:color="auto"/>
      </w:divBdr>
    </w:div>
    <w:div w:id="490803366">
      <w:bodyDiv w:val="1"/>
      <w:marLeft w:val="0"/>
      <w:marRight w:val="0"/>
      <w:marTop w:val="0"/>
      <w:marBottom w:val="0"/>
      <w:divBdr>
        <w:top w:val="none" w:sz="0" w:space="0" w:color="auto"/>
        <w:left w:val="none" w:sz="0" w:space="0" w:color="auto"/>
        <w:bottom w:val="none" w:sz="0" w:space="0" w:color="auto"/>
        <w:right w:val="none" w:sz="0" w:space="0" w:color="auto"/>
      </w:divBdr>
    </w:div>
    <w:div w:id="513113980">
      <w:bodyDiv w:val="1"/>
      <w:marLeft w:val="0"/>
      <w:marRight w:val="0"/>
      <w:marTop w:val="0"/>
      <w:marBottom w:val="0"/>
      <w:divBdr>
        <w:top w:val="none" w:sz="0" w:space="0" w:color="auto"/>
        <w:left w:val="none" w:sz="0" w:space="0" w:color="auto"/>
        <w:bottom w:val="none" w:sz="0" w:space="0" w:color="auto"/>
        <w:right w:val="none" w:sz="0" w:space="0" w:color="auto"/>
      </w:divBdr>
    </w:div>
    <w:div w:id="527183682">
      <w:bodyDiv w:val="1"/>
      <w:marLeft w:val="0"/>
      <w:marRight w:val="0"/>
      <w:marTop w:val="0"/>
      <w:marBottom w:val="0"/>
      <w:divBdr>
        <w:top w:val="none" w:sz="0" w:space="0" w:color="auto"/>
        <w:left w:val="none" w:sz="0" w:space="0" w:color="auto"/>
        <w:bottom w:val="none" w:sz="0" w:space="0" w:color="auto"/>
        <w:right w:val="none" w:sz="0" w:space="0" w:color="auto"/>
      </w:divBdr>
    </w:div>
    <w:div w:id="535579566">
      <w:bodyDiv w:val="1"/>
      <w:marLeft w:val="0"/>
      <w:marRight w:val="0"/>
      <w:marTop w:val="0"/>
      <w:marBottom w:val="0"/>
      <w:divBdr>
        <w:top w:val="none" w:sz="0" w:space="0" w:color="auto"/>
        <w:left w:val="none" w:sz="0" w:space="0" w:color="auto"/>
        <w:bottom w:val="none" w:sz="0" w:space="0" w:color="auto"/>
        <w:right w:val="none" w:sz="0" w:space="0" w:color="auto"/>
      </w:divBdr>
    </w:div>
    <w:div w:id="601766130">
      <w:bodyDiv w:val="1"/>
      <w:marLeft w:val="0"/>
      <w:marRight w:val="0"/>
      <w:marTop w:val="0"/>
      <w:marBottom w:val="0"/>
      <w:divBdr>
        <w:top w:val="none" w:sz="0" w:space="0" w:color="auto"/>
        <w:left w:val="none" w:sz="0" w:space="0" w:color="auto"/>
        <w:bottom w:val="none" w:sz="0" w:space="0" w:color="auto"/>
        <w:right w:val="none" w:sz="0" w:space="0" w:color="auto"/>
      </w:divBdr>
    </w:div>
    <w:div w:id="671878824">
      <w:bodyDiv w:val="1"/>
      <w:marLeft w:val="0"/>
      <w:marRight w:val="0"/>
      <w:marTop w:val="0"/>
      <w:marBottom w:val="0"/>
      <w:divBdr>
        <w:top w:val="none" w:sz="0" w:space="0" w:color="auto"/>
        <w:left w:val="none" w:sz="0" w:space="0" w:color="auto"/>
        <w:bottom w:val="none" w:sz="0" w:space="0" w:color="auto"/>
        <w:right w:val="none" w:sz="0" w:space="0" w:color="auto"/>
      </w:divBdr>
    </w:div>
    <w:div w:id="682784614">
      <w:bodyDiv w:val="1"/>
      <w:marLeft w:val="0"/>
      <w:marRight w:val="0"/>
      <w:marTop w:val="0"/>
      <w:marBottom w:val="0"/>
      <w:divBdr>
        <w:top w:val="none" w:sz="0" w:space="0" w:color="auto"/>
        <w:left w:val="none" w:sz="0" w:space="0" w:color="auto"/>
        <w:bottom w:val="none" w:sz="0" w:space="0" w:color="auto"/>
        <w:right w:val="none" w:sz="0" w:space="0" w:color="auto"/>
      </w:divBdr>
    </w:div>
    <w:div w:id="699597105">
      <w:bodyDiv w:val="1"/>
      <w:marLeft w:val="0"/>
      <w:marRight w:val="0"/>
      <w:marTop w:val="0"/>
      <w:marBottom w:val="0"/>
      <w:divBdr>
        <w:top w:val="none" w:sz="0" w:space="0" w:color="auto"/>
        <w:left w:val="none" w:sz="0" w:space="0" w:color="auto"/>
        <w:bottom w:val="none" w:sz="0" w:space="0" w:color="auto"/>
        <w:right w:val="none" w:sz="0" w:space="0" w:color="auto"/>
      </w:divBdr>
    </w:div>
    <w:div w:id="710148493">
      <w:bodyDiv w:val="1"/>
      <w:marLeft w:val="0"/>
      <w:marRight w:val="0"/>
      <w:marTop w:val="0"/>
      <w:marBottom w:val="0"/>
      <w:divBdr>
        <w:top w:val="none" w:sz="0" w:space="0" w:color="auto"/>
        <w:left w:val="none" w:sz="0" w:space="0" w:color="auto"/>
        <w:bottom w:val="none" w:sz="0" w:space="0" w:color="auto"/>
        <w:right w:val="none" w:sz="0" w:space="0" w:color="auto"/>
      </w:divBdr>
    </w:div>
    <w:div w:id="736167001">
      <w:bodyDiv w:val="1"/>
      <w:marLeft w:val="0"/>
      <w:marRight w:val="0"/>
      <w:marTop w:val="0"/>
      <w:marBottom w:val="0"/>
      <w:divBdr>
        <w:top w:val="none" w:sz="0" w:space="0" w:color="auto"/>
        <w:left w:val="none" w:sz="0" w:space="0" w:color="auto"/>
        <w:bottom w:val="none" w:sz="0" w:space="0" w:color="auto"/>
        <w:right w:val="none" w:sz="0" w:space="0" w:color="auto"/>
      </w:divBdr>
    </w:div>
    <w:div w:id="797265417">
      <w:bodyDiv w:val="1"/>
      <w:marLeft w:val="0"/>
      <w:marRight w:val="0"/>
      <w:marTop w:val="0"/>
      <w:marBottom w:val="0"/>
      <w:divBdr>
        <w:top w:val="none" w:sz="0" w:space="0" w:color="auto"/>
        <w:left w:val="none" w:sz="0" w:space="0" w:color="auto"/>
        <w:bottom w:val="none" w:sz="0" w:space="0" w:color="auto"/>
        <w:right w:val="none" w:sz="0" w:space="0" w:color="auto"/>
      </w:divBdr>
    </w:div>
    <w:div w:id="823353572">
      <w:bodyDiv w:val="1"/>
      <w:marLeft w:val="0"/>
      <w:marRight w:val="0"/>
      <w:marTop w:val="0"/>
      <w:marBottom w:val="0"/>
      <w:divBdr>
        <w:top w:val="none" w:sz="0" w:space="0" w:color="auto"/>
        <w:left w:val="none" w:sz="0" w:space="0" w:color="auto"/>
        <w:bottom w:val="none" w:sz="0" w:space="0" w:color="auto"/>
        <w:right w:val="none" w:sz="0" w:space="0" w:color="auto"/>
      </w:divBdr>
    </w:div>
    <w:div w:id="831216958">
      <w:bodyDiv w:val="1"/>
      <w:marLeft w:val="0"/>
      <w:marRight w:val="0"/>
      <w:marTop w:val="0"/>
      <w:marBottom w:val="0"/>
      <w:divBdr>
        <w:top w:val="none" w:sz="0" w:space="0" w:color="auto"/>
        <w:left w:val="none" w:sz="0" w:space="0" w:color="auto"/>
        <w:bottom w:val="none" w:sz="0" w:space="0" w:color="auto"/>
        <w:right w:val="none" w:sz="0" w:space="0" w:color="auto"/>
      </w:divBdr>
    </w:div>
    <w:div w:id="860701807">
      <w:bodyDiv w:val="1"/>
      <w:marLeft w:val="0"/>
      <w:marRight w:val="0"/>
      <w:marTop w:val="0"/>
      <w:marBottom w:val="0"/>
      <w:divBdr>
        <w:top w:val="none" w:sz="0" w:space="0" w:color="auto"/>
        <w:left w:val="none" w:sz="0" w:space="0" w:color="auto"/>
        <w:bottom w:val="none" w:sz="0" w:space="0" w:color="auto"/>
        <w:right w:val="none" w:sz="0" w:space="0" w:color="auto"/>
      </w:divBdr>
    </w:div>
    <w:div w:id="873075855">
      <w:bodyDiv w:val="1"/>
      <w:marLeft w:val="0"/>
      <w:marRight w:val="0"/>
      <w:marTop w:val="0"/>
      <w:marBottom w:val="0"/>
      <w:divBdr>
        <w:top w:val="none" w:sz="0" w:space="0" w:color="auto"/>
        <w:left w:val="none" w:sz="0" w:space="0" w:color="auto"/>
        <w:bottom w:val="none" w:sz="0" w:space="0" w:color="auto"/>
        <w:right w:val="none" w:sz="0" w:space="0" w:color="auto"/>
      </w:divBdr>
    </w:div>
    <w:div w:id="873621042">
      <w:bodyDiv w:val="1"/>
      <w:marLeft w:val="0"/>
      <w:marRight w:val="0"/>
      <w:marTop w:val="0"/>
      <w:marBottom w:val="0"/>
      <w:divBdr>
        <w:top w:val="none" w:sz="0" w:space="0" w:color="auto"/>
        <w:left w:val="none" w:sz="0" w:space="0" w:color="auto"/>
        <w:bottom w:val="none" w:sz="0" w:space="0" w:color="auto"/>
        <w:right w:val="none" w:sz="0" w:space="0" w:color="auto"/>
      </w:divBdr>
    </w:div>
    <w:div w:id="881592798">
      <w:bodyDiv w:val="1"/>
      <w:marLeft w:val="0"/>
      <w:marRight w:val="0"/>
      <w:marTop w:val="0"/>
      <w:marBottom w:val="0"/>
      <w:divBdr>
        <w:top w:val="none" w:sz="0" w:space="0" w:color="auto"/>
        <w:left w:val="none" w:sz="0" w:space="0" w:color="auto"/>
        <w:bottom w:val="none" w:sz="0" w:space="0" w:color="auto"/>
        <w:right w:val="none" w:sz="0" w:space="0" w:color="auto"/>
      </w:divBdr>
    </w:div>
    <w:div w:id="915553976">
      <w:bodyDiv w:val="1"/>
      <w:marLeft w:val="0"/>
      <w:marRight w:val="0"/>
      <w:marTop w:val="0"/>
      <w:marBottom w:val="0"/>
      <w:divBdr>
        <w:top w:val="none" w:sz="0" w:space="0" w:color="auto"/>
        <w:left w:val="none" w:sz="0" w:space="0" w:color="auto"/>
        <w:bottom w:val="none" w:sz="0" w:space="0" w:color="auto"/>
        <w:right w:val="none" w:sz="0" w:space="0" w:color="auto"/>
      </w:divBdr>
    </w:div>
    <w:div w:id="926157072">
      <w:bodyDiv w:val="1"/>
      <w:marLeft w:val="0"/>
      <w:marRight w:val="0"/>
      <w:marTop w:val="0"/>
      <w:marBottom w:val="0"/>
      <w:divBdr>
        <w:top w:val="none" w:sz="0" w:space="0" w:color="auto"/>
        <w:left w:val="none" w:sz="0" w:space="0" w:color="auto"/>
        <w:bottom w:val="none" w:sz="0" w:space="0" w:color="auto"/>
        <w:right w:val="none" w:sz="0" w:space="0" w:color="auto"/>
      </w:divBdr>
    </w:div>
    <w:div w:id="926884724">
      <w:bodyDiv w:val="1"/>
      <w:marLeft w:val="0"/>
      <w:marRight w:val="0"/>
      <w:marTop w:val="0"/>
      <w:marBottom w:val="0"/>
      <w:divBdr>
        <w:top w:val="none" w:sz="0" w:space="0" w:color="auto"/>
        <w:left w:val="none" w:sz="0" w:space="0" w:color="auto"/>
        <w:bottom w:val="none" w:sz="0" w:space="0" w:color="auto"/>
        <w:right w:val="none" w:sz="0" w:space="0" w:color="auto"/>
      </w:divBdr>
    </w:div>
    <w:div w:id="956330494">
      <w:bodyDiv w:val="1"/>
      <w:marLeft w:val="0"/>
      <w:marRight w:val="0"/>
      <w:marTop w:val="0"/>
      <w:marBottom w:val="0"/>
      <w:divBdr>
        <w:top w:val="none" w:sz="0" w:space="0" w:color="auto"/>
        <w:left w:val="none" w:sz="0" w:space="0" w:color="auto"/>
        <w:bottom w:val="none" w:sz="0" w:space="0" w:color="auto"/>
        <w:right w:val="none" w:sz="0" w:space="0" w:color="auto"/>
      </w:divBdr>
    </w:div>
    <w:div w:id="991716300">
      <w:bodyDiv w:val="1"/>
      <w:marLeft w:val="0"/>
      <w:marRight w:val="0"/>
      <w:marTop w:val="0"/>
      <w:marBottom w:val="0"/>
      <w:divBdr>
        <w:top w:val="none" w:sz="0" w:space="0" w:color="auto"/>
        <w:left w:val="none" w:sz="0" w:space="0" w:color="auto"/>
        <w:bottom w:val="none" w:sz="0" w:space="0" w:color="auto"/>
        <w:right w:val="none" w:sz="0" w:space="0" w:color="auto"/>
      </w:divBdr>
    </w:div>
    <w:div w:id="1093626152">
      <w:bodyDiv w:val="1"/>
      <w:marLeft w:val="0"/>
      <w:marRight w:val="0"/>
      <w:marTop w:val="0"/>
      <w:marBottom w:val="0"/>
      <w:divBdr>
        <w:top w:val="none" w:sz="0" w:space="0" w:color="auto"/>
        <w:left w:val="none" w:sz="0" w:space="0" w:color="auto"/>
        <w:bottom w:val="none" w:sz="0" w:space="0" w:color="auto"/>
        <w:right w:val="none" w:sz="0" w:space="0" w:color="auto"/>
      </w:divBdr>
    </w:div>
    <w:div w:id="1111822752">
      <w:bodyDiv w:val="1"/>
      <w:marLeft w:val="0"/>
      <w:marRight w:val="0"/>
      <w:marTop w:val="0"/>
      <w:marBottom w:val="0"/>
      <w:divBdr>
        <w:top w:val="none" w:sz="0" w:space="0" w:color="auto"/>
        <w:left w:val="none" w:sz="0" w:space="0" w:color="auto"/>
        <w:bottom w:val="none" w:sz="0" w:space="0" w:color="auto"/>
        <w:right w:val="none" w:sz="0" w:space="0" w:color="auto"/>
      </w:divBdr>
    </w:div>
    <w:div w:id="1158498893">
      <w:bodyDiv w:val="1"/>
      <w:marLeft w:val="0"/>
      <w:marRight w:val="0"/>
      <w:marTop w:val="0"/>
      <w:marBottom w:val="0"/>
      <w:divBdr>
        <w:top w:val="none" w:sz="0" w:space="0" w:color="auto"/>
        <w:left w:val="none" w:sz="0" w:space="0" w:color="auto"/>
        <w:bottom w:val="none" w:sz="0" w:space="0" w:color="auto"/>
        <w:right w:val="none" w:sz="0" w:space="0" w:color="auto"/>
      </w:divBdr>
    </w:div>
    <w:div w:id="1171944059">
      <w:bodyDiv w:val="1"/>
      <w:marLeft w:val="0"/>
      <w:marRight w:val="0"/>
      <w:marTop w:val="0"/>
      <w:marBottom w:val="0"/>
      <w:divBdr>
        <w:top w:val="none" w:sz="0" w:space="0" w:color="auto"/>
        <w:left w:val="none" w:sz="0" w:space="0" w:color="auto"/>
        <w:bottom w:val="none" w:sz="0" w:space="0" w:color="auto"/>
        <w:right w:val="none" w:sz="0" w:space="0" w:color="auto"/>
      </w:divBdr>
    </w:div>
    <w:div w:id="1188644152">
      <w:bodyDiv w:val="1"/>
      <w:marLeft w:val="0"/>
      <w:marRight w:val="0"/>
      <w:marTop w:val="0"/>
      <w:marBottom w:val="0"/>
      <w:divBdr>
        <w:top w:val="none" w:sz="0" w:space="0" w:color="auto"/>
        <w:left w:val="none" w:sz="0" w:space="0" w:color="auto"/>
        <w:bottom w:val="none" w:sz="0" w:space="0" w:color="auto"/>
        <w:right w:val="none" w:sz="0" w:space="0" w:color="auto"/>
      </w:divBdr>
    </w:div>
    <w:div w:id="1207178249">
      <w:bodyDiv w:val="1"/>
      <w:marLeft w:val="0"/>
      <w:marRight w:val="0"/>
      <w:marTop w:val="0"/>
      <w:marBottom w:val="0"/>
      <w:divBdr>
        <w:top w:val="none" w:sz="0" w:space="0" w:color="auto"/>
        <w:left w:val="none" w:sz="0" w:space="0" w:color="auto"/>
        <w:bottom w:val="none" w:sz="0" w:space="0" w:color="auto"/>
        <w:right w:val="none" w:sz="0" w:space="0" w:color="auto"/>
      </w:divBdr>
    </w:div>
    <w:div w:id="1207454724">
      <w:bodyDiv w:val="1"/>
      <w:marLeft w:val="0"/>
      <w:marRight w:val="0"/>
      <w:marTop w:val="0"/>
      <w:marBottom w:val="0"/>
      <w:divBdr>
        <w:top w:val="none" w:sz="0" w:space="0" w:color="auto"/>
        <w:left w:val="none" w:sz="0" w:space="0" w:color="auto"/>
        <w:bottom w:val="none" w:sz="0" w:space="0" w:color="auto"/>
        <w:right w:val="none" w:sz="0" w:space="0" w:color="auto"/>
      </w:divBdr>
    </w:div>
    <w:div w:id="1227379101">
      <w:bodyDiv w:val="1"/>
      <w:marLeft w:val="0"/>
      <w:marRight w:val="0"/>
      <w:marTop w:val="0"/>
      <w:marBottom w:val="0"/>
      <w:divBdr>
        <w:top w:val="none" w:sz="0" w:space="0" w:color="auto"/>
        <w:left w:val="none" w:sz="0" w:space="0" w:color="auto"/>
        <w:bottom w:val="none" w:sz="0" w:space="0" w:color="auto"/>
        <w:right w:val="none" w:sz="0" w:space="0" w:color="auto"/>
      </w:divBdr>
    </w:div>
    <w:div w:id="1238171996">
      <w:bodyDiv w:val="1"/>
      <w:marLeft w:val="0"/>
      <w:marRight w:val="0"/>
      <w:marTop w:val="0"/>
      <w:marBottom w:val="0"/>
      <w:divBdr>
        <w:top w:val="none" w:sz="0" w:space="0" w:color="auto"/>
        <w:left w:val="none" w:sz="0" w:space="0" w:color="auto"/>
        <w:bottom w:val="none" w:sz="0" w:space="0" w:color="auto"/>
        <w:right w:val="none" w:sz="0" w:space="0" w:color="auto"/>
      </w:divBdr>
    </w:div>
    <w:div w:id="1258950824">
      <w:bodyDiv w:val="1"/>
      <w:marLeft w:val="0"/>
      <w:marRight w:val="0"/>
      <w:marTop w:val="0"/>
      <w:marBottom w:val="0"/>
      <w:divBdr>
        <w:top w:val="none" w:sz="0" w:space="0" w:color="auto"/>
        <w:left w:val="none" w:sz="0" w:space="0" w:color="auto"/>
        <w:bottom w:val="none" w:sz="0" w:space="0" w:color="auto"/>
        <w:right w:val="none" w:sz="0" w:space="0" w:color="auto"/>
      </w:divBdr>
    </w:div>
    <w:div w:id="1316372789">
      <w:bodyDiv w:val="1"/>
      <w:marLeft w:val="0"/>
      <w:marRight w:val="0"/>
      <w:marTop w:val="0"/>
      <w:marBottom w:val="0"/>
      <w:divBdr>
        <w:top w:val="none" w:sz="0" w:space="0" w:color="auto"/>
        <w:left w:val="none" w:sz="0" w:space="0" w:color="auto"/>
        <w:bottom w:val="none" w:sz="0" w:space="0" w:color="auto"/>
        <w:right w:val="none" w:sz="0" w:space="0" w:color="auto"/>
      </w:divBdr>
    </w:div>
    <w:div w:id="1342008951">
      <w:bodyDiv w:val="1"/>
      <w:marLeft w:val="0"/>
      <w:marRight w:val="0"/>
      <w:marTop w:val="0"/>
      <w:marBottom w:val="0"/>
      <w:divBdr>
        <w:top w:val="none" w:sz="0" w:space="0" w:color="auto"/>
        <w:left w:val="none" w:sz="0" w:space="0" w:color="auto"/>
        <w:bottom w:val="none" w:sz="0" w:space="0" w:color="auto"/>
        <w:right w:val="none" w:sz="0" w:space="0" w:color="auto"/>
      </w:divBdr>
    </w:div>
    <w:div w:id="1350907532">
      <w:bodyDiv w:val="1"/>
      <w:marLeft w:val="0"/>
      <w:marRight w:val="0"/>
      <w:marTop w:val="0"/>
      <w:marBottom w:val="0"/>
      <w:divBdr>
        <w:top w:val="none" w:sz="0" w:space="0" w:color="auto"/>
        <w:left w:val="none" w:sz="0" w:space="0" w:color="auto"/>
        <w:bottom w:val="none" w:sz="0" w:space="0" w:color="auto"/>
        <w:right w:val="none" w:sz="0" w:space="0" w:color="auto"/>
      </w:divBdr>
    </w:div>
    <w:div w:id="1418332525">
      <w:bodyDiv w:val="1"/>
      <w:marLeft w:val="0"/>
      <w:marRight w:val="0"/>
      <w:marTop w:val="0"/>
      <w:marBottom w:val="0"/>
      <w:divBdr>
        <w:top w:val="none" w:sz="0" w:space="0" w:color="auto"/>
        <w:left w:val="none" w:sz="0" w:space="0" w:color="auto"/>
        <w:bottom w:val="none" w:sz="0" w:space="0" w:color="auto"/>
        <w:right w:val="none" w:sz="0" w:space="0" w:color="auto"/>
      </w:divBdr>
    </w:div>
    <w:div w:id="1420834021">
      <w:bodyDiv w:val="1"/>
      <w:marLeft w:val="0"/>
      <w:marRight w:val="0"/>
      <w:marTop w:val="0"/>
      <w:marBottom w:val="0"/>
      <w:divBdr>
        <w:top w:val="none" w:sz="0" w:space="0" w:color="auto"/>
        <w:left w:val="none" w:sz="0" w:space="0" w:color="auto"/>
        <w:bottom w:val="none" w:sz="0" w:space="0" w:color="auto"/>
        <w:right w:val="none" w:sz="0" w:space="0" w:color="auto"/>
      </w:divBdr>
    </w:div>
    <w:div w:id="1439638013">
      <w:bodyDiv w:val="1"/>
      <w:marLeft w:val="0"/>
      <w:marRight w:val="0"/>
      <w:marTop w:val="0"/>
      <w:marBottom w:val="0"/>
      <w:divBdr>
        <w:top w:val="none" w:sz="0" w:space="0" w:color="auto"/>
        <w:left w:val="none" w:sz="0" w:space="0" w:color="auto"/>
        <w:bottom w:val="none" w:sz="0" w:space="0" w:color="auto"/>
        <w:right w:val="none" w:sz="0" w:space="0" w:color="auto"/>
      </w:divBdr>
    </w:div>
    <w:div w:id="1447970372">
      <w:bodyDiv w:val="1"/>
      <w:marLeft w:val="0"/>
      <w:marRight w:val="0"/>
      <w:marTop w:val="0"/>
      <w:marBottom w:val="0"/>
      <w:divBdr>
        <w:top w:val="none" w:sz="0" w:space="0" w:color="auto"/>
        <w:left w:val="none" w:sz="0" w:space="0" w:color="auto"/>
        <w:bottom w:val="none" w:sz="0" w:space="0" w:color="auto"/>
        <w:right w:val="none" w:sz="0" w:space="0" w:color="auto"/>
      </w:divBdr>
    </w:div>
    <w:div w:id="1453474457">
      <w:bodyDiv w:val="1"/>
      <w:marLeft w:val="0"/>
      <w:marRight w:val="0"/>
      <w:marTop w:val="0"/>
      <w:marBottom w:val="0"/>
      <w:divBdr>
        <w:top w:val="none" w:sz="0" w:space="0" w:color="auto"/>
        <w:left w:val="none" w:sz="0" w:space="0" w:color="auto"/>
        <w:bottom w:val="none" w:sz="0" w:space="0" w:color="auto"/>
        <w:right w:val="none" w:sz="0" w:space="0" w:color="auto"/>
      </w:divBdr>
    </w:div>
    <w:div w:id="1454473209">
      <w:bodyDiv w:val="1"/>
      <w:marLeft w:val="0"/>
      <w:marRight w:val="0"/>
      <w:marTop w:val="0"/>
      <w:marBottom w:val="0"/>
      <w:divBdr>
        <w:top w:val="none" w:sz="0" w:space="0" w:color="auto"/>
        <w:left w:val="none" w:sz="0" w:space="0" w:color="auto"/>
        <w:bottom w:val="none" w:sz="0" w:space="0" w:color="auto"/>
        <w:right w:val="none" w:sz="0" w:space="0" w:color="auto"/>
      </w:divBdr>
    </w:div>
    <w:div w:id="1463620647">
      <w:bodyDiv w:val="1"/>
      <w:marLeft w:val="0"/>
      <w:marRight w:val="0"/>
      <w:marTop w:val="0"/>
      <w:marBottom w:val="0"/>
      <w:divBdr>
        <w:top w:val="none" w:sz="0" w:space="0" w:color="auto"/>
        <w:left w:val="none" w:sz="0" w:space="0" w:color="auto"/>
        <w:bottom w:val="none" w:sz="0" w:space="0" w:color="auto"/>
        <w:right w:val="none" w:sz="0" w:space="0" w:color="auto"/>
      </w:divBdr>
    </w:div>
    <w:div w:id="1507789447">
      <w:bodyDiv w:val="1"/>
      <w:marLeft w:val="0"/>
      <w:marRight w:val="0"/>
      <w:marTop w:val="0"/>
      <w:marBottom w:val="0"/>
      <w:divBdr>
        <w:top w:val="none" w:sz="0" w:space="0" w:color="auto"/>
        <w:left w:val="none" w:sz="0" w:space="0" w:color="auto"/>
        <w:bottom w:val="none" w:sz="0" w:space="0" w:color="auto"/>
        <w:right w:val="none" w:sz="0" w:space="0" w:color="auto"/>
      </w:divBdr>
    </w:div>
    <w:div w:id="1513105786">
      <w:bodyDiv w:val="1"/>
      <w:marLeft w:val="0"/>
      <w:marRight w:val="0"/>
      <w:marTop w:val="0"/>
      <w:marBottom w:val="0"/>
      <w:divBdr>
        <w:top w:val="none" w:sz="0" w:space="0" w:color="auto"/>
        <w:left w:val="none" w:sz="0" w:space="0" w:color="auto"/>
        <w:bottom w:val="none" w:sz="0" w:space="0" w:color="auto"/>
        <w:right w:val="none" w:sz="0" w:space="0" w:color="auto"/>
      </w:divBdr>
    </w:div>
    <w:div w:id="1548838989">
      <w:bodyDiv w:val="1"/>
      <w:marLeft w:val="0"/>
      <w:marRight w:val="0"/>
      <w:marTop w:val="0"/>
      <w:marBottom w:val="0"/>
      <w:divBdr>
        <w:top w:val="none" w:sz="0" w:space="0" w:color="auto"/>
        <w:left w:val="none" w:sz="0" w:space="0" w:color="auto"/>
        <w:bottom w:val="none" w:sz="0" w:space="0" w:color="auto"/>
        <w:right w:val="none" w:sz="0" w:space="0" w:color="auto"/>
      </w:divBdr>
    </w:div>
    <w:div w:id="1552352231">
      <w:bodyDiv w:val="1"/>
      <w:marLeft w:val="0"/>
      <w:marRight w:val="0"/>
      <w:marTop w:val="0"/>
      <w:marBottom w:val="0"/>
      <w:divBdr>
        <w:top w:val="none" w:sz="0" w:space="0" w:color="auto"/>
        <w:left w:val="none" w:sz="0" w:space="0" w:color="auto"/>
        <w:bottom w:val="none" w:sz="0" w:space="0" w:color="auto"/>
        <w:right w:val="none" w:sz="0" w:space="0" w:color="auto"/>
      </w:divBdr>
    </w:div>
    <w:div w:id="1558739945">
      <w:bodyDiv w:val="1"/>
      <w:marLeft w:val="0"/>
      <w:marRight w:val="0"/>
      <w:marTop w:val="0"/>
      <w:marBottom w:val="0"/>
      <w:divBdr>
        <w:top w:val="none" w:sz="0" w:space="0" w:color="auto"/>
        <w:left w:val="none" w:sz="0" w:space="0" w:color="auto"/>
        <w:bottom w:val="none" w:sz="0" w:space="0" w:color="auto"/>
        <w:right w:val="none" w:sz="0" w:space="0" w:color="auto"/>
      </w:divBdr>
    </w:div>
    <w:div w:id="1574047159">
      <w:bodyDiv w:val="1"/>
      <w:marLeft w:val="0"/>
      <w:marRight w:val="0"/>
      <w:marTop w:val="0"/>
      <w:marBottom w:val="0"/>
      <w:divBdr>
        <w:top w:val="none" w:sz="0" w:space="0" w:color="auto"/>
        <w:left w:val="none" w:sz="0" w:space="0" w:color="auto"/>
        <w:bottom w:val="none" w:sz="0" w:space="0" w:color="auto"/>
        <w:right w:val="none" w:sz="0" w:space="0" w:color="auto"/>
      </w:divBdr>
    </w:div>
    <w:div w:id="1605914330">
      <w:bodyDiv w:val="1"/>
      <w:marLeft w:val="0"/>
      <w:marRight w:val="0"/>
      <w:marTop w:val="0"/>
      <w:marBottom w:val="0"/>
      <w:divBdr>
        <w:top w:val="none" w:sz="0" w:space="0" w:color="auto"/>
        <w:left w:val="none" w:sz="0" w:space="0" w:color="auto"/>
        <w:bottom w:val="none" w:sz="0" w:space="0" w:color="auto"/>
        <w:right w:val="none" w:sz="0" w:space="0" w:color="auto"/>
      </w:divBdr>
    </w:div>
    <w:div w:id="1605962776">
      <w:bodyDiv w:val="1"/>
      <w:marLeft w:val="0"/>
      <w:marRight w:val="0"/>
      <w:marTop w:val="0"/>
      <w:marBottom w:val="0"/>
      <w:divBdr>
        <w:top w:val="none" w:sz="0" w:space="0" w:color="auto"/>
        <w:left w:val="none" w:sz="0" w:space="0" w:color="auto"/>
        <w:bottom w:val="none" w:sz="0" w:space="0" w:color="auto"/>
        <w:right w:val="none" w:sz="0" w:space="0" w:color="auto"/>
      </w:divBdr>
    </w:div>
    <w:div w:id="1646086959">
      <w:bodyDiv w:val="1"/>
      <w:marLeft w:val="0"/>
      <w:marRight w:val="0"/>
      <w:marTop w:val="0"/>
      <w:marBottom w:val="0"/>
      <w:divBdr>
        <w:top w:val="none" w:sz="0" w:space="0" w:color="auto"/>
        <w:left w:val="none" w:sz="0" w:space="0" w:color="auto"/>
        <w:bottom w:val="none" w:sz="0" w:space="0" w:color="auto"/>
        <w:right w:val="none" w:sz="0" w:space="0" w:color="auto"/>
      </w:divBdr>
    </w:div>
    <w:div w:id="1650790408">
      <w:bodyDiv w:val="1"/>
      <w:marLeft w:val="0"/>
      <w:marRight w:val="0"/>
      <w:marTop w:val="0"/>
      <w:marBottom w:val="0"/>
      <w:divBdr>
        <w:top w:val="none" w:sz="0" w:space="0" w:color="auto"/>
        <w:left w:val="none" w:sz="0" w:space="0" w:color="auto"/>
        <w:bottom w:val="none" w:sz="0" w:space="0" w:color="auto"/>
        <w:right w:val="none" w:sz="0" w:space="0" w:color="auto"/>
      </w:divBdr>
    </w:div>
    <w:div w:id="1667593253">
      <w:bodyDiv w:val="1"/>
      <w:marLeft w:val="0"/>
      <w:marRight w:val="0"/>
      <w:marTop w:val="0"/>
      <w:marBottom w:val="0"/>
      <w:divBdr>
        <w:top w:val="none" w:sz="0" w:space="0" w:color="auto"/>
        <w:left w:val="none" w:sz="0" w:space="0" w:color="auto"/>
        <w:bottom w:val="none" w:sz="0" w:space="0" w:color="auto"/>
        <w:right w:val="none" w:sz="0" w:space="0" w:color="auto"/>
      </w:divBdr>
    </w:div>
    <w:div w:id="1763988345">
      <w:bodyDiv w:val="1"/>
      <w:marLeft w:val="0"/>
      <w:marRight w:val="0"/>
      <w:marTop w:val="0"/>
      <w:marBottom w:val="0"/>
      <w:divBdr>
        <w:top w:val="none" w:sz="0" w:space="0" w:color="auto"/>
        <w:left w:val="none" w:sz="0" w:space="0" w:color="auto"/>
        <w:bottom w:val="none" w:sz="0" w:space="0" w:color="auto"/>
        <w:right w:val="none" w:sz="0" w:space="0" w:color="auto"/>
      </w:divBdr>
    </w:div>
    <w:div w:id="1770848792">
      <w:bodyDiv w:val="1"/>
      <w:marLeft w:val="0"/>
      <w:marRight w:val="0"/>
      <w:marTop w:val="0"/>
      <w:marBottom w:val="0"/>
      <w:divBdr>
        <w:top w:val="none" w:sz="0" w:space="0" w:color="auto"/>
        <w:left w:val="none" w:sz="0" w:space="0" w:color="auto"/>
        <w:bottom w:val="none" w:sz="0" w:space="0" w:color="auto"/>
        <w:right w:val="none" w:sz="0" w:space="0" w:color="auto"/>
      </w:divBdr>
    </w:div>
    <w:div w:id="1825924980">
      <w:bodyDiv w:val="1"/>
      <w:marLeft w:val="0"/>
      <w:marRight w:val="0"/>
      <w:marTop w:val="0"/>
      <w:marBottom w:val="0"/>
      <w:divBdr>
        <w:top w:val="none" w:sz="0" w:space="0" w:color="auto"/>
        <w:left w:val="none" w:sz="0" w:space="0" w:color="auto"/>
        <w:bottom w:val="none" w:sz="0" w:space="0" w:color="auto"/>
        <w:right w:val="none" w:sz="0" w:space="0" w:color="auto"/>
      </w:divBdr>
    </w:div>
    <w:div w:id="1827357492">
      <w:bodyDiv w:val="1"/>
      <w:marLeft w:val="0"/>
      <w:marRight w:val="0"/>
      <w:marTop w:val="0"/>
      <w:marBottom w:val="0"/>
      <w:divBdr>
        <w:top w:val="none" w:sz="0" w:space="0" w:color="auto"/>
        <w:left w:val="none" w:sz="0" w:space="0" w:color="auto"/>
        <w:bottom w:val="none" w:sz="0" w:space="0" w:color="auto"/>
        <w:right w:val="none" w:sz="0" w:space="0" w:color="auto"/>
      </w:divBdr>
    </w:div>
    <w:div w:id="1838377838">
      <w:bodyDiv w:val="1"/>
      <w:marLeft w:val="0"/>
      <w:marRight w:val="0"/>
      <w:marTop w:val="0"/>
      <w:marBottom w:val="0"/>
      <w:divBdr>
        <w:top w:val="none" w:sz="0" w:space="0" w:color="auto"/>
        <w:left w:val="none" w:sz="0" w:space="0" w:color="auto"/>
        <w:bottom w:val="none" w:sz="0" w:space="0" w:color="auto"/>
        <w:right w:val="none" w:sz="0" w:space="0" w:color="auto"/>
      </w:divBdr>
    </w:div>
    <w:div w:id="1839879755">
      <w:bodyDiv w:val="1"/>
      <w:marLeft w:val="0"/>
      <w:marRight w:val="0"/>
      <w:marTop w:val="0"/>
      <w:marBottom w:val="0"/>
      <w:divBdr>
        <w:top w:val="none" w:sz="0" w:space="0" w:color="auto"/>
        <w:left w:val="none" w:sz="0" w:space="0" w:color="auto"/>
        <w:bottom w:val="none" w:sz="0" w:space="0" w:color="auto"/>
        <w:right w:val="none" w:sz="0" w:space="0" w:color="auto"/>
      </w:divBdr>
    </w:div>
    <w:div w:id="1842236127">
      <w:bodyDiv w:val="1"/>
      <w:marLeft w:val="0"/>
      <w:marRight w:val="0"/>
      <w:marTop w:val="0"/>
      <w:marBottom w:val="0"/>
      <w:divBdr>
        <w:top w:val="none" w:sz="0" w:space="0" w:color="auto"/>
        <w:left w:val="none" w:sz="0" w:space="0" w:color="auto"/>
        <w:bottom w:val="none" w:sz="0" w:space="0" w:color="auto"/>
        <w:right w:val="none" w:sz="0" w:space="0" w:color="auto"/>
      </w:divBdr>
    </w:div>
    <w:div w:id="1845708555">
      <w:bodyDiv w:val="1"/>
      <w:marLeft w:val="0"/>
      <w:marRight w:val="0"/>
      <w:marTop w:val="0"/>
      <w:marBottom w:val="0"/>
      <w:divBdr>
        <w:top w:val="none" w:sz="0" w:space="0" w:color="auto"/>
        <w:left w:val="none" w:sz="0" w:space="0" w:color="auto"/>
        <w:bottom w:val="none" w:sz="0" w:space="0" w:color="auto"/>
        <w:right w:val="none" w:sz="0" w:space="0" w:color="auto"/>
      </w:divBdr>
    </w:div>
    <w:div w:id="1857117046">
      <w:bodyDiv w:val="1"/>
      <w:marLeft w:val="0"/>
      <w:marRight w:val="0"/>
      <w:marTop w:val="0"/>
      <w:marBottom w:val="0"/>
      <w:divBdr>
        <w:top w:val="none" w:sz="0" w:space="0" w:color="auto"/>
        <w:left w:val="none" w:sz="0" w:space="0" w:color="auto"/>
        <w:bottom w:val="none" w:sz="0" w:space="0" w:color="auto"/>
        <w:right w:val="none" w:sz="0" w:space="0" w:color="auto"/>
      </w:divBdr>
    </w:div>
    <w:div w:id="1868567695">
      <w:bodyDiv w:val="1"/>
      <w:marLeft w:val="0"/>
      <w:marRight w:val="0"/>
      <w:marTop w:val="0"/>
      <w:marBottom w:val="0"/>
      <w:divBdr>
        <w:top w:val="none" w:sz="0" w:space="0" w:color="auto"/>
        <w:left w:val="none" w:sz="0" w:space="0" w:color="auto"/>
        <w:bottom w:val="none" w:sz="0" w:space="0" w:color="auto"/>
        <w:right w:val="none" w:sz="0" w:space="0" w:color="auto"/>
      </w:divBdr>
    </w:div>
    <w:div w:id="1882132055">
      <w:bodyDiv w:val="1"/>
      <w:marLeft w:val="0"/>
      <w:marRight w:val="0"/>
      <w:marTop w:val="0"/>
      <w:marBottom w:val="0"/>
      <w:divBdr>
        <w:top w:val="none" w:sz="0" w:space="0" w:color="auto"/>
        <w:left w:val="none" w:sz="0" w:space="0" w:color="auto"/>
        <w:bottom w:val="none" w:sz="0" w:space="0" w:color="auto"/>
        <w:right w:val="none" w:sz="0" w:space="0" w:color="auto"/>
      </w:divBdr>
    </w:div>
    <w:div w:id="1906909936">
      <w:bodyDiv w:val="1"/>
      <w:marLeft w:val="0"/>
      <w:marRight w:val="0"/>
      <w:marTop w:val="0"/>
      <w:marBottom w:val="0"/>
      <w:divBdr>
        <w:top w:val="none" w:sz="0" w:space="0" w:color="auto"/>
        <w:left w:val="none" w:sz="0" w:space="0" w:color="auto"/>
        <w:bottom w:val="none" w:sz="0" w:space="0" w:color="auto"/>
        <w:right w:val="none" w:sz="0" w:space="0" w:color="auto"/>
      </w:divBdr>
    </w:div>
    <w:div w:id="1995837291">
      <w:bodyDiv w:val="1"/>
      <w:marLeft w:val="0"/>
      <w:marRight w:val="0"/>
      <w:marTop w:val="0"/>
      <w:marBottom w:val="0"/>
      <w:divBdr>
        <w:top w:val="none" w:sz="0" w:space="0" w:color="auto"/>
        <w:left w:val="none" w:sz="0" w:space="0" w:color="auto"/>
        <w:bottom w:val="none" w:sz="0" w:space="0" w:color="auto"/>
        <w:right w:val="none" w:sz="0" w:space="0" w:color="auto"/>
      </w:divBdr>
    </w:div>
    <w:div w:id="2031368930">
      <w:bodyDiv w:val="1"/>
      <w:marLeft w:val="0"/>
      <w:marRight w:val="0"/>
      <w:marTop w:val="0"/>
      <w:marBottom w:val="0"/>
      <w:divBdr>
        <w:top w:val="none" w:sz="0" w:space="0" w:color="auto"/>
        <w:left w:val="none" w:sz="0" w:space="0" w:color="auto"/>
        <w:bottom w:val="none" w:sz="0" w:space="0" w:color="auto"/>
        <w:right w:val="none" w:sz="0" w:space="0" w:color="auto"/>
      </w:divBdr>
    </w:div>
    <w:div w:id="2056658393">
      <w:bodyDiv w:val="1"/>
      <w:marLeft w:val="0"/>
      <w:marRight w:val="0"/>
      <w:marTop w:val="0"/>
      <w:marBottom w:val="0"/>
      <w:divBdr>
        <w:top w:val="none" w:sz="0" w:space="0" w:color="auto"/>
        <w:left w:val="none" w:sz="0" w:space="0" w:color="auto"/>
        <w:bottom w:val="none" w:sz="0" w:space="0" w:color="auto"/>
        <w:right w:val="none" w:sz="0" w:space="0" w:color="auto"/>
      </w:divBdr>
    </w:div>
    <w:div w:id="2057468201">
      <w:bodyDiv w:val="1"/>
      <w:marLeft w:val="0"/>
      <w:marRight w:val="0"/>
      <w:marTop w:val="0"/>
      <w:marBottom w:val="0"/>
      <w:divBdr>
        <w:top w:val="none" w:sz="0" w:space="0" w:color="auto"/>
        <w:left w:val="none" w:sz="0" w:space="0" w:color="auto"/>
        <w:bottom w:val="none" w:sz="0" w:space="0" w:color="auto"/>
        <w:right w:val="none" w:sz="0" w:space="0" w:color="auto"/>
      </w:divBdr>
    </w:div>
    <w:div w:id="2067222602">
      <w:bodyDiv w:val="1"/>
      <w:marLeft w:val="0"/>
      <w:marRight w:val="0"/>
      <w:marTop w:val="0"/>
      <w:marBottom w:val="0"/>
      <w:divBdr>
        <w:top w:val="none" w:sz="0" w:space="0" w:color="auto"/>
        <w:left w:val="none" w:sz="0" w:space="0" w:color="auto"/>
        <w:bottom w:val="none" w:sz="0" w:space="0" w:color="auto"/>
        <w:right w:val="none" w:sz="0" w:space="0" w:color="auto"/>
      </w:divBdr>
    </w:div>
    <w:div w:id="2075009884">
      <w:bodyDiv w:val="1"/>
      <w:marLeft w:val="0"/>
      <w:marRight w:val="0"/>
      <w:marTop w:val="0"/>
      <w:marBottom w:val="0"/>
      <w:divBdr>
        <w:top w:val="none" w:sz="0" w:space="0" w:color="auto"/>
        <w:left w:val="none" w:sz="0" w:space="0" w:color="auto"/>
        <w:bottom w:val="none" w:sz="0" w:space="0" w:color="auto"/>
        <w:right w:val="none" w:sz="0" w:space="0" w:color="auto"/>
      </w:divBdr>
    </w:div>
    <w:div w:id="21150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B&amp;M">
      <a:dk1>
        <a:srgbClr val="404143"/>
      </a:dk1>
      <a:lt1>
        <a:srgbClr val="FFFFFF"/>
      </a:lt1>
      <a:dk2>
        <a:srgbClr val="404144"/>
      </a:dk2>
      <a:lt2>
        <a:srgbClr val="FFFFFF"/>
      </a:lt2>
      <a:accent1>
        <a:srgbClr val="A71930"/>
      </a:accent1>
      <a:accent2>
        <a:srgbClr val="EBB700"/>
      </a:accent2>
      <a:accent3>
        <a:srgbClr val="6773B6"/>
      </a:accent3>
      <a:accent4>
        <a:srgbClr val="A2AD00"/>
      </a:accent4>
      <a:accent5>
        <a:srgbClr val="8B8D8E"/>
      </a:accent5>
      <a:accent6>
        <a:srgbClr val="404143"/>
      </a:accent6>
      <a:hlink>
        <a:srgbClr val="00AEEF"/>
      </a:hlink>
      <a:folHlink>
        <a:srgbClr val="A8BBC6"/>
      </a:folHlink>
    </a:clrScheme>
    <a:fontScheme name="B&amp;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A50E29"/>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0" tIns="0" rIns="0" bIns="0" numCol="1" anchor="t" anchorCtr="0" compatLnSpc="1">
        <a:prstTxWarp prst="textNoShape">
          <a:avLst/>
        </a:prstTxWarp>
      </a:bodyPr>
      <a:lstStyle>
        <a:defPPr marL="0" marR="0" indent="0" algn="l" defTabSz="914400" rtl="0" eaLnBrk="1" fontAlgn="base" latinLnBrk="0" hangingPunct="1">
          <a:lnSpc>
            <a:spcPct val="100000"/>
          </a:lnSpc>
          <a:spcBef>
            <a:spcPct val="25000"/>
          </a:spcBef>
          <a:spcAft>
            <a:spcPct val="0"/>
          </a:spcAft>
          <a:buClr>
            <a:srgbClr val="A50E29"/>
          </a:buClr>
          <a:buSzTx/>
          <a:buFont typeface="Arial" charset="0"/>
          <a:buNone/>
          <a:tabLst/>
          <a:defRPr kumimoji="0" lang="en-AU" sz="2400" b="0" i="0" u="none" strike="noStrike" cap="none" normalizeH="0" baseline="0" smtClean="0">
            <a:ln>
              <a:noFill/>
            </a:ln>
            <a:solidFill>
              <a:srgbClr val="A50E29"/>
            </a:solidFill>
            <a:effectLst/>
            <a:latin typeface="Arial" charset="0"/>
          </a:defRPr>
        </a:defPPr>
      </a:lstStyle>
    </a:spDef>
    <a:lnDef>
      <a:spPr bwMode="auto">
        <a:xfrm>
          <a:off x="0" y="0"/>
          <a:ext cx="1" cy="1"/>
        </a:xfrm>
        <a:custGeom>
          <a:avLst/>
          <a:gdLst/>
          <a:ahLst/>
          <a:cxnLst/>
          <a:rect l="0" t="0" r="0" b="0"/>
          <a:pathLst/>
        </a:custGeom>
        <a:solidFill>
          <a:srgbClr val="A50E29"/>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0" tIns="0" rIns="0" bIns="0" numCol="1" anchor="t" anchorCtr="0" compatLnSpc="1">
        <a:prstTxWarp prst="textNoShape">
          <a:avLst/>
        </a:prstTxWarp>
      </a:bodyPr>
      <a:lstStyle>
        <a:defPPr marL="0" marR="0" indent="0" algn="l" defTabSz="914400" rtl="0" eaLnBrk="1" fontAlgn="base" latinLnBrk="0" hangingPunct="1">
          <a:lnSpc>
            <a:spcPct val="100000"/>
          </a:lnSpc>
          <a:spcBef>
            <a:spcPct val="25000"/>
          </a:spcBef>
          <a:spcAft>
            <a:spcPct val="0"/>
          </a:spcAft>
          <a:buClr>
            <a:srgbClr val="A50E29"/>
          </a:buClr>
          <a:buSzTx/>
          <a:buFont typeface="Arial" charset="0"/>
          <a:buNone/>
          <a:tabLst/>
          <a:defRPr kumimoji="0" lang="en-AU" sz="2400" b="0" i="0" u="none" strike="noStrike" cap="none" normalizeH="0" baseline="0" smtClean="0">
            <a:ln>
              <a:noFill/>
            </a:ln>
            <a:solidFill>
              <a:srgbClr val="A50E29"/>
            </a:solidFill>
            <a:effectLst/>
            <a:latin typeface="Arial" charset="0"/>
          </a:defRPr>
        </a:defPPr>
      </a:lstStyle>
    </a:lnDef>
  </a:objectDefaults>
  <a:extraClrSchemeLst>
    <a:extraClrScheme>
      <a:clrScheme name="PowerPoint_blue 1">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PowerPoint_blue 2">
        <a:dk1>
          <a:srgbClr val="404143"/>
        </a:dk1>
        <a:lt1>
          <a:srgbClr val="FFFFFF"/>
        </a:lt1>
        <a:dk2>
          <a:srgbClr val="A50E29"/>
        </a:dk2>
        <a:lt2>
          <a:srgbClr val="404143"/>
        </a:lt2>
        <a:accent1>
          <a:srgbClr val="A50E29"/>
        </a:accent1>
        <a:accent2>
          <a:srgbClr val="C8A004"/>
        </a:accent2>
        <a:accent3>
          <a:srgbClr val="FFFFFF"/>
        </a:accent3>
        <a:accent4>
          <a:srgbClr val="353638"/>
        </a:accent4>
        <a:accent5>
          <a:srgbClr val="CFAAAC"/>
        </a:accent5>
        <a:accent6>
          <a:srgbClr val="B59103"/>
        </a:accent6>
        <a:hlink>
          <a:srgbClr val="546288"/>
        </a:hlink>
        <a:folHlink>
          <a:srgbClr val="7D841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61BFE2A11D4081F6FF71BA3B2012" ma:contentTypeVersion="13" ma:contentTypeDescription="Create a new document." ma:contentTypeScope="" ma:versionID="1aaa7317110835c16d2f94c87321bddc">
  <xsd:schema xmlns:xsd="http://www.w3.org/2001/XMLSchema" xmlns:xs="http://www.w3.org/2001/XMLSchema" xmlns:p="http://schemas.microsoft.com/office/2006/metadata/properties" xmlns:ns2="0d94f88c-ab56-4186-855b-d070429a311f" xmlns:ns3="0d0b48b2-d9af-47f9-bcb5-2ead2bd14af0" targetNamespace="http://schemas.microsoft.com/office/2006/metadata/properties" ma:root="true" ma:fieldsID="737604fda2a9b0ce345d5947931e19d3" ns2:_="" ns3:_="">
    <xsd:import namespace="0d94f88c-ab56-4186-855b-d070429a311f"/>
    <xsd:import namespace="0d0b48b2-d9af-47f9-bcb5-2ead2bd14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4f88c-ab56-4186-855b-d070429a3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dfc541-f8d4-4487-b8a8-c1cdd530a1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b48b2-d9af-47f9-bcb5-2ead2bd14a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6cb6a2-e54b-4c4a-bbfc-961c748010fa}" ma:internalName="TaxCatchAll" ma:showField="CatchAllData" ma:web="0d0b48b2-d9af-47f9-bcb5-2ead2bd14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0b48b2-d9af-47f9-bcb5-2ead2bd14af0" xsi:nil="true"/>
    <lcf76f155ced4ddcb4097134ff3c332f xmlns="0d94f88c-ab56-4186-855b-d070429a31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159991-300E-4015-B76C-E23A32388D71}"/>
</file>

<file path=customXml/itemProps2.xml><?xml version="1.0" encoding="utf-8"?>
<ds:datastoreItem xmlns:ds="http://schemas.openxmlformats.org/officeDocument/2006/customXml" ds:itemID="{18EEF46E-E3B1-44A6-B448-ACCC6EECD5C3}">
  <ds:schemaRefs>
    <ds:schemaRef ds:uri="http://schemas.microsoft.com/sharepoint/v3/contenttype/forms"/>
  </ds:schemaRefs>
</ds:datastoreItem>
</file>

<file path=customXml/itemProps3.xml><?xml version="1.0" encoding="utf-8"?>
<ds:datastoreItem xmlns:ds="http://schemas.openxmlformats.org/officeDocument/2006/customXml" ds:itemID="{C9846A4B-3034-437D-9764-83DB7512BBA7}">
  <ds:schemaRefs>
    <ds:schemaRef ds:uri="http://schemas.microsoft.com/office/2006/metadata/properties"/>
    <ds:schemaRef ds:uri="http://schemas.microsoft.com/office/infopath/2007/PartnerControls"/>
    <ds:schemaRef ds:uri="0d0b48b2-d9af-47f9-bcb5-2ead2bd14af0"/>
    <ds:schemaRef ds:uri="23270c9c-e45e-42b6-aea9-300f72c371d8"/>
  </ds:schemaRefs>
</ds:datastoreItem>
</file>

<file path=docMetadata/LabelInfo.xml><?xml version="1.0" encoding="utf-8"?>
<clbl:labelList xmlns:clbl="http://schemas.microsoft.com/office/2020/mipLabelMetadata">
  <clbl:label id="{c3813d9e-7998-4cdb-85fa-c58af80ca59e}" enabled="0" method="" siteId="{c3813d9e-7998-4cdb-85fa-c58af80ca59e}" removed="1"/>
</clbl:labelList>
</file>

<file path=docProps/app.xml><?xml version="1.0" encoding="utf-8"?>
<Properties xmlns="http://schemas.openxmlformats.org/officeDocument/2006/extended-properties" xmlns:vt="http://schemas.openxmlformats.org/officeDocument/2006/docPropsVTypes">
  <Template>Blank</Template>
  <TotalTime>2</TotalTime>
  <Pages>34</Pages>
  <Words>17660</Words>
  <Characters>105409</Characters>
  <Application>Microsoft Office Word</Application>
  <DocSecurity>0</DocSecurity>
  <Lines>878</Lines>
  <Paragraphs>245</Paragraphs>
  <ScaleCrop>false</ScaleCrop>
  <Company>Biovica International AB</Company>
  <LinksUpToDate>false</LinksUpToDate>
  <CharactersWithSpaces>122824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 Morén</cp:lastModifiedBy>
  <cp:revision>3</cp:revision>
  <dcterms:created xsi:type="dcterms:W3CDTF">2025-08-21T11:22:00Z</dcterms:created>
  <dcterms:modified xsi:type="dcterms:W3CDTF">2025-08-21T11:24:00Z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em_Ipsum_Template_String">
    <vt:lpwstr>Loremipsumlolorsitamet</vt:lpwstr>
  </property>
  <property fmtid="{D5CDD505-2E9C-101B-9397-08002B2CF9AE}" pid="3" name="ContentTypeId">
    <vt:lpwstr>0x010100B37861BFE2A11D4081F6FF71BA3B2012</vt:lpwstr>
  </property>
  <property fmtid="{D5CDD505-2E9C-101B-9397-08002B2CF9AE}" pid="4" name="MediaServiceImageTags">
    <vt:lpwstr/>
  </property>
</Properties>
</file>