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C135E" w14:textId="5B5F4BB7" w:rsidR="000F5A53" w:rsidRPr="00545E05" w:rsidRDefault="000F5A53" w:rsidP="0044463C">
      <w:pPr>
        <w:pStyle w:val="BodyText"/>
        <w:jc w:val="right"/>
        <w:rPr>
          <w:b/>
          <w:szCs w:val="22"/>
          <w:lang w:val="sv-SE"/>
        </w:rPr>
      </w:pPr>
      <w:r w:rsidRPr="00285BE4">
        <w:rPr>
          <w:b/>
          <w:szCs w:val="22"/>
          <w:lang w:val="sv-SE"/>
        </w:rPr>
        <w:t xml:space="preserve">Bilaga </w:t>
      </w:r>
      <w:r w:rsidR="00C26F7D">
        <w:rPr>
          <w:b/>
          <w:szCs w:val="22"/>
          <w:lang w:val="sv-SE"/>
        </w:rPr>
        <w:t>4</w:t>
      </w:r>
      <w:r w:rsidRPr="00285BE4">
        <w:rPr>
          <w:b/>
          <w:szCs w:val="22"/>
          <w:lang w:val="sv-SE"/>
        </w:rPr>
        <w:t>/</w:t>
      </w:r>
      <w:proofErr w:type="spellStart"/>
      <w:r w:rsidR="00A7787D" w:rsidRPr="00285BE4">
        <w:rPr>
          <w:b/>
          <w:i/>
          <w:szCs w:val="22"/>
          <w:lang w:val="sv-SE"/>
        </w:rPr>
        <w:t>Exhibit</w:t>
      </w:r>
      <w:proofErr w:type="spellEnd"/>
      <w:r w:rsidR="00A7787D" w:rsidRPr="00285BE4">
        <w:rPr>
          <w:b/>
          <w:i/>
          <w:szCs w:val="22"/>
          <w:lang w:val="sv-SE"/>
        </w:rPr>
        <w:t xml:space="preserve"> </w:t>
      </w:r>
      <w:r w:rsidR="00C26F7D">
        <w:rPr>
          <w:b/>
          <w:i/>
          <w:szCs w:val="22"/>
          <w:lang w:val="sv-SE"/>
        </w:rPr>
        <w:t>4</w:t>
      </w:r>
    </w:p>
    <w:p w14:paraId="7257AF7E" w14:textId="25339652" w:rsidR="000F5A53" w:rsidRPr="00545E05" w:rsidRDefault="00A21500" w:rsidP="00F33587">
      <w:pPr>
        <w:pStyle w:val="Heading1"/>
        <w:pBdr>
          <w:bottom w:val="single" w:sz="12" w:space="1" w:color="auto"/>
        </w:pBdr>
        <w:spacing w:after="0" w:line="240" w:lineRule="auto"/>
        <w:rPr>
          <w:rFonts w:ascii="Times New Roman" w:hAnsi="Times New Roman"/>
          <w:szCs w:val="22"/>
          <w:lang w:val="sv-SE"/>
        </w:rPr>
      </w:pPr>
      <w:r>
        <w:rPr>
          <w:rFonts w:ascii="Times New Roman" w:hAnsi="Times New Roman"/>
          <w:szCs w:val="22"/>
          <w:lang w:val="sv-SE"/>
        </w:rPr>
        <w:t xml:space="preserve">Förslag </w:t>
      </w:r>
      <w:r w:rsidRPr="00A21500">
        <w:rPr>
          <w:rFonts w:ascii="Times New Roman" w:hAnsi="Times New Roman"/>
          <w:color w:val="000000"/>
          <w:szCs w:val="22"/>
          <w:lang w:val="sv-SE"/>
        </w:rPr>
        <w:t xml:space="preserve">till beslut om </w:t>
      </w:r>
      <w:r w:rsidR="002A0465">
        <w:rPr>
          <w:rFonts w:ascii="Times New Roman" w:hAnsi="Times New Roman"/>
          <w:color w:val="000000"/>
          <w:szCs w:val="22"/>
          <w:lang w:val="sv-SE"/>
        </w:rPr>
        <w:t xml:space="preserve">implementering av </w:t>
      </w:r>
      <w:r w:rsidR="00F33587" w:rsidRPr="00F33587">
        <w:rPr>
          <w:rFonts w:ascii="Times New Roman" w:hAnsi="Times New Roman"/>
          <w:color w:val="000000"/>
          <w:szCs w:val="22"/>
          <w:lang w:val="sv-SE"/>
        </w:rPr>
        <w:t>ett prestationsaktieprogram</w:t>
      </w:r>
      <w:r w:rsidR="00AA12B6">
        <w:rPr>
          <w:rFonts w:ascii="Times New Roman" w:hAnsi="Times New Roman"/>
          <w:color w:val="000000"/>
          <w:szCs w:val="22"/>
          <w:lang w:val="sv-SE"/>
        </w:rPr>
        <w:t xml:space="preserve"> 2025/2028:</w:t>
      </w:r>
      <w:r w:rsidR="00C26F7D">
        <w:rPr>
          <w:rFonts w:ascii="Times New Roman" w:hAnsi="Times New Roman"/>
          <w:color w:val="000000"/>
          <w:szCs w:val="22"/>
          <w:lang w:val="sv-SE"/>
        </w:rPr>
        <w:t>2</w:t>
      </w:r>
      <w:r w:rsidR="00F33587" w:rsidRPr="00F33587">
        <w:rPr>
          <w:rFonts w:ascii="Times New Roman" w:hAnsi="Times New Roman"/>
          <w:color w:val="000000"/>
          <w:szCs w:val="22"/>
          <w:lang w:val="sv-SE"/>
        </w:rPr>
        <w:t xml:space="preserve"> för ledande befattningshavare, anställda och övriga nyckelpersoner inom </w:t>
      </w:r>
      <w:r w:rsidR="002B6B8E">
        <w:rPr>
          <w:rFonts w:ascii="Times New Roman" w:hAnsi="Times New Roman"/>
          <w:color w:val="000000"/>
          <w:szCs w:val="22"/>
          <w:lang w:val="sv-SE"/>
        </w:rPr>
        <w:t>b</w:t>
      </w:r>
      <w:r w:rsidR="00F33587" w:rsidRPr="00F33587">
        <w:rPr>
          <w:rFonts w:ascii="Times New Roman" w:hAnsi="Times New Roman"/>
          <w:color w:val="000000"/>
          <w:szCs w:val="22"/>
          <w:lang w:val="sv-SE"/>
        </w:rPr>
        <w:t>olaget och koncernen</w:t>
      </w:r>
      <w:r w:rsidR="00AA12B6">
        <w:rPr>
          <w:rFonts w:ascii="Times New Roman" w:hAnsi="Times New Roman"/>
          <w:color w:val="000000"/>
          <w:szCs w:val="22"/>
          <w:lang w:val="sv-SE"/>
        </w:rPr>
        <w:t xml:space="preserve"> verksamma i Sverige och Danmark</w:t>
      </w:r>
    </w:p>
    <w:p w14:paraId="42F9866F" w14:textId="5F8A1F45" w:rsidR="000F5A53" w:rsidRPr="00545E05" w:rsidRDefault="00A21500" w:rsidP="00F33587">
      <w:pPr>
        <w:pStyle w:val="Heading1"/>
        <w:pBdr>
          <w:bottom w:val="single" w:sz="12" w:space="1" w:color="auto"/>
        </w:pBdr>
        <w:spacing w:after="0" w:line="240" w:lineRule="auto"/>
        <w:rPr>
          <w:rFonts w:ascii="Times New Roman" w:hAnsi="Times New Roman"/>
          <w:i/>
          <w:szCs w:val="22"/>
        </w:rPr>
      </w:pPr>
      <w:r>
        <w:rPr>
          <w:rFonts w:ascii="Times New Roman" w:hAnsi="Times New Roman"/>
          <w:i/>
          <w:szCs w:val="22"/>
        </w:rPr>
        <w:t>Proposal</w:t>
      </w:r>
      <w:r w:rsidRPr="00A21500">
        <w:rPr>
          <w:rFonts w:ascii="Times New Roman" w:hAnsi="Times New Roman"/>
          <w:i/>
          <w:iCs/>
          <w:color w:val="000000"/>
          <w:szCs w:val="22"/>
          <w:lang w:val="en-US"/>
        </w:rPr>
        <w:t xml:space="preserve"> </w:t>
      </w:r>
      <w:r w:rsidR="002A0465">
        <w:rPr>
          <w:rFonts w:ascii="Times New Roman" w:hAnsi="Times New Roman"/>
          <w:i/>
          <w:iCs/>
          <w:color w:val="000000"/>
          <w:szCs w:val="22"/>
          <w:lang w:val="en-US"/>
        </w:rPr>
        <w:t xml:space="preserve">for resolution </w:t>
      </w:r>
      <w:r w:rsidRPr="00A21500">
        <w:rPr>
          <w:rFonts w:ascii="Times New Roman" w:hAnsi="Times New Roman"/>
          <w:i/>
          <w:color w:val="000000"/>
          <w:szCs w:val="22"/>
          <w:lang w:val="en-US"/>
        </w:rPr>
        <w:t>regarding</w:t>
      </w:r>
      <w:r w:rsidRPr="00A21500">
        <w:rPr>
          <w:rFonts w:ascii="Times New Roman" w:hAnsi="Times New Roman"/>
          <w:i/>
          <w:iCs/>
          <w:color w:val="000000"/>
          <w:szCs w:val="22"/>
          <w:lang w:val="en-US"/>
        </w:rPr>
        <w:t xml:space="preserve"> </w:t>
      </w:r>
      <w:r w:rsidR="002A0465">
        <w:rPr>
          <w:rFonts w:ascii="Times New Roman" w:hAnsi="Times New Roman"/>
          <w:i/>
          <w:iCs/>
          <w:color w:val="000000"/>
          <w:szCs w:val="22"/>
          <w:lang w:val="en-US"/>
        </w:rPr>
        <w:t xml:space="preserve">implementation of </w:t>
      </w:r>
      <w:r w:rsidR="00F33587" w:rsidRPr="00F33587">
        <w:rPr>
          <w:rFonts w:ascii="Times New Roman" w:hAnsi="Times New Roman"/>
          <w:i/>
          <w:iCs/>
          <w:color w:val="000000"/>
          <w:szCs w:val="22"/>
          <w:lang w:val="en-US"/>
        </w:rPr>
        <w:t xml:space="preserve">a performance share program </w:t>
      </w:r>
      <w:r w:rsidR="00AA12B6">
        <w:rPr>
          <w:rFonts w:ascii="Times New Roman" w:hAnsi="Times New Roman"/>
          <w:i/>
          <w:iCs/>
          <w:color w:val="000000"/>
          <w:szCs w:val="22"/>
          <w:lang w:val="en-US"/>
        </w:rPr>
        <w:t>2025/2028:</w:t>
      </w:r>
      <w:r w:rsidR="00C26F7D">
        <w:rPr>
          <w:rFonts w:ascii="Times New Roman" w:hAnsi="Times New Roman"/>
          <w:i/>
          <w:iCs/>
          <w:color w:val="000000"/>
          <w:szCs w:val="22"/>
          <w:lang w:val="en-US"/>
        </w:rPr>
        <w:t>2</w:t>
      </w:r>
      <w:r w:rsidR="00AA12B6">
        <w:rPr>
          <w:rFonts w:ascii="Times New Roman" w:hAnsi="Times New Roman"/>
          <w:i/>
          <w:iCs/>
          <w:color w:val="000000"/>
          <w:szCs w:val="22"/>
          <w:lang w:val="en-US"/>
        </w:rPr>
        <w:t xml:space="preserve"> </w:t>
      </w:r>
      <w:r w:rsidR="00F33587" w:rsidRPr="00F33587">
        <w:rPr>
          <w:rFonts w:ascii="Times New Roman" w:hAnsi="Times New Roman"/>
          <w:i/>
          <w:iCs/>
          <w:color w:val="000000"/>
          <w:szCs w:val="22"/>
          <w:lang w:val="en-US"/>
        </w:rPr>
        <w:t xml:space="preserve">for senior executives, employees and other key </w:t>
      </w:r>
      <w:r w:rsidR="005915F1">
        <w:rPr>
          <w:rFonts w:ascii="Times New Roman" w:hAnsi="Times New Roman"/>
          <w:i/>
          <w:iCs/>
          <w:color w:val="000000"/>
          <w:szCs w:val="22"/>
          <w:lang w:val="en-US"/>
        </w:rPr>
        <w:t>individuals</w:t>
      </w:r>
      <w:r w:rsidR="00F33587" w:rsidRPr="00F33587">
        <w:rPr>
          <w:rFonts w:ascii="Times New Roman" w:hAnsi="Times New Roman"/>
          <w:i/>
          <w:iCs/>
          <w:color w:val="000000"/>
          <w:szCs w:val="22"/>
          <w:lang w:val="en-US"/>
        </w:rPr>
        <w:t xml:space="preserve"> within the </w:t>
      </w:r>
      <w:r w:rsidR="002B6B8E">
        <w:rPr>
          <w:rFonts w:ascii="Times New Roman" w:hAnsi="Times New Roman"/>
          <w:i/>
          <w:iCs/>
          <w:color w:val="000000"/>
          <w:szCs w:val="22"/>
          <w:lang w:val="en-US"/>
        </w:rPr>
        <w:t>c</w:t>
      </w:r>
      <w:r w:rsidR="00F33587" w:rsidRPr="00F33587">
        <w:rPr>
          <w:rFonts w:ascii="Times New Roman" w:hAnsi="Times New Roman"/>
          <w:i/>
          <w:iCs/>
          <w:color w:val="000000"/>
          <w:szCs w:val="22"/>
          <w:lang w:val="en-US"/>
        </w:rPr>
        <w:t>ompany and the group</w:t>
      </w:r>
      <w:r w:rsidR="00AA12B6">
        <w:rPr>
          <w:rFonts w:ascii="Times New Roman" w:hAnsi="Times New Roman"/>
          <w:i/>
          <w:iCs/>
          <w:color w:val="000000"/>
          <w:szCs w:val="22"/>
          <w:lang w:val="en-US"/>
        </w:rPr>
        <w:t xml:space="preserve"> operating in Sweden and Denmark</w:t>
      </w:r>
    </w:p>
    <w:p w14:paraId="279FAADD" w14:textId="77777777" w:rsidR="00DC11E9" w:rsidRPr="00545E05" w:rsidRDefault="00DC11E9" w:rsidP="00DC11E9">
      <w:pPr>
        <w:pStyle w:val="BodyText"/>
        <w:spacing w:after="0"/>
        <w:rPr>
          <w:szCs w:val="22"/>
        </w:rPr>
      </w:pPr>
    </w:p>
    <w:p w14:paraId="5DE4B0CF" w14:textId="77777777" w:rsidR="001A1DEB" w:rsidRPr="008E348A" w:rsidRDefault="001A1DEB" w:rsidP="001A1DEB">
      <w:pPr>
        <w:pStyle w:val="BodyText"/>
        <w:spacing w:after="0"/>
        <w:rPr>
          <w:b/>
          <w:bCs/>
          <w:szCs w:val="22"/>
          <w:lang w:val="sv-SE"/>
        </w:rPr>
      </w:pPr>
      <w:bookmarkStart w:id="0" w:name="_Hlk206169737"/>
      <w:bookmarkStart w:id="1" w:name="_Hlk133489178"/>
      <w:r w:rsidRPr="008E348A">
        <w:rPr>
          <w:b/>
          <w:bCs/>
          <w:szCs w:val="22"/>
          <w:lang w:val="sv-SE"/>
        </w:rPr>
        <w:t>Bakgrund och motiv</w:t>
      </w:r>
    </w:p>
    <w:bookmarkEnd w:id="0"/>
    <w:p w14:paraId="295FD3AF" w14:textId="77777777" w:rsidR="001A1DEB" w:rsidRPr="008E348A" w:rsidRDefault="001A1DEB" w:rsidP="001A1DEB">
      <w:pPr>
        <w:pStyle w:val="BodyText"/>
        <w:spacing w:after="0"/>
        <w:rPr>
          <w:b/>
          <w:bCs/>
          <w:i/>
          <w:iCs/>
          <w:szCs w:val="22"/>
          <w:lang w:val="sv-SE"/>
        </w:rPr>
      </w:pPr>
      <w:proofErr w:type="spellStart"/>
      <w:r w:rsidRPr="008E348A">
        <w:rPr>
          <w:b/>
          <w:bCs/>
          <w:i/>
          <w:iCs/>
          <w:szCs w:val="22"/>
          <w:lang w:val="sv-SE"/>
        </w:rPr>
        <w:t>Background</w:t>
      </w:r>
      <w:proofErr w:type="spellEnd"/>
      <w:r w:rsidRPr="008E348A">
        <w:rPr>
          <w:b/>
          <w:bCs/>
          <w:i/>
          <w:iCs/>
          <w:szCs w:val="22"/>
          <w:lang w:val="sv-SE"/>
        </w:rPr>
        <w:t xml:space="preserve"> and </w:t>
      </w:r>
      <w:proofErr w:type="spellStart"/>
      <w:r w:rsidRPr="008E348A">
        <w:rPr>
          <w:b/>
          <w:bCs/>
          <w:i/>
          <w:iCs/>
          <w:szCs w:val="22"/>
          <w:lang w:val="sv-SE"/>
        </w:rPr>
        <w:t>motive</w:t>
      </w:r>
      <w:proofErr w:type="spellEnd"/>
    </w:p>
    <w:p w14:paraId="5C48BC49" w14:textId="5F6CCD30" w:rsidR="001A1DEB" w:rsidRPr="008E348A" w:rsidRDefault="001A1DEB" w:rsidP="001A1DEB">
      <w:pPr>
        <w:pStyle w:val="BodyText"/>
        <w:spacing w:after="0"/>
        <w:rPr>
          <w:szCs w:val="22"/>
          <w:lang w:val="sv-SE"/>
        </w:rPr>
      </w:pPr>
      <w:bookmarkStart w:id="2" w:name="_Hlk170326927"/>
      <w:r w:rsidRPr="008E348A">
        <w:rPr>
          <w:szCs w:val="22"/>
          <w:lang w:val="sv-SE"/>
        </w:rPr>
        <w:t xml:space="preserve">Styrelsen för </w:t>
      </w:r>
      <w:r w:rsidRPr="008E348A">
        <w:rPr>
          <w:bCs/>
          <w:iCs/>
          <w:szCs w:val="22"/>
          <w:lang w:val="sv-SE"/>
        </w:rPr>
        <w:t xml:space="preserve">Biovica International AB, org.nr </w:t>
      </w:r>
      <w:proofErr w:type="gramStart"/>
      <w:r w:rsidRPr="008E348A">
        <w:rPr>
          <w:bCs/>
          <w:iCs/>
          <w:szCs w:val="22"/>
          <w:lang w:val="sv-SE"/>
        </w:rPr>
        <w:t>556774-6150</w:t>
      </w:r>
      <w:proofErr w:type="gramEnd"/>
      <w:r w:rsidRPr="008E348A">
        <w:rPr>
          <w:bCs/>
          <w:iCs/>
          <w:szCs w:val="22"/>
          <w:lang w:val="sv-SE"/>
        </w:rPr>
        <w:t xml:space="preserve"> ("</w:t>
      </w:r>
      <w:r w:rsidRPr="008E348A">
        <w:rPr>
          <w:b/>
          <w:bCs/>
          <w:iCs/>
          <w:szCs w:val="22"/>
          <w:lang w:val="sv-SE"/>
        </w:rPr>
        <w:t>Bolaget</w:t>
      </w:r>
      <w:r w:rsidRPr="008E348A">
        <w:rPr>
          <w:bCs/>
          <w:iCs/>
          <w:szCs w:val="22"/>
          <w:lang w:val="sv-SE"/>
        </w:rPr>
        <w:t>")</w:t>
      </w:r>
      <w:r w:rsidR="00EA349E">
        <w:rPr>
          <w:bCs/>
          <w:iCs/>
          <w:szCs w:val="22"/>
          <w:lang w:val="sv-SE"/>
        </w:rPr>
        <w:t>,</w:t>
      </w:r>
      <w:r w:rsidRPr="008E348A">
        <w:rPr>
          <w:szCs w:val="22"/>
          <w:lang w:val="sv-SE"/>
        </w:rPr>
        <w:t xml:space="preserve"> föreslår </w:t>
      </w:r>
      <w:bookmarkStart w:id="3" w:name="_Hlk206169762"/>
      <w:r w:rsidRPr="008E348A">
        <w:rPr>
          <w:szCs w:val="22"/>
          <w:lang w:val="sv-SE"/>
        </w:rPr>
        <w:t xml:space="preserve">att </w:t>
      </w:r>
      <w:r w:rsidR="00EA349E">
        <w:rPr>
          <w:szCs w:val="22"/>
          <w:lang w:val="sv-SE"/>
        </w:rPr>
        <w:t>årsstämman</w:t>
      </w:r>
      <w:r w:rsidRPr="008E348A">
        <w:rPr>
          <w:szCs w:val="22"/>
          <w:lang w:val="sv-SE"/>
        </w:rPr>
        <w:t xml:space="preserve"> beslutar att </w:t>
      </w:r>
      <w:r w:rsidR="00EA349E">
        <w:rPr>
          <w:szCs w:val="22"/>
          <w:lang w:val="sv-SE"/>
        </w:rPr>
        <w:t>implementera</w:t>
      </w:r>
      <w:r w:rsidRPr="008E348A">
        <w:rPr>
          <w:szCs w:val="22"/>
          <w:lang w:val="sv-SE"/>
        </w:rPr>
        <w:t xml:space="preserve"> ett prestationsaktieprogram för ledande befattningshavare, anställda och övriga nyckelpersoner i Bolaget och koncernen</w:t>
      </w:r>
      <w:r w:rsidR="006B1763">
        <w:rPr>
          <w:szCs w:val="22"/>
          <w:lang w:val="sv-SE"/>
        </w:rPr>
        <w:t xml:space="preserve"> verksamma i Sverige och Danmark</w:t>
      </w:r>
      <w:r w:rsidRPr="008E348A">
        <w:rPr>
          <w:szCs w:val="22"/>
          <w:lang w:val="sv-SE"/>
        </w:rPr>
        <w:t xml:space="preserve"> ("</w:t>
      </w:r>
      <w:r w:rsidRPr="008E348A">
        <w:rPr>
          <w:b/>
          <w:bCs/>
          <w:szCs w:val="22"/>
          <w:lang w:val="sv-SE"/>
        </w:rPr>
        <w:t xml:space="preserve">Prestationsaktieprogram </w:t>
      </w:r>
      <w:r w:rsidR="00C26F7D">
        <w:rPr>
          <w:b/>
          <w:bCs/>
          <w:szCs w:val="22"/>
          <w:lang w:val="sv-SE"/>
        </w:rPr>
        <w:t>2025/2028:2</w:t>
      </w:r>
      <w:r w:rsidRPr="008E348A">
        <w:rPr>
          <w:szCs w:val="22"/>
          <w:lang w:val="sv-SE"/>
        </w:rPr>
        <w:t>") i enlighet med nedan.</w:t>
      </w:r>
      <w:bookmarkEnd w:id="3"/>
    </w:p>
    <w:p w14:paraId="6D6C22F2" w14:textId="34F38CBD" w:rsidR="001A1DEB" w:rsidRPr="008E348A" w:rsidRDefault="001A1DEB" w:rsidP="001A1DEB">
      <w:pPr>
        <w:pStyle w:val="BodyText"/>
        <w:rPr>
          <w:i/>
          <w:iCs/>
          <w:szCs w:val="22"/>
          <w:lang w:val="en-US"/>
        </w:rPr>
      </w:pPr>
      <w:r w:rsidRPr="008E348A">
        <w:rPr>
          <w:i/>
          <w:iCs/>
          <w:szCs w:val="22"/>
          <w:lang w:val="en-US"/>
        </w:rPr>
        <w:t xml:space="preserve">The board of directors of </w:t>
      </w:r>
      <w:r w:rsidRPr="008E348A">
        <w:rPr>
          <w:i/>
          <w:szCs w:val="22"/>
          <w:lang w:val="en-US"/>
        </w:rPr>
        <w:t>Biovica International AB, reg. no. 556774-6150 (the "</w:t>
      </w:r>
      <w:r w:rsidRPr="008E348A">
        <w:rPr>
          <w:b/>
          <w:i/>
          <w:szCs w:val="22"/>
          <w:lang w:val="en-US"/>
        </w:rPr>
        <w:t>Company</w:t>
      </w:r>
      <w:r w:rsidRPr="008E348A">
        <w:rPr>
          <w:i/>
          <w:szCs w:val="22"/>
          <w:lang w:val="en-US"/>
        </w:rPr>
        <w:t>")</w:t>
      </w:r>
      <w:r w:rsidR="00EA349E">
        <w:rPr>
          <w:i/>
          <w:szCs w:val="22"/>
          <w:lang w:val="en-US"/>
        </w:rPr>
        <w:t>,</w:t>
      </w:r>
      <w:r w:rsidRPr="008E348A">
        <w:rPr>
          <w:szCs w:val="22"/>
        </w:rPr>
        <w:t xml:space="preserve"> </w:t>
      </w:r>
      <w:r w:rsidRPr="008E348A">
        <w:rPr>
          <w:i/>
          <w:iCs/>
          <w:szCs w:val="22"/>
          <w:lang w:val="en-US"/>
        </w:rPr>
        <w:t xml:space="preserve">proposes that </w:t>
      </w:r>
      <w:bookmarkStart w:id="4" w:name="_Hlk206164102"/>
      <w:r w:rsidRPr="008E348A">
        <w:rPr>
          <w:i/>
          <w:iCs/>
          <w:szCs w:val="22"/>
          <w:lang w:val="en-US"/>
        </w:rPr>
        <w:t xml:space="preserve">the </w:t>
      </w:r>
      <w:r w:rsidR="00EA349E">
        <w:rPr>
          <w:i/>
          <w:iCs/>
          <w:szCs w:val="22"/>
          <w:lang w:val="en-US"/>
        </w:rPr>
        <w:t>annual general</w:t>
      </w:r>
      <w:r w:rsidRPr="008E348A">
        <w:rPr>
          <w:i/>
          <w:iCs/>
          <w:szCs w:val="22"/>
          <w:lang w:val="en-US"/>
        </w:rPr>
        <w:t xml:space="preserve"> meeting resolves to implement a performance share program for senior executives, employees and other key individuals in the Company and group</w:t>
      </w:r>
      <w:r w:rsidR="006B1763">
        <w:rPr>
          <w:i/>
          <w:iCs/>
          <w:szCs w:val="22"/>
          <w:lang w:val="en-US"/>
        </w:rPr>
        <w:t xml:space="preserve"> operating in Sweden and Denmark</w:t>
      </w:r>
      <w:r w:rsidRPr="008E348A">
        <w:rPr>
          <w:i/>
          <w:iCs/>
          <w:szCs w:val="22"/>
          <w:lang w:val="en-US"/>
        </w:rPr>
        <w:t xml:space="preserve"> ("</w:t>
      </w:r>
      <w:r w:rsidRPr="008E348A">
        <w:rPr>
          <w:b/>
          <w:bCs/>
          <w:i/>
          <w:iCs/>
          <w:szCs w:val="22"/>
          <w:lang w:val="en-US"/>
        </w:rPr>
        <w:t xml:space="preserve">Performance Share Program </w:t>
      </w:r>
      <w:r w:rsidR="00C26F7D">
        <w:rPr>
          <w:b/>
          <w:bCs/>
          <w:i/>
          <w:iCs/>
          <w:szCs w:val="22"/>
          <w:lang w:val="en-US"/>
        </w:rPr>
        <w:t>2025/2028:2</w:t>
      </w:r>
      <w:r w:rsidRPr="008E348A">
        <w:rPr>
          <w:i/>
          <w:iCs/>
          <w:szCs w:val="22"/>
          <w:lang w:val="en-US"/>
        </w:rPr>
        <w:t>") in accordance with below.</w:t>
      </w:r>
      <w:bookmarkEnd w:id="4"/>
    </w:p>
    <w:p w14:paraId="6885835D" w14:textId="24481E78" w:rsidR="001A1DEB" w:rsidRPr="008E348A" w:rsidRDefault="001A1DEB" w:rsidP="00B861D0">
      <w:pPr>
        <w:pStyle w:val="BodyText"/>
        <w:spacing w:after="0"/>
        <w:rPr>
          <w:szCs w:val="22"/>
          <w:lang w:val="sv-SE"/>
        </w:rPr>
      </w:pPr>
      <w:bookmarkStart w:id="5" w:name="_Hlk206169771"/>
      <w:r w:rsidRPr="008E348A">
        <w:rPr>
          <w:szCs w:val="22"/>
          <w:lang w:val="sv-SE"/>
        </w:rPr>
        <w:t>Syftet med förslaget är att skapa förutsättningar för att behålla samt öka motivationen hos ledande befattningshavare, anställda och övriga nyckelpersoner inom Bolaget och koncernen. Styrelsen finner att det ligger i samtliga aktieägares intresse att ledande befattningshavare</w:t>
      </w:r>
      <w:r w:rsidR="00EA349E">
        <w:rPr>
          <w:szCs w:val="22"/>
          <w:lang w:val="sv-SE"/>
        </w:rPr>
        <w:t>, anställda</w:t>
      </w:r>
      <w:r w:rsidRPr="008E348A">
        <w:rPr>
          <w:szCs w:val="22"/>
          <w:lang w:val="sv-SE"/>
        </w:rPr>
        <w:t xml:space="preserve"> och övriga nyckelpersoner, vilka bedöms vara viktiga för koncernens utveckling, har ett långsiktigt intresse av en god värdeutveckling på aktien i Bolaget. Ett långsiktigt ägarengagemang förväntas stimulera ett ökat intresse för verksamheten och resultatutvecklingen i sin helhet samt höja motivationen för deltagarna och syftar till att uppnå ökad intressegemenskap mellan den deltagande och Bolagets aktieägare. </w:t>
      </w:r>
    </w:p>
    <w:p w14:paraId="650D84E3" w14:textId="371D7800" w:rsidR="001A1DEB" w:rsidRPr="008E348A" w:rsidRDefault="001A1DEB" w:rsidP="00B861D0">
      <w:pPr>
        <w:pStyle w:val="BodyText"/>
        <w:rPr>
          <w:szCs w:val="22"/>
          <w:lang w:val="en-US"/>
        </w:rPr>
      </w:pPr>
      <w:bookmarkStart w:id="6" w:name="_Hlk206164118"/>
      <w:r w:rsidRPr="008E348A">
        <w:rPr>
          <w:i/>
          <w:iCs/>
          <w:szCs w:val="22"/>
          <w:lang w:val="en-US"/>
        </w:rPr>
        <w:t xml:space="preserve">The purpose of </w:t>
      </w:r>
      <w:proofErr w:type="gramStart"/>
      <w:r w:rsidRPr="008E348A">
        <w:rPr>
          <w:i/>
          <w:iCs/>
          <w:szCs w:val="22"/>
          <w:lang w:val="en-US"/>
        </w:rPr>
        <w:t>the</w:t>
      </w:r>
      <w:proofErr w:type="gramEnd"/>
      <w:r w:rsidRPr="008E348A">
        <w:rPr>
          <w:i/>
          <w:iCs/>
          <w:szCs w:val="22"/>
          <w:lang w:val="en-US"/>
        </w:rPr>
        <w:t xml:space="preserve"> proposal is to create conditions to retain and increase motivation among senior executives, employees and other key </w:t>
      </w:r>
      <w:r w:rsidR="005915F1">
        <w:rPr>
          <w:i/>
          <w:iCs/>
          <w:szCs w:val="22"/>
          <w:lang w:val="en-US"/>
        </w:rPr>
        <w:t>individuals</w:t>
      </w:r>
      <w:r w:rsidRPr="008E348A">
        <w:rPr>
          <w:i/>
          <w:iCs/>
          <w:szCs w:val="22"/>
          <w:lang w:val="en-US"/>
        </w:rPr>
        <w:t xml:space="preserve"> in the Company and group. The board of directors believes that it is in the interest of all shareholders that senior executives</w:t>
      </w:r>
      <w:r w:rsidR="00EA349E">
        <w:rPr>
          <w:i/>
          <w:iCs/>
          <w:szCs w:val="22"/>
          <w:lang w:val="en-US"/>
        </w:rPr>
        <w:t xml:space="preserve">, employees </w:t>
      </w:r>
      <w:r w:rsidRPr="008E348A">
        <w:rPr>
          <w:i/>
          <w:iCs/>
          <w:szCs w:val="22"/>
          <w:lang w:val="en-US"/>
        </w:rPr>
        <w:t>and other key</w:t>
      </w:r>
      <w:r w:rsidR="00EA349E">
        <w:rPr>
          <w:i/>
          <w:iCs/>
          <w:szCs w:val="22"/>
          <w:lang w:val="en-US"/>
        </w:rPr>
        <w:t xml:space="preserve"> </w:t>
      </w:r>
      <w:r w:rsidR="005915F1">
        <w:rPr>
          <w:i/>
          <w:iCs/>
          <w:szCs w:val="22"/>
          <w:lang w:val="en-US"/>
        </w:rPr>
        <w:t>individuals</w:t>
      </w:r>
      <w:r w:rsidRPr="008E348A">
        <w:rPr>
          <w:i/>
          <w:iCs/>
          <w:szCs w:val="22"/>
          <w:lang w:val="en-US"/>
        </w:rPr>
        <w:t xml:space="preserve">, which are deemed to be important for the group's development, have a long-term interest in </w:t>
      </w:r>
      <w:proofErr w:type="gramStart"/>
      <w:r w:rsidRPr="008E348A">
        <w:rPr>
          <w:i/>
          <w:iCs/>
          <w:szCs w:val="22"/>
          <w:lang w:val="en-US"/>
        </w:rPr>
        <w:t>a positive</w:t>
      </w:r>
      <w:proofErr w:type="gramEnd"/>
      <w:r w:rsidRPr="008E348A">
        <w:rPr>
          <w:i/>
          <w:iCs/>
          <w:szCs w:val="22"/>
          <w:lang w:val="en-US"/>
        </w:rPr>
        <w:t xml:space="preserve"> development of the Company's share price. Through the proposed program, a long-term ownership commitment is created, which is expected to stimulate an increased interest in the business and the Company's performance in general.</w:t>
      </w:r>
      <w:bookmarkEnd w:id="6"/>
    </w:p>
    <w:p w14:paraId="5F79F754" w14:textId="410D8CB8" w:rsidR="00280326" w:rsidRPr="00280326" w:rsidRDefault="00280326" w:rsidP="00B861D0">
      <w:pPr>
        <w:pStyle w:val="BodyText"/>
        <w:spacing w:after="0"/>
        <w:rPr>
          <w:b/>
          <w:bCs/>
          <w:szCs w:val="22"/>
          <w:lang w:val="sv-SE"/>
        </w:rPr>
      </w:pPr>
      <w:r>
        <w:rPr>
          <w:b/>
          <w:bCs/>
          <w:szCs w:val="22"/>
          <w:lang w:val="sv-SE"/>
        </w:rPr>
        <w:t>Säkringsåtgärder och leverans av aktier</w:t>
      </w:r>
    </w:p>
    <w:p w14:paraId="09D5FD07" w14:textId="161E03FB" w:rsidR="00280326" w:rsidRPr="00EE396E" w:rsidRDefault="00280326" w:rsidP="00B861D0">
      <w:pPr>
        <w:pStyle w:val="BodyText"/>
        <w:spacing w:after="0"/>
        <w:rPr>
          <w:b/>
          <w:bCs/>
          <w:i/>
          <w:iCs/>
          <w:szCs w:val="22"/>
          <w:lang w:val="sv-SE"/>
        </w:rPr>
      </w:pPr>
      <w:proofErr w:type="spellStart"/>
      <w:r w:rsidRPr="00EE396E">
        <w:rPr>
          <w:b/>
          <w:bCs/>
          <w:i/>
          <w:iCs/>
          <w:szCs w:val="22"/>
          <w:lang w:val="sv-SE"/>
        </w:rPr>
        <w:t>Hedging</w:t>
      </w:r>
      <w:proofErr w:type="spellEnd"/>
      <w:r w:rsidRPr="00EE396E">
        <w:rPr>
          <w:b/>
          <w:bCs/>
          <w:i/>
          <w:iCs/>
          <w:szCs w:val="22"/>
          <w:lang w:val="sv-SE"/>
        </w:rPr>
        <w:t xml:space="preserve"> </w:t>
      </w:r>
      <w:proofErr w:type="spellStart"/>
      <w:r w:rsidRPr="00EE396E">
        <w:rPr>
          <w:b/>
          <w:bCs/>
          <w:i/>
          <w:iCs/>
          <w:szCs w:val="22"/>
          <w:lang w:val="sv-SE"/>
        </w:rPr>
        <w:t>measures</w:t>
      </w:r>
      <w:proofErr w:type="spellEnd"/>
      <w:r w:rsidRPr="00EE396E">
        <w:rPr>
          <w:b/>
          <w:bCs/>
          <w:i/>
          <w:iCs/>
          <w:szCs w:val="22"/>
          <w:lang w:val="sv-SE"/>
        </w:rPr>
        <w:t xml:space="preserve"> and </w:t>
      </w:r>
      <w:proofErr w:type="spellStart"/>
      <w:r w:rsidRPr="00EE396E">
        <w:rPr>
          <w:b/>
          <w:bCs/>
          <w:i/>
          <w:iCs/>
          <w:szCs w:val="22"/>
          <w:lang w:val="sv-SE"/>
        </w:rPr>
        <w:t>delivery</w:t>
      </w:r>
      <w:proofErr w:type="spellEnd"/>
      <w:r w:rsidRPr="00EE396E">
        <w:rPr>
          <w:b/>
          <w:bCs/>
          <w:i/>
          <w:iCs/>
          <w:szCs w:val="22"/>
          <w:lang w:val="sv-SE"/>
        </w:rPr>
        <w:t xml:space="preserve"> of </w:t>
      </w:r>
      <w:proofErr w:type="spellStart"/>
      <w:r w:rsidRPr="00EE396E">
        <w:rPr>
          <w:b/>
          <w:bCs/>
          <w:i/>
          <w:iCs/>
          <w:szCs w:val="22"/>
          <w:lang w:val="sv-SE"/>
        </w:rPr>
        <w:t>shares</w:t>
      </w:r>
      <w:proofErr w:type="spellEnd"/>
    </w:p>
    <w:p w14:paraId="52AFED34" w14:textId="12AFEDF8" w:rsidR="001A1DEB" w:rsidRPr="008E348A" w:rsidRDefault="001A1DEB" w:rsidP="00B861D0">
      <w:pPr>
        <w:pStyle w:val="BodyText"/>
        <w:spacing w:after="0"/>
        <w:rPr>
          <w:szCs w:val="22"/>
          <w:lang w:val="sv-SE"/>
        </w:rPr>
      </w:pPr>
      <w:r w:rsidRPr="008E348A">
        <w:rPr>
          <w:szCs w:val="22"/>
          <w:lang w:val="sv-SE"/>
        </w:rPr>
        <w:t xml:space="preserve">För att säkerställa Bolagets åtaganden enligt Prestationsaktieprogram </w:t>
      </w:r>
      <w:r w:rsidR="00C26F7D">
        <w:rPr>
          <w:szCs w:val="22"/>
          <w:lang w:val="sv-SE"/>
        </w:rPr>
        <w:t>2025/2028:2</w:t>
      </w:r>
      <w:r w:rsidRPr="008E348A">
        <w:rPr>
          <w:szCs w:val="22"/>
          <w:lang w:val="sv-SE"/>
        </w:rPr>
        <w:t xml:space="preserve"> föreslår styrelsen även att </w:t>
      </w:r>
      <w:r w:rsidR="00EA349E">
        <w:rPr>
          <w:szCs w:val="22"/>
          <w:lang w:val="sv-SE"/>
        </w:rPr>
        <w:t>årsstämman</w:t>
      </w:r>
      <w:r w:rsidRPr="008E348A">
        <w:rPr>
          <w:szCs w:val="22"/>
          <w:lang w:val="sv-SE"/>
        </w:rPr>
        <w:t xml:space="preserve"> beslutar om en emission av teckningsoptioner samt godkännande av överlåtelse av teckningsoptioner i enlighet med vad som framgår av </w:t>
      </w:r>
      <w:r w:rsidR="00C26F7D">
        <w:rPr>
          <w:szCs w:val="22"/>
          <w:u w:val="single"/>
          <w:lang w:val="sv-SE"/>
        </w:rPr>
        <w:t>Bilaga 4</w:t>
      </w:r>
      <w:r w:rsidRPr="008E348A">
        <w:rPr>
          <w:szCs w:val="22"/>
          <w:u w:val="single"/>
          <w:lang w:val="sv-SE"/>
        </w:rPr>
        <w:t>b</w:t>
      </w:r>
      <w:r w:rsidRPr="008E348A">
        <w:rPr>
          <w:szCs w:val="22"/>
          <w:lang w:val="sv-SE"/>
        </w:rPr>
        <w:t>.</w:t>
      </w:r>
      <w:r w:rsidR="00280326">
        <w:rPr>
          <w:szCs w:val="22"/>
          <w:lang w:val="sv-SE"/>
        </w:rPr>
        <w:t xml:space="preserve"> </w:t>
      </w:r>
      <w:r w:rsidR="00280326" w:rsidRPr="00280326">
        <w:rPr>
          <w:szCs w:val="22"/>
          <w:lang w:val="sv-SE"/>
        </w:rPr>
        <w:t xml:space="preserve">Teckningsoptionerna ska tecknas Bolaget eller annat koncernbolag, vilka ska åta sig att överlåta teckningsoptionerna till deltagarna för att täcka det antal aktier som </w:t>
      </w:r>
      <w:r w:rsidR="00280326">
        <w:rPr>
          <w:szCs w:val="22"/>
          <w:lang w:val="sv-SE"/>
        </w:rPr>
        <w:t>Prestationsaktier</w:t>
      </w:r>
      <w:r w:rsidR="00280326" w:rsidRPr="00280326">
        <w:rPr>
          <w:szCs w:val="22"/>
          <w:lang w:val="sv-SE"/>
        </w:rPr>
        <w:t xml:space="preserve"> kan komma att berättiga till.</w:t>
      </w:r>
    </w:p>
    <w:p w14:paraId="422BBD94" w14:textId="3B585A89" w:rsidR="001A1DEB" w:rsidRPr="008E348A" w:rsidRDefault="001A1DEB" w:rsidP="00B861D0">
      <w:pPr>
        <w:pStyle w:val="BodyText"/>
        <w:rPr>
          <w:i/>
          <w:iCs/>
          <w:szCs w:val="22"/>
          <w:lang w:val="en-US"/>
        </w:rPr>
      </w:pPr>
      <w:bookmarkStart w:id="7" w:name="_Hlk206164149"/>
      <w:proofErr w:type="gramStart"/>
      <w:r w:rsidRPr="008E348A">
        <w:rPr>
          <w:i/>
          <w:iCs/>
          <w:szCs w:val="22"/>
          <w:lang w:val="en-US"/>
        </w:rPr>
        <w:t>In order to</w:t>
      </w:r>
      <w:proofErr w:type="gramEnd"/>
      <w:r w:rsidRPr="008E348A">
        <w:rPr>
          <w:i/>
          <w:iCs/>
          <w:szCs w:val="22"/>
          <w:lang w:val="en-US"/>
        </w:rPr>
        <w:t xml:space="preserve"> secure the Company</w:t>
      </w:r>
      <w:r w:rsidR="00EA349E">
        <w:rPr>
          <w:i/>
          <w:iCs/>
          <w:szCs w:val="22"/>
          <w:lang w:val="en-US"/>
        </w:rPr>
        <w:t>'</w:t>
      </w:r>
      <w:r w:rsidRPr="008E348A">
        <w:rPr>
          <w:i/>
          <w:iCs/>
          <w:szCs w:val="22"/>
          <w:lang w:val="en-US"/>
        </w:rPr>
        <w:t xml:space="preserve">s commitments according to Performance Share Program </w:t>
      </w:r>
      <w:r w:rsidR="00C26F7D">
        <w:rPr>
          <w:i/>
          <w:iCs/>
          <w:szCs w:val="22"/>
          <w:lang w:val="en-US"/>
        </w:rPr>
        <w:t>2025/2028:2</w:t>
      </w:r>
      <w:r w:rsidRPr="008E348A">
        <w:rPr>
          <w:i/>
          <w:iCs/>
          <w:szCs w:val="22"/>
          <w:lang w:val="en-US"/>
        </w:rPr>
        <w:t xml:space="preserve">, the board of directors proposes that the </w:t>
      </w:r>
      <w:r w:rsidR="00EA349E">
        <w:rPr>
          <w:i/>
          <w:iCs/>
          <w:szCs w:val="22"/>
          <w:lang w:val="en-US"/>
        </w:rPr>
        <w:t>annual general</w:t>
      </w:r>
      <w:r w:rsidRPr="008E348A">
        <w:rPr>
          <w:i/>
          <w:iCs/>
          <w:szCs w:val="22"/>
          <w:lang w:val="en-US"/>
        </w:rPr>
        <w:t xml:space="preserve"> meeting resolves on a directed issue of warrants and approval of transfer of warrants in accordance with what appears in </w:t>
      </w:r>
      <w:r w:rsidRPr="008E348A">
        <w:rPr>
          <w:i/>
          <w:iCs/>
          <w:szCs w:val="22"/>
          <w:u w:val="single"/>
          <w:lang w:val="en-US"/>
        </w:rPr>
        <w:t>Exhibit</w:t>
      </w:r>
      <w:r w:rsidR="00C26F7D">
        <w:rPr>
          <w:i/>
          <w:iCs/>
          <w:szCs w:val="22"/>
          <w:u w:val="single"/>
          <w:lang w:val="en-US"/>
        </w:rPr>
        <w:t> 4</w:t>
      </w:r>
      <w:r w:rsidRPr="008E348A">
        <w:rPr>
          <w:i/>
          <w:iCs/>
          <w:szCs w:val="22"/>
          <w:u w:val="single"/>
          <w:lang w:val="en-US"/>
        </w:rPr>
        <w:t>b</w:t>
      </w:r>
      <w:r w:rsidRPr="008E348A">
        <w:rPr>
          <w:i/>
          <w:iCs/>
          <w:szCs w:val="22"/>
          <w:lang w:val="en-US"/>
        </w:rPr>
        <w:t>.</w:t>
      </w:r>
      <w:r w:rsidR="00280326" w:rsidRPr="00280326">
        <w:rPr>
          <w:rFonts w:cstheme="minorHAnsi"/>
          <w:i/>
          <w:szCs w:val="22"/>
          <w:lang w:val="en-US"/>
        </w:rPr>
        <w:t xml:space="preserve"> </w:t>
      </w:r>
      <w:r w:rsidR="00280326" w:rsidRPr="00A71A00">
        <w:rPr>
          <w:rFonts w:cstheme="minorHAnsi"/>
          <w:i/>
          <w:szCs w:val="22"/>
          <w:lang w:val="en-US"/>
        </w:rPr>
        <w:t xml:space="preserve">The warrants shall be subscribed </w:t>
      </w:r>
      <w:proofErr w:type="gramStart"/>
      <w:r w:rsidR="00280326" w:rsidRPr="00A71A00">
        <w:rPr>
          <w:rFonts w:cstheme="minorHAnsi"/>
          <w:i/>
          <w:szCs w:val="22"/>
          <w:lang w:val="en-US"/>
        </w:rPr>
        <w:t>for</w:t>
      </w:r>
      <w:proofErr w:type="gramEnd"/>
      <w:r w:rsidR="00280326" w:rsidRPr="00A71A00">
        <w:rPr>
          <w:rFonts w:cstheme="minorHAnsi"/>
          <w:i/>
          <w:szCs w:val="22"/>
          <w:lang w:val="en-US"/>
        </w:rPr>
        <w:t xml:space="preserve"> by the Company or any other group company, which shall undertake to transfer the warrants to the </w:t>
      </w:r>
      <w:r w:rsidR="00280326">
        <w:rPr>
          <w:rFonts w:cstheme="minorHAnsi"/>
          <w:i/>
          <w:szCs w:val="22"/>
          <w:lang w:val="en-US"/>
        </w:rPr>
        <w:t>participants</w:t>
      </w:r>
      <w:r w:rsidR="00280326" w:rsidRPr="00A71A00">
        <w:rPr>
          <w:rFonts w:cstheme="minorHAnsi"/>
          <w:i/>
          <w:szCs w:val="22"/>
          <w:lang w:val="en-US"/>
        </w:rPr>
        <w:t xml:space="preserve"> to cover the number of shares that the </w:t>
      </w:r>
      <w:r w:rsidR="00280326">
        <w:rPr>
          <w:rFonts w:cstheme="minorHAnsi"/>
          <w:i/>
          <w:szCs w:val="22"/>
          <w:lang w:val="en-US"/>
        </w:rPr>
        <w:t>Performance</w:t>
      </w:r>
      <w:r w:rsidR="00280326" w:rsidRPr="00A71A00">
        <w:rPr>
          <w:rFonts w:cstheme="minorHAnsi"/>
          <w:i/>
          <w:szCs w:val="22"/>
          <w:lang w:val="en-US"/>
        </w:rPr>
        <w:t xml:space="preserve"> </w:t>
      </w:r>
      <w:r w:rsidR="00280326">
        <w:rPr>
          <w:rFonts w:cstheme="minorHAnsi"/>
          <w:i/>
          <w:szCs w:val="22"/>
          <w:lang w:val="en-US"/>
        </w:rPr>
        <w:t>Shares</w:t>
      </w:r>
      <w:r w:rsidR="00280326" w:rsidRPr="00A71A00">
        <w:rPr>
          <w:rFonts w:cstheme="minorHAnsi"/>
          <w:i/>
          <w:szCs w:val="22"/>
          <w:lang w:val="en-US"/>
        </w:rPr>
        <w:t xml:space="preserve"> may entitle.</w:t>
      </w:r>
      <w:bookmarkEnd w:id="7"/>
    </w:p>
    <w:p w14:paraId="3902F9D3" w14:textId="7D82CD01" w:rsidR="00280326" w:rsidRPr="00280326" w:rsidRDefault="00280326" w:rsidP="00B861D0">
      <w:pPr>
        <w:pStyle w:val="BodyText"/>
        <w:spacing w:after="0"/>
        <w:rPr>
          <w:b/>
          <w:iCs/>
          <w:szCs w:val="22"/>
          <w:lang w:val="sv-SE"/>
        </w:rPr>
      </w:pPr>
      <w:r>
        <w:rPr>
          <w:b/>
          <w:iCs/>
          <w:szCs w:val="22"/>
          <w:lang w:val="sv-SE"/>
        </w:rPr>
        <w:t>Bilagor</w:t>
      </w:r>
      <w:r w:rsidRPr="00280326">
        <w:rPr>
          <w:b/>
          <w:iCs/>
          <w:szCs w:val="22"/>
          <w:lang w:val="sv-SE"/>
        </w:rPr>
        <w:t xml:space="preserve"> och majoritetskrav</w:t>
      </w:r>
    </w:p>
    <w:p w14:paraId="77B6FEBC" w14:textId="3D614184" w:rsidR="00280326" w:rsidRPr="00280326" w:rsidRDefault="00280326" w:rsidP="00B861D0">
      <w:pPr>
        <w:pStyle w:val="BodyText"/>
        <w:spacing w:after="0"/>
        <w:rPr>
          <w:bCs/>
          <w:i/>
          <w:szCs w:val="22"/>
          <w:lang w:val="sv-SE"/>
        </w:rPr>
      </w:pPr>
      <w:proofErr w:type="spellStart"/>
      <w:r>
        <w:rPr>
          <w:b/>
          <w:i/>
          <w:szCs w:val="22"/>
          <w:lang w:val="sv-SE"/>
        </w:rPr>
        <w:t>Exhibits</w:t>
      </w:r>
      <w:proofErr w:type="spellEnd"/>
      <w:r w:rsidRPr="00280326">
        <w:rPr>
          <w:b/>
          <w:i/>
          <w:szCs w:val="22"/>
          <w:lang w:val="sv-SE"/>
        </w:rPr>
        <w:t xml:space="preserve"> and </w:t>
      </w:r>
      <w:proofErr w:type="spellStart"/>
      <w:r w:rsidRPr="00280326">
        <w:rPr>
          <w:b/>
          <w:i/>
          <w:szCs w:val="22"/>
          <w:lang w:val="sv-SE"/>
        </w:rPr>
        <w:t>majority</w:t>
      </w:r>
      <w:proofErr w:type="spellEnd"/>
      <w:r w:rsidRPr="00280326">
        <w:rPr>
          <w:b/>
          <w:i/>
          <w:szCs w:val="22"/>
          <w:lang w:val="sv-SE"/>
        </w:rPr>
        <w:t xml:space="preserve"> </w:t>
      </w:r>
      <w:proofErr w:type="spellStart"/>
      <w:r w:rsidRPr="00280326">
        <w:rPr>
          <w:b/>
          <w:i/>
          <w:szCs w:val="22"/>
          <w:lang w:val="sv-SE"/>
        </w:rPr>
        <w:t>requirements</w:t>
      </w:r>
      <w:proofErr w:type="spellEnd"/>
    </w:p>
    <w:p w14:paraId="2314C0DE" w14:textId="14953F93" w:rsidR="001A1DEB" w:rsidRPr="008E348A" w:rsidRDefault="001A1DEB" w:rsidP="00B861D0">
      <w:pPr>
        <w:pStyle w:val="BodyText"/>
        <w:spacing w:after="0"/>
        <w:rPr>
          <w:bCs/>
          <w:iCs/>
          <w:szCs w:val="22"/>
          <w:highlight w:val="yellow"/>
          <w:lang w:val="sv-SE"/>
        </w:rPr>
      </w:pPr>
      <w:r w:rsidRPr="008E348A">
        <w:rPr>
          <w:bCs/>
          <w:iCs/>
          <w:szCs w:val="22"/>
          <w:lang w:val="sv-SE"/>
        </w:rPr>
        <w:t xml:space="preserve">Beslut enligt </w:t>
      </w:r>
      <w:r w:rsidR="00C26F7D">
        <w:rPr>
          <w:bCs/>
          <w:iCs/>
          <w:szCs w:val="22"/>
          <w:u w:val="single"/>
          <w:lang w:val="sv-SE"/>
        </w:rPr>
        <w:t>Bilaga 4</w:t>
      </w:r>
      <w:r w:rsidRPr="008E348A">
        <w:rPr>
          <w:bCs/>
          <w:iCs/>
          <w:szCs w:val="22"/>
          <w:u w:val="single"/>
          <w:lang w:val="sv-SE"/>
        </w:rPr>
        <w:t>a</w:t>
      </w:r>
      <w:r w:rsidRPr="008E348A">
        <w:rPr>
          <w:bCs/>
          <w:iCs/>
          <w:szCs w:val="22"/>
          <w:lang w:val="sv-SE"/>
        </w:rPr>
        <w:t xml:space="preserve"> och </w:t>
      </w:r>
      <w:r w:rsidR="006B1763">
        <w:rPr>
          <w:bCs/>
          <w:iCs/>
          <w:szCs w:val="22"/>
          <w:u w:val="single"/>
          <w:lang w:val="sv-SE"/>
        </w:rPr>
        <w:t>4</w:t>
      </w:r>
      <w:r w:rsidRPr="008E348A">
        <w:rPr>
          <w:bCs/>
          <w:iCs/>
          <w:szCs w:val="22"/>
          <w:u w:val="single"/>
          <w:lang w:val="sv-SE"/>
        </w:rPr>
        <w:t>b</w:t>
      </w:r>
      <w:r w:rsidRPr="008E348A">
        <w:rPr>
          <w:bCs/>
          <w:iCs/>
          <w:szCs w:val="22"/>
          <w:lang w:val="sv-SE"/>
        </w:rPr>
        <w:t xml:space="preserve"> nedan ska fattas som ett beslut och är således villkorade av varandra. För giltiga beslut enligt denna </w:t>
      </w:r>
      <w:r w:rsidR="00C26F7D">
        <w:rPr>
          <w:bCs/>
          <w:iCs/>
          <w:szCs w:val="22"/>
          <w:u w:val="single"/>
          <w:lang w:val="sv-SE"/>
        </w:rPr>
        <w:t>Bilaga 4</w:t>
      </w:r>
      <w:r w:rsidRPr="008E348A">
        <w:rPr>
          <w:bCs/>
          <w:iCs/>
          <w:szCs w:val="22"/>
          <w:lang w:val="sv-SE"/>
        </w:rPr>
        <w:t xml:space="preserve"> krävs biträde av aktieägare med minst nio tiondelar av såväl de avgivna rösterna som de aktier som är företrädda vid stämman.</w:t>
      </w:r>
    </w:p>
    <w:p w14:paraId="6E37BFEA" w14:textId="17601560" w:rsidR="001A1DEB" w:rsidRPr="008E348A" w:rsidRDefault="001A1DEB" w:rsidP="00B861D0">
      <w:pPr>
        <w:pStyle w:val="BodyText"/>
        <w:rPr>
          <w:i/>
          <w:iCs/>
          <w:szCs w:val="22"/>
          <w:lang w:val="en-US"/>
        </w:rPr>
      </w:pPr>
      <w:bookmarkStart w:id="8" w:name="_Hlk206164173"/>
      <w:r w:rsidRPr="008E348A">
        <w:rPr>
          <w:i/>
          <w:szCs w:val="22"/>
          <w:lang w:val="en-US"/>
        </w:rPr>
        <w:lastRenderedPageBreak/>
        <w:t xml:space="preserve">Resolutions in accordance with </w:t>
      </w:r>
      <w:r w:rsidRPr="008E348A">
        <w:rPr>
          <w:i/>
          <w:szCs w:val="22"/>
          <w:u w:val="single"/>
          <w:lang w:val="en-US"/>
        </w:rPr>
        <w:t>Exhibit</w:t>
      </w:r>
      <w:r w:rsidR="004B663F">
        <w:rPr>
          <w:i/>
          <w:szCs w:val="22"/>
          <w:u w:val="single"/>
          <w:lang w:val="en-US"/>
        </w:rPr>
        <w:t xml:space="preserve"> </w:t>
      </w:r>
      <w:r w:rsidR="006B1763">
        <w:rPr>
          <w:i/>
          <w:szCs w:val="22"/>
          <w:u w:val="single"/>
          <w:lang w:val="en-US"/>
        </w:rPr>
        <w:t>4</w:t>
      </w:r>
      <w:r w:rsidRPr="008E348A">
        <w:rPr>
          <w:i/>
          <w:szCs w:val="22"/>
          <w:u w:val="single"/>
          <w:lang w:val="en-US"/>
        </w:rPr>
        <w:t>a</w:t>
      </w:r>
      <w:r w:rsidRPr="008E348A">
        <w:rPr>
          <w:i/>
          <w:szCs w:val="22"/>
          <w:lang w:val="en-US"/>
        </w:rPr>
        <w:t xml:space="preserve"> and </w:t>
      </w:r>
      <w:r w:rsidR="006B1763">
        <w:rPr>
          <w:i/>
          <w:szCs w:val="22"/>
          <w:u w:val="single"/>
          <w:lang w:val="en-US"/>
        </w:rPr>
        <w:t>4</w:t>
      </w:r>
      <w:r w:rsidRPr="008E348A">
        <w:rPr>
          <w:i/>
          <w:szCs w:val="22"/>
          <w:u w:val="single"/>
          <w:lang w:val="en-US"/>
        </w:rPr>
        <w:t>b</w:t>
      </w:r>
      <w:r w:rsidRPr="008E348A">
        <w:rPr>
          <w:i/>
          <w:szCs w:val="22"/>
          <w:lang w:val="en-US"/>
        </w:rPr>
        <w:t xml:space="preserve"> below are taken as one decision and are thus conditional of each other. </w:t>
      </w:r>
      <w:bookmarkEnd w:id="8"/>
      <w:r w:rsidRPr="008E348A">
        <w:rPr>
          <w:bCs/>
          <w:i/>
          <w:szCs w:val="22"/>
          <w:lang w:val="en-US"/>
        </w:rPr>
        <w:t xml:space="preserve">Resolution in accordance with this </w:t>
      </w:r>
      <w:r w:rsidRPr="008E348A">
        <w:rPr>
          <w:i/>
          <w:szCs w:val="22"/>
          <w:u w:val="single"/>
          <w:lang w:val="en-US"/>
        </w:rPr>
        <w:t xml:space="preserve">Exhibit </w:t>
      </w:r>
      <w:r w:rsidR="006B1763">
        <w:rPr>
          <w:i/>
          <w:szCs w:val="22"/>
          <w:u w:val="single"/>
          <w:lang w:val="en-US"/>
        </w:rPr>
        <w:t>4</w:t>
      </w:r>
      <w:r w:rsidRPr="008E348A">
        <w:rPr>
          <w:bCs/>
          <w:i/>
          <w:szCs w:val="22"/>
          <w:lang w:val="en-US"/>
        </w:rPr>
        <w:t xml:space="preserve"> requires support by </w:t>
      </w:r>
      <w:r w:rsidRPr="00280326">
        <w:rPr>
          <w:bCs/>
          <w:i/>
          <w:szCs w:val="22"/>
          <w:lang w:val="en-US"/>
        </w:rPr>
        <w:t xml:space="preserve">shareholders holding not less than nine tenths of </w:t>
      </w:r>
      <w:r w:rsidRPr="00280326">
        <w:rPr>
          <w:i/>
          <w:szCs w:val="22"/>
          <w:lang w:val="en-US"/>
        </w:rPr>
        <w:t>both</w:t>
      </w:r>
      <w:r w:rsidRPr="00280326">
        <w:rPr>
          <w:bCs/>
          <w:i/>
          <w:szCs w:val="22"/>
          <w:lang w:val="en-US"/>
        </w:rPr>
        <w:t xml:space="preserve"> the shares voted and of the shares represented</w:t>
      </w:r>
      <w:r w:rsidRPr="008E348A">
        <w:rPr>
          <w:bCs/>
          <w:i/>
          <w:szCs w:val="22"/>
          <w:lang w:val="en-US"/>
        </w:rPr>
        <w:t xml:space="preserve"> at the general meeting.</w:t>
      </w:r>
    </w:p>
    <w:p w14:paraId="6BCA67D8" w14:textId="5376E9FF" w:rsidR="001A1DEB" w:rsidRPr="008E348A" w:rsidRDefault="001A1DEB" w:rsidP="00B861D0">
      <w:pPr>
        <w:pStyle w:val="BodyText"/>
        <w:spacing w:after="0"/>
        <w:rPr>
          <w:szCs w:val="22"/>
          <w:lang w:val="sv-SE"/>
        </w:rPr>
      </w:pPr>
      <w:r w:rsidRPr="008E348A">
        <w:rPr>
          <w:szCs w:val="22"/>
          <w:lang w:val="sv-SE"/>
        </w:rPr>
        <w:t xml:space="preserve">Redogörelse för övriga incitamentsprogram, beredning av förslaget, kostnader för programmet samt effekter på viktiga nyckeltal </w:t>
      </w:r>
      <w:proofErr w:type="gramStart"/>
      <w:r w:rsidRPr="008E348A">
        <w:rPr>
          <w:szCs w:val="22"/>
          <w:lang w:val="sv-SE"/>
        </w:rPr>
        <w:t>etc.</w:t>
      </w:r>
      <w:proofErr w:type="gramEnd"/>
      <w:r w:rsidRPr="008E348A">
        <w:rPr>
          <w:szCs w:val="22"/>
          <w:lang w:val="sv-SE"/>
        </w:rPr>
        <w:t xml:space="preserve"> beskrivs i </w:t>
      </w:r>
      <w:r w:rsidR="00C26F7D">
        <w:rPr>
          <w:szCs w:val="22"/>
          <w:u w:val="single"/>
          <w:lang w:val="sv-SE"/>
        </w:rPr>
        <w:t xml:space="preserve">Bilaga </w:t>
      </w:r>
      <w:r w:rsidR="00A1376F">
        <w:rPr>
          <w:szCs w:val="22"/>
          <w:u w:val="single"/>
          <w:lang w:val="sv-SE"/>
        </w:rPr>
        <w:t>5</w:t>
      </w:r>
      <w:r w:rsidRPr="008E348A">
        <w:rPr>
          <w:szCs w:val="22"/>
          <w:u w:val="single"/>
          <w:lang w:val="sv-SE"/>
        </w:rPr>
        <w:t>d</w:t>
      </w:r>
      <w:r w:rsidRPr="008E348A">
        <w:rPr>
          <w:szCs w:val="22"/>
          <w:lang w:val="sv-SE"/>
        </w:rPr>
        <w:t>.</w:t>
      </w:r>
    </w:p>
    <w:p w14:paraId="4EFEC2C7" w14:textId="3BF4C968" w:rsidR="001A1DEB" w:rsidRPr="008E348A" w:rsidRDefault="001A1DEB" w:rsidP="001A1DEB">
      <w:pPr>
        <w:pStyle w:val="BodyText"/>
        <w:rPr>
          <w:i/>
          <w:iCs/>
          <w:szCs w:val="22"/>
          <w:lang w:val="en-US"/>
        </w:rPr>
      </w:pPr>
      <w:bookmarkStart w:id="9" w:name="_Hlk206164181"/>
      <w:bookmarkEnd w:id="5"/>
      <w:r w:rsidRPr="008E348A">
        <w:rPr>
          <w:i/>
          <w:iCs/>
          <w:szCs w:val="22"/>
          <w:lang w:val="en-US"/>
        </w:rPr>
        <w:t xml:space="preserve">A presentation of other incentive programs, preparation of the proposal, costs for the programs and effects on key performance measures etc. are described in </w:t>
      </w:r>
      <w:r w:rsidRPr="008E348A">
        <w:rPr>
          <w:i/>
          <w:iCs/>
          <w:szCs w:val="22"/>
          <w:u w:val="single"/>
          <w:lang w:val="en-US"/>
        </w:rPr>
        <w:t xml:space="preserve">Exhibit </w:t>
      </w:r>
      <w:r w:rsidR="00A1376F">
        <w:rPr>
          <w:i/>
          <w:iCs/>
          <w:szCs w:val="22"/>
          <w:u w:val="single"/>
          <w:lang w:val="en-US"/>
        </w:rPr>
        <w:t>5</w:t>
      </w:r>
      <w:r w:rsidRPr="008E348A">
        <w:rPr>
          <w:i/>
          <w:iCs/>
          <w:szCs w:val="22"/>
          <w:u w:val="single"/>
          <w:lang w:val="en-US"/>
        </w:rPr>
        <w:t>d</w:t>
      </w:r>
      <w:r w:rsidRPr="008E348A">
        <w:rPr>
          <w:i/>
          <w:iCs/>
          <w:szCs w:val="22"/>
          <w:lang w:val="en-US"/>
        </w:rPr>
        <w:t>.</w:t>
      </w:r>
      <w:bookmarkEnd w:id="9"/>
    </w:p>
    <w:bookmarkEnd w:id="1"/>
    <w:bookmarkEnd w:id="2"/>
    <w:p w14:paraId="28CDB2DA" w14:textId="4709D2AA" w:rsidR="001A1DEB" w:rsidRPr="004B663F" w:rsidRDefault="001A1DEB" w:rsidP="004B663F">
      <w:pPr>
        <w:pStyle w:val="BodyText"/>
        <w:jc w:val="center"/>
        <w:rPr>
          <w:szCs w:val="22"/>
          <w:lang w:val="sv-SE"/>
        </w:rPr>
      </w:pPr>
      <w:r w:rsidRPr="008E348A">
        <w:rPr>
          <w:szCs w:val="22"/>
          <w:lang w:val="sv-SE"/>
        </w:rPr>
        <w:t>* * * * *</w:t>
      </w:r>
      <w:r w:rsidRPr="008E348A">
        <w:rPr>
          <w:b/>
          <w:szCs w:val="22"/>
          <w:highlight w:val="yellow"/>
        </w:rPr>
        <w:br w:type="page"/>
      </w:r>
    </w:p>
    <w:p w14:paraId="76532331" w14:textId="6F70A36E" w:rsidR="001A1DEB" w:rsidRPr="008E348A" w:rsidRDefault="001A1DEB" w:rsidP="001A1DEB">
      <w:pPr>
        <w:pStyle w:val="BodyText"/>
        <w:jc w:val="right"/>
        <w:rPr>
          <w:b/>
          <w:szCs w:val="22"/>
          <w:lang w:val="sv-SE"/>
        </w:rPr>
      </w:pPr>
      <w:r w:rsidRPr="008E348A">
        <w:rPr>
          <w:b/>
          <w:szCs w:val="22"/>
          <w:lang w:val="sv-SE"/>
        </w:rPr>
        <w:lastRenderedPageBreak/>
        <w:t xml:space="preserve">Bilaga </w:t>
      </w:r>
      <w:r w:rsidR="00C26F7D">
        <w:rPr>
          <w:b/>
          <w:szCs w:val="22"/>
          <w:lang w:val="sv-SE"/>
        </w:rPr>
        <w:t>4</w:t>
      </w:r>
      <w:r w:rsidRPr="008E348A">
        <w:rPr>
          <w:b/>
          <w:szCs w:val="22"/>
          <w:lang w:val="sv-SE"/>
        </w:rPr>
        <w:t>a/</w:t>
      </w:r>
      <w:proofErr w:type="spellStart"/>
      <w:r w:rsidRPr="008E348A">
        <w:rPr>
          <w:b/>
          <w:i/>
          <w:szCs w:val="22"/>
          <w:lang w:val="sv-SE"/>
        </w:rPr>
        <w:t>Exhibit</w:t>
      </w:r>
      <w:proofErr w:type="spellEnd"/>
      <w:r w:rsidRPr="008E348A">
        <w:rPr>
          <w:b/>
          <w:i/>
          <w:szCs w:val="22"/>
          <w:lang w:val="sv-SE"/>
        </w:rPr>
        <w:t xml:space="preserve"> </w:t>
      </w:r>
      <w:r w:rsidR="00C26F7D">
        <w:rPr>
          <w:b/>
          <w:i/>
          <w:szCs w:val="22"/>
          <w:lang w:val="sv-SE"/>
        </w:rPr>
        <w:t>4</w:t>
      </w:r>
      <w:r w:rsidRPr="008E348A">
        <w:rPr>
          <w:b/>
          <w:i/>
          <w:szCs w:val="22"/>
          <w:lang w:val="sv-SE"/>
        </w:rPr>
        <w:t>a</w:t>
      </w:r>
    </w:p>
    <w:p w14:paraId="6E7A125F" w14:textId="16F8A676" w:rsidR="001A1DEB" w:rsidRPr="008E348A" w:rsidRDefault="00400BA5" w:rsidP="001A1DEB">
      <w:pPr>
        <w:pStyle w:val="Heading1"/>
        <w:pBdr>
          <w:bottom w:val="single" w:sz="12" w:space="1" w:color="auto"/>
        </w:pBdr>
        <w:spacing w:after="0" w:line="240" w:lineRule="auto"/>
        <w:jc w:val="both"/>
        <w:rPr>
          <w:rFonts w:ascii="Times New Roman" w:hAnsi="Times New Roman"/>
          <w:szCs w:val="22"/>
          <w:lang w:val="sv-SE"/>
        </w:rPr>
      </w:pPr>
      <w:r>
        <w:rPr>
          <w:rFonts w:ascii="Times New Roman" w:hAnsi="Times New Roman"/>
          <w:szCs w:val="22"/>
          <w:lang w:val="sv-SE"/>
        </w:rPr>
        <w:t>Förslag till b</w:t>
      </w:r>
      <w:r w:rsidR="001A1DEB" w:rsidRPr="008E348A">
        <w:rPr>
          <w:rFonts w:ascii="Times New Roman" w:hAnsi="Times New Roman"/>
          <w:szCs w:val="22"/>
          <w:lang w:val="sv-SE"/>
        </w:rPr>
        <w:t xml:space="preserve">eslut om </w:t>
      </w:r>
      <w:r>
        <w:rPr>
          <w:rFonts w:ascii="Times New Roman" w:hAnsi="Times New Roman"/>
          <w:szCs w:val="22"/>
          <w:lang w:val="sv-SE"/>
        </w:rPr>
        <w:t xml:space="preserve">implementering av </w:t>
      </w:r>
      <w:r w:rsidR="001A1DEB" w:rsidRPr="008E348A">
        <w:rPr>
          <w:rFonts w:ascii="Times New Roman" w:hAnsi="Times New Roman"/>
          <w:szCs w:val="22"/>
          <w:lang w:val="sv-SE"/>
        </w:rPr>
        <w:t xml:space="preserve">Prestationsaktieprogram </w:t>
      </w:r>
      <w:r w:rsidR="009C520A">
        <w:rPr>
          <w:rFonts w:ascii="Times New Roman" w:hAnsi="Times New Roman"/>
          <w:szCs w:val="22"/>
          <w:lang w:val="sv-SE"/>
        </w:rPr>
        <w:t>2025/2028:</w:t>
      </w:r>
      <w:r w:rsidR="00C26F7D">
        <w:rPr>
          <w:rFonts w:ascii="Times New Roman" w:hAnsi="Times New Roman"/>
          <w:szCs w:val="22"/>
          <w:lang w:val="sv-SE"/>
        </w:rPr>
        <w:t>2</w:t>
      </w:r>
    </w:p>
    <w:p w14:paraId="5C1FC537" w14:textId="7151E547" w:rsidR="001A1DEB" w:rsidRPr="008E348A" w:rsidRDefault="00400BA5" w:rsidP="001A1DEB">
      <w:pPr>
        <w:pStyle w:val="Heading1"/>
        <w:pBdr>
          <w:bottom w:val="single" w:sz="12" w:space="1" w:color="auto"/>
        </w:pBdr>
        <w:spacing w:after="0" w:line="240" w:lineRule="auto"/>
        <w:jc w:val="both"/>
        <w:rPr>
          <w:rFonts w:ascii="Times New Roman" w:hAnsi="Times New Roman"/>
          <w:i/>
          <w:szCs w:val="22"/>
        </w:rPr>
      </w:pPr>
      <w:r>
        <w:rPr>
          <w:rFonts w:ascii="Times New Roman" w:hAnsi="Times New Roman"/>
          <w:i/>
          <w:szCs w:val="22"/>
        </w:rPr>
        <w:t xml:space="preserve">Proposal for resolution to implement </w:t>
      </w:r>
      <w:r w:rsidR="001A1DEB" w:rsidRPr="008E348A">
        <w:rPr>
          <w:rFonts w:ascii="Times New Roman" w:hAnsi="Times New Roman"/>
          <w:i/>
          <w:szCs w:val="22"/>
        </w:rPr>
        <w:t xml:space="preserve">Performance Share Program </w:t>
      </w:r>
      <w:r w:rsidR="009C520A">
        <w:rPr>
          <w:rFonts w:ascii="Times New Roman" w:hAnsi="Times New Roman"/>
          <w:i/>
          <w:szCs w:val="22"/>
        </w:rPr>
        <w:t>2025/2028:</w:t>
      </w:r>
      <w:r w:rsidR="00C26F7D">
        <w:rPr>
          <w:rFonts w:ascii="Times New Roman" w:hAnsi="Times New Roman"/>
          <w:i/>
          <w:szCs w:val="22"/>
        </w:rPr>
        <w:t>2</w:t>
      </w:r>
    </w:p>
    <w:p w14:paraId="49DDAED0" w14:textId="77777777" w:rsidR="001A1DEB" w:rsidRPr="008E348A" w:rsidRDefault="001A1DEB" w:rsidP="001A1DEB">
      <w:pPr>
        <w:pStyle w:val="BodyText"/>
        <w:spacing w:after="0"/>
        <w:rPr>
          <w:bCs/>
          <w:szCs w:val="22"/>
          <w:lang w:val="en-US"/>
        </w:rPr>
      </w:pPr>
    </w:p>
    <w:p w14:paraId="5888479D" w14:textId="49E86E71" w:rsidR="001A1DEB" w:rsidRPr="008E348A" w:rsidRDefault="001A1DEB" w:rsidP="001A1DEB">
      <w:pPr>
        <w:pStyle w:val="BodyText"/>
        <w:spacing w:after="0"/>
        <w:rPr>
          <w:szCs w:val="22"/>
          <w:lang w:val="sv-SE"/>
        </w:rPr>
      </w:pPr>
      <w:bookmarkStart w:id="10" w:name="_Hlk170326689"/>
      <w:bookmarkStart w:id="11" w:name="_Hlk133489410"/>
      <w:r w:rsidRPr="008E348A">
        <w:rPr>
          <w:szCs w:val="22"/>
          <w:lang w:val="sv-SE"/>
        </w:rPr>
        <w:t xml:space="preserve">Styrelsen för </w:t>
      </w:r>
      <w:r w:rsidRPr="008E348A">
        <w:rPr>
          <w:bCs/>
          <w:iCs/>
          <w:szCs w:val="22"/>
          <w:lang w:val="sv-SE"/>
        </w:rPr>
        <w:t xml:space="preserve">Biovica International AB, org.nr </w:t>
      </w:r>
      <w:proofErr w:type="gramStart"/>
      <w:r w:rsidRPr="008E348A">
        <w:rPr>
          <w:bCs/>
          <w:iCs/>
          <w:szCs w:val="22"/>
          <w:lang w:val="sv-SE"/>
        </w:rPr>
        <w:t>556774-6150</w:t>
      </w:r>
      <w:proofErr w:type="gramEnd"/>
      <w:r w:rsidR="004B663F">
        <w:rPr>
          <w:bCs/>
          <w:iCs/>
          <w:szCs w:val="22"/>
          <w:lang w:val="sv-SE"/>
        </w:rPr>
        <w:t xml:space="preserve"> </w:t>
      </w:r>
      <w:r w:rsidRPr="008E348A">
        <w:rPr>
          <w:bCs/>
          <w:iCs/>
          <w:szCs w:val="22"/>
          <w:lang w:val="sv-SE"/>
        </w:rPr>
        <w:t>("</w:t>
      </w:r>
      <w:r w:rsidRPr="008E348A">
        <w:rPr>
          <w:b/>
          <w:bCs/>
          <w:iCs/>
          <w:szCs w:val="22"/>
          <w:lang w:val="sv-SE"/>
        </w:rPr>
        <w:t>Bolaget</w:t>
      </w:r>
      <w:r w:rsidRPr="008E348A">
        <w:rPr>
          <w:bCs/>
          <w:iCs/>
          <w:szCs w:val="22"/>
          <w:lang w:val="sv-SE"/>
        </w:rPr>
        <w:t>")</w:t>
      </w:r>
      <w:r w:rsidR="004B663F">
        <w:rPr>
          <w:bCs/>
          <w:iCs/>
          <w:szCs w:val="22"/>
          <w:lang w:val="sv-SE"/>
        </w:rPr>
        <w:t>,</w:t>
      </w:r>
      <w:r w:rsidRPr="008E348A">
        <w:rPr>
          <w:szCs w:val="22"/>
          <w:lang w:val="sv-SE"/>
        </w:rPr>
        <w:t xml:space="preserve"> föreslår att</w:t>
      </w:r>
      <w:bookmarkStart w:id="12" w:name="_Hlk206169920"/>
      <w:r w:rsidRPr="008E348A">
        <w:rPr>
          <w:szCs w:val="22"/>
          <w:lang w:val="sv-SE"/>
        </w:rPr>
        <w:t xml:space="preserve"> </w:t>
      </w:r>
      <w:r w:rsidR="00EA349E">
        <w:rPr>
          <w:szCs w:val="22"/>
          <w:lang w:val="sv-SE"/>
        </w:rPr>
        <w:t>årsstämman</w:t>
      </w:r>
      <w:r w:rsidRPr="008E348A">
        <w:rPr>
          <w:szCs w:val="22"/>
          <w:lang w:val="sv-SE"/>
        </w:rPr>
        <w:t xml:space="preserve"> beslutar om </w:t>
      </w:r>
      <w:r w:rsidR="00400BA5">
        <w:rPr>
          <w:szCs w:val="22"/>
          <w:lang w:val="sv-SE"/>
        </w:rPr>
        <w:t>att implementera</w:t>
      </w:r>
      <w:r w:rsidRPr="008E348A">
        <w:rPr>
          <w:szCs w:val="22"/>
          <w:lang w:val="sv-SE"/>
        </w:rPr>
        <w:t xml:space="preserve"> Prestationsaktieprogram </w:t>
      </w:r>
      <w:r w:rsidR="00C26F7D">
        <w:rPr>
          <w:szCs w:val="22"/>
          <w:lang w:val="sv-SE"/>
        </w:rPr>
        <w:t>2025/2028:2</w:t>
      </w:r>
      <w:r w:rsidRPr="008E348A">
        <w:rPr>
          <w:szCs w:val="22"/>
          <w:lang w:val="sv-SE"/>
        </w:rPr>
        <w:t xml:space="preserve"> enligt i huvudsak följande riktlinjer</w:t>
      </w:r>
      <w:r w:rsidR="00A31307">
        <w:rPr>
          <w:szCs w:val="22"/>
          <w:lang w:val="sv-SE"/>
        </w:rPr>
        <w:t>.</w:t>
      </w:r>
    </w:p>
    <w:bookmarkEnd w:id="12"/>
    <w:p w14:paraId="7F303B02" w14:textId="15C0A758" w:rsidR="001A1DEB" w:rsidRPr="008E348A" w:rsidRDefault="001A1DEB" w:rsidP="001A1DEB">
      <w:pPr>
        <w:pStyle w:val="BodyText"/>
        <w:spacing w:after="0"/>
        <w:rPr>
          <w:i/>
          <w:iCs/>
          <w:szCs w:val="22"/>
          <w:lang w:val="en-US"/>
        </w:rPr>
      </w:pPr>
      <w:r w:rsidRPr="008E348A">
        <w:rPr>
          <w:i/>
          <w:iCs/>
          <w:szCs w:val="22"/>
          <w:lang w:val="en-US"/>
        </w:rPr>
        <w:t xml:space="preserve">The board of directors of </w:t>
      </w:r>
      <w:r w:rsidRPr="008E348A">
        <w:rPr>
          <w:i/>
          <w:szCs w:val="22"/>
          <w:lang w:val="en-US"/>
        </w:rPr>
        <w:t>Biovica International AB, reg. no. 556774-6150 (the "</w:t>
      </w:r>
      <w:r w:rsidRPr="008E348A">
        <w:rPr>
          <w:b/>
          <w:i/>
          <w:szCs w:val="22"/>
          <w:lang w:val="en-US"/>
        </w:rPr>
        <w:t>Company</w:t>
      </w:r>
      <w:r w:rsidRPr="008E348A">
        <w:rPr>
          <w:i/>
          <w:szCs w:val="22"/>
          <w:lang w:val="en-US"/>
        </w:rPr>
        <w:t>")</w:t>
      </w:r>
      <w:r w:rsidR="004B663F">
        <w:rPr>
          <w:i/>
          <w:szCs w:val="22"/>
          <w:lang w:val="en-US"/>
        </w:rPr>
        <w:t>,</w:t>
      </w:r>
      <w:r w:rsidRPr="008E348A">
        <w:rPr>
          <w:i/>
          <w:szCs w:val="22"/>
          <w:lang w:val="en-US"/>
        </w:rPr>
        <w:t xml:space="preserve"> </w:t>
      </w:r>
      <w:r w:rsidRPr="008E348A">
        <w:rPr>
          <w:i/>
          <w:iCs/>
          <w:szCs w:val="22"/>
          <w:lang w:val="en-US"/>
        </w:rPr>
        <w:t xml:space="preserve">proposes that the </w:t>
      </w:r>
      <w:r w:rsidR="00EA349E">
        <w:rPr>
          <w:i/>
          <w:iCs/>
          <w:szCs w:val="22"/>
          <w:lang w:val="en-US"/>
        </w:rPr>
        <w:t>annual general</w:t>
      </w:r>
      <w:r w:rsidRPr="008E348A">
        <w:rPr>
          <w:i/>
          <w:iCs/>
          <w:szCs w:val="22"/>
          <w:lang w:val="en-US"/>
        </w:rPr>
        <w:t xml:space="preserve"> meeting resolves to </w:t>
      </w:r>
      <w:bookmarkStart w:id="13" w:name="_Hlk206164228"/>
      <w:r w:rsidR="00400BA5">
        <w:rPr>
          <w:i/>
          <w:iCs/>
          <w:szCs w:val="22"/>
          <w:lang w:val="en-US"/>
        </w:rPr>
        <w:t xml:space="preserve">implement </w:t>
      </w:r>
      <w:r w:rsidRPr="008E348A">
        <w:rPr>
          <w:i/>
          <w:iCs/>
          <w:szCs w:val="22"/>
          <w:lang w:val="en-US"/>
        </w:rPr>
        <w:t xml:space="preserve">Performance Share Program </w:t>
      </w:r>
      <w:r w:rsidR="00C26F7D">
        <w:rPr>
          <w:i/>
          <w:iCs/>
          <w:szCs w:val="22"/>
          <w:lang w:val="en-US"/>
        </w:rPr>
        <w:t>2025/2028:2</w:t>
      </w:r>
      <w:r w:rsidRPr="008E348A">
        <w:rPr>
          <w:i/>
          <w:iCs/>
          <w:szCs w:val="22"/>
          <w:lang w:val="en-US"/>
        </w:rPr>
        <w:t xml:space="preserve"> </w:t>
      </w:r>
      <w:r w:rsidR="00400BA5">
        <w:rPr>
          <w:i/>
          <w:iCs/>
          <w:szCs w:val="22"/>
          <w:lang w:val="en-US"/>
        </w:rPr>
        <w:t xml:space="preserve">in accordance with </w:t>
      </w:r>
      <w:r w:rsidRPr="008E348A">
        <w:rPr>
          <w:i/>
          <w:iCs/>
          <w:szCs w:val="22"/>
          <w:lang w:val="en-US"/>
        </w:rPr>
        <w:t>the following guidelines</w:t>
      </w:r>
      <w:r w:rsidR="00A31307">
        <w:rPr>
          <w:i/>
          <w:iCs/>
          <w:szCs w:val="22"/>
          <w:lang w:val="en-US"/>
        </w:rPr>
        <w:t>.</w:t>
      </w:r>
      <w:bookmarkEnd w:id="13"/>
    </w:p>
    <w:p w14:paraId="007C7452" w14:textId="155AE56E" w:rsidR="00C16304" w:rsidRPr="0015372C" w:rsidRDefault="00C16304" w:rsidP="001A1DEB">
      <w:pPr>
        <w:pStyle w:val="BodyText"/>
        <w:spacing w:after="0"/>
        <w:rPr>
          <w:i/>
          <w:iCs/>
          <w:szCs w:val="22"/>
          <w:lang w:val="en-US"/>
        </w:rPr>
      </w:pPr>
    </w:p>
    <w:p w14:paraId="490C5AEB" w14:textId="19EEABCF" w:rsidR="00BC4E74" w:rsidRPr="00F65E12" w:rsidRDefault="00BC4E74" w:rsidP="00BC4E74">
      <w:pPr>
        <w:pStyle w:val="BodyText"/>
        <w:spacing w:after="0"/>
        <w:rPr>
          <w:szCs w:val="22"/>
          <w:lang w:val="sv-SE"/>
        </w:rPr>
      </w:pPr>
      <w:bookmarkStart w:id="14" w:name="_Hlk141133287"/>
      <w:bookmarkStart w:id="15" w:name="_Hlk206169937"/>
      <w:r w:rsidRPr="00F65E12">
        <w:rPr>
          <w:szCs w:val="22"/>
          <w:lang w:val="sv-SE"/>
        </w:rPr>
        <w:t xml:space="preserve">Prestationsaktieprogram </w:t>
      </w:r>
      <w:r w:rsidR="00C26F7D">
        <w:rPr>
          <w:szCs w:val="22"/>
          <w:lang w:val="sv-SE"/>
        </w:rPr>
        <w:t>2025/2028:2</w:t>
      </w:r>
      <w:r w:rsidRPr="00F65E12">
        <w:rPr>
          <w:szCs w:val="22"/>
          <w:lang w:val="sv-SE"/>
        </w:rPr>
        <w:t xml:space="preserve"> ska erbjudas till samtliga nuvarande ledande befattningshavare, anställda och övriga nyckelpersoner i Bolaget och koncernen </w:t>
      </w:r>
      <w:r w:rsidR="006B1763">
        <w:rPr>
          <w:szCs w:val="22"/>
          <w:lang w:val="sv-SE"/>
        </w:rPr>
        <w:t xml:space="preserve">verksamma i Sverige och Danmark </w:t>
      </w:r>
      <w:r w:rsidRPr="00F65E12">
        <w:rPr>
          <w:szCs w:val="22"/>
          <w:lang w:val="sv-SE"/>
        </w:rPr>
        <w:t xml:space="preserve">fram till och med den </w:t>
      </w:r>
      <w:r w:rsidR="005915F1">
        <w:rPr>
          <w:szCs w:val="22"/>
          <w:lang w:val="sv-SE"/>
        </w:rPr>
        <w:t>31</w:t>
      </w:r>
      <w:r w:rsidR="002472B7" w:rsidRPr="00F65E12">
        <w:rPr>
          <w:szCs w:val="22"/>
          <w:lang w:val="sv-SE"/>
        </w:rPr>
        <w:t xml:space="preserve"> </w:t>
      </w:r>
      <w:r w:rsidR="005915F1">
        <w:rPr>
          <w:szCs w:val="22"/>
          <w:lang w:val="sv-SE"/>
        </w:rPr>
        <w:t>oktober</w:t>
      </w:r>
      <w:r w:rsidR="002472B7" w:rsidRPr="00F65E12">
        <w:rPr>
          <w:szCs w:val="22"/>
          <w:lang w:val="sv-SE"/>
        </w:rPr>
        <w:t xml:space="preserve"> 2025</w:t>
      </w:r>
      <w:r w:rsidRPr="00F65E12">
        <w:rPr>
          <w:szCs w:val="22"/>
          <w:lang w:val="sv-SE"/>
        </w:rPr>
        <w:t>.</w:t>
      </w:r>
      <w:bookmarkEnd w:id="14"/>
      <w:r w:rsidR="00F65E12" w:rsidRPr="00F65E12">
        <w:rPr>
          <w:lang w:val="sv-SE"/>
        </w:rPr>
        <w:t xml:space="preserve"> Person som har träffat anställningsavtal i koncernen men inte tillträtt sin anställning per nämnda datum, ska inte betraktas som anställd. Anställd som har sagt upp sin anställning eller blivit uppsagd per nämnda datum men fortsatt är anställd, ska inte heller betraktas som anställd.</w:t>
      </w:r>
    </w:p>
    <w:p w14:paraId="7A08BC50" w14:textId="0B3A5D44" w:rsidR="00BC4E74" w:rsidRPr="008E348A" w:rsidRDefault="00BC4E74" w:rsidP="00BC4E74">
      <w:pPr>
        <w:pStyle w:val="BodyText"/>
        <w:spacing w:after="0"/>
        <w:rPr>
          <w:i/>
          <w:iCs/>
          <w:szCs w:val="22"/>
          <w:lang w:val="en-US"/>
        </w:rPr>
      </w:pPr>
      <w:bookmarkStart w:id="16" w:name="_Hlk206164237"/>
      <w:r w:rsidRPr="008E348A">
        <w:rPr>
          <w:i/>
          <w:iCs/>
          <w:szCs w:val="22"/>
          <w:lang w:val="en-US"/>
        </w:rPr>
        <w:t xml:space="preserve">Performance Share Program </w:t>
      </w:r>
      <w:r w:rsidR="00C26F7D">
        <w:rPr>
          <w:i/>
          <w:iCs/>
          <w:szCs w:val="22"/>
          <w:lang w:val="en-US"/>
        </w:rPr>
        <w:t>2025/2028:2</w:t>
      </w:r>
      <w:r w:rsidRPr="008E348A">
        <w:rPr>
          <w:i/>
          <w:iCs/>
          <w:szCs w:val="22"/>
          <w:lang w:val="en-US"/>
        </w:rPr>
        <w:t xml:space="preserve"> shall be offered to all current senior executives</w:t>
      </w:r>
      <w:r>
        <w:rPr>
          <w:i/>
          <w:iCs/>
          <w:szCs w:val="22"/>
          <w:lang w:val="en-US"/>
        </w:rPr>
        <w:t>, employees and</w:t>
      </w:r>
      <w:r w:rsidRPr="008E348A">
        <w:rPr>
          <w:i/>
          <w:iCs/>
          <w:szCs w:val="22"/>
          <w:lang w:val="en-US"/>
        </w:rPr>
        <w:t xml:space="preserve"> other key </w:t>
      </w:r>
      <w:r w:rsidR="005915F1">
        <w:rPr>
          <w:i/>
          <w:iCs/>
          <w:szCs w:val="22"/>
          <w:lang w:val="en-US"/>
        </w:rPr>
        <w:t>individuals</w:t>
      </w:r>
      <w:r w:rsidRPr="008E348A">
        <w:rPr>
          <w:i/>
          <w:iCs/>
          <w:szCs w:val="22"/>
          <w:lang w:val="en-US"/>
        </w:rPr>
        <w:t xml:space="preserve"> in the </w:t>
      </w:r>
      <w:r>
        <w:rPr>
          <w:i/>
          <w:iCs/>
          <w:szCs w:val="22"/>
          <w:lang w:val="en-US"/>
        </w:rPr>
        <w:t xml:space="preserve">Company and the group </w:t>
      </w:r>
      <w:r w:rsidR="006B1763">
        <w:rPr>
          <w:i/>
          <w:iCs/>
          <w:szCs w:val="22"/>
          <w:lang w:val="en-US"/>
        </w:rPr>
        <w:t xml:space="preserve">operating in Sweden and Denmark </w:t>
      </w:r>
      <w:r w:rsidRPr="008E348A">
        <w:rPr>
          <w:i/>
          <w:iCs/>
          <w:szCs w:val="22"/>
          <w:lang w:val="en-US"/>
        </w:rPr>
        <w:t xml:space="preserve">up to and including </w:t>
      </w:r>
      <w:r w:rsidR="005915F1">
        <w:rPr>
          <w:i/>
          <w:iCs/>
          <w:szCs w:val="22"/>
          <w:lang w:val="en-US"/>
        </w:rPr>
        <w:t>3</w:t>
      </w:r>
      <w:r w:rsidR="002472B7">
        <w:rPr>
          <w:i/>
          <w:iCs/>
          <w:szCs w:val="22"/>
          <w:lang w:val="en-US"/>
        </w:rPr>
        <w:t xml:space="preserve">1 </w:t>
      </w:r>
      <w:r w:rsidR="005915F1">
        <w:rPr>
          <w:i/>
          <w:iCs/>
          <w:szCs w:val="22"/>
          <w:lang w:val="en-US"/>
        </w:rPr>
        <w:t>October</w:t>
      </w:r>
      <w:r w:rsidR="002472B7">
        <w:rPr>
          <w:i/>
          <w:iCs/>
          <w:szCs w:val="22"/>
          <w:lang w:val="en-US"/>
        </w:rPr>
        <w:t xml:space="preserve"> 2025</w:t>
      </w:r>
      <w:r w:rsidRPr="008E348A">
        <w:rPr>
          <w:i/>
          <w:iCs/>
          <w:szCs w:val="22"/>
          <w:lang w:val="en-US"/>
        </w:rPr>
        <w:t>.</w:t>
      </w:r>
      <w:r w:rsidR="00F65E12" w:rsidRPr="00F65E12">
        <w:rPr>
          <w:i/>
          <w:lang w:val="en-US"/>
        </w:rPr>
        <w:t xml:space="preserve"> </w:t>
      </w:r>
      <w:r w:rsidR="00F65E12" w:rsidRPr="00A67E33">
        <w:rPr>
          <w:i/>
          <w:lang w:val="en-US"/>
        </w:rPr>
        <w:t xml:space="preserve">A person who has entered into an employment agreement with the group but has not taken up his/her employment as of the </w:t>
      </w:r>
      <w:proofErr w:type="gramStart"/>
      <w:r w:rsidR="00F65E12" w:rsidRPr="00A67E33">
        <w:rPr>
          <w:i/>
          <w:lang w:val="en-US"/>
        </w:rPr>
        <w:t>mentioned date</w:t>
      </w:r>
      <w:proofErr w:type="gramEnd"/>
      <w:r w:rsidR="00F65E12" w:rsidRPr="00A67E33">
        <w:rPr>
          <w:i/>
          <w:lang w:val="en-US"/>
        </w:rPr>
        <w:t xml:space="preserve">, shall not be regarded as an employee. An employee who has terminated the </w:t>
      </w:r>
      <w:proofErr w:type="gramStart"/>
      <w:r w:rsidR="00F65E12" w:rsidRPr="00A67E33">
        <w:rPr>
          <w:i/>
          <w:lang w:val="en-US"/>
        </w:rPr>
        <w:t>employment</w:t>
      </w:r>
      <w:proofErr w:type="gramEnd"/>
      <w:r w:rsidR="00F65E12" w:rsidRPr="00A67E33">
        <w:rPr>
          <w:i/>
          <w:lang w:val="en-US"/>
        </w:rPr>
        <w:t xml:space="preserve"> or has been dismissed by the mentioned date but is still employed, shall not be regarded as an employee.</w:t>
      </w:r>
      <w:bookmarkEnd w:id="16"/>
    </w:p>
    <w:p w14:paraId="3C2D4C30" w14:textId="77777777" w:rsidR="00BC4E74" w:rsidRDefault="00BC4E74" w:rsidP="00BC4E74">
      <w:pPr>
        <w:pStyle w:val="BodyText"/>
        <w:spacing w:after="0"/>
        <w:rPr>
          <w:szCs w:val="22"/>
          <w:lang w:val="en-US"/>
        </w:rPr>
      </w:pPr>
    </w:p>
    <w:p w14:paraId="3BDB5CE2" w14:textId="78521E57" w:rsidR="00BC4E74" w:rsidRPr="008E348A" w:rsidRDefault="00BC4E74" w:rsidP="00BC4E74">
      <w:pPr>
        <w:pStyle w:val="BodyText"/>
        <w:spacing w:after="0"/>
        <w:rPr>
          <w:szCs w:val="22"/>
          <w:lang w:val="sv-SE"/>
        </w:rPr>
      </w:pPr>
      <w:r w:rsidRPr="008E348A">
        <w:rPr>
          <w:szCs w:val="22"/>
          <w:lang w:val="sv-SE"/>
        </w:rPr>
        <w:t xml:space="preserve">Prestationsaktieprogram </w:t>
      </w:r>
      <w:r w:rsidR="00C26F7D">
        <w:rPr>
          <w:szCs w:val="22"/>
          <w:lang w:val="sv-SE"/>
        </w:rPr>
        <w:t>2025/2028:2</w:t>
      </w:r>
      <w:r w:rsidRPr="008E348A">
        <w:rPr>
          <w:szCs w:val="22"/>
          <w:lang w:val="sv-SE"/>
        </w:rPr>
        <w:t xml:space="preserve"> ska omfatta högst </w:t>
      </w:r>
      <w:r w:rsidR="00FD2843" w:rsidRPr="00EE396E">
        <w:rPr>
          <w:szCs w:val="22"/>
          <w:lang w:val="sv-SE"/>
        </w:rPr>
        <w:t>1 980 900</w:t>
      </w:r>
      <w:r w:rsidR="009E1234">
        <w:rPr>
          <w:szCs w:val="22"/>
          <w:lang w:val="sv-SE"/>
        </w:rPr>
        <w:t xml:space="preserve"> aktierätter ("</w:t>
      </w:r>
      <w:r w:rsidR="009E1234">
        <w:rPr>
          <w:b/>
          <w:bCs/>
          <w:szCs w:val="22"/>
          <w:lang w:val="sv-SE"/>
        </w:rPr>
        <w:t>Prestationsaktier</w:t>
      </w:r>
      <w:r w:rsidR="009E1234">
        <w:rPr>
          <w:szCs w:val="22"/>
          <w:lang w:val="sv-SE"/>
        </w:rPr>
        <w:t xml:space="preserve">") vilka tilldelas deltagare vederlagsfritt. Varje </w:t>
      </w:r>
      <w:r w:rsidRPr="008E348A">
        <w:rPr>
          <w:szCs w:val="22"/>
          <w:lang w:val="sv-SE"/>
        </w:rPr>
        <w:t>Prestationsaktie</w:t>
      </w:r>
      <w:r w:rsidR="009E1234">
        <w:rPr>
          <w:szCs w:val="22"/>
          <w:lang w:val="sv-SE"/>
        </w:rPr>
        <w:t xml:space="preserve"> kommer, om intjänad, ge innehavaren rätt till en </w:t>
      </w:r>
      <w:r w:rsidR="00A31307">
        <w:rPr>
          <w:szCs w:val="22"/>
          <w:lang w:val="sv-SE"/>
        </w:rPr>
        <w:t xml:space="preserve">(1) </w:t>
      </w:r>
      <w:r w:rsidR="009E1234">
        <w:rPr>
          <w:szCs w:val="22"/>
          <w:lang w:val="sv-SE"/>
        </w:rPr>
        <w:t>B-aktie i Bolaget.</w:t>
      </w:r>
    </w:p>
    <w:p w14:paraId="0C66124B" w14:textId="10C44450" w:rsidR="009E1234" w:rsidRDefault="00BC4E74" w:rsidP="00BC4E74">
      <w:pPr>
        <w:pStyle w:val="BodyText"/>
        <w:spacing w:after="0"/>
        <w:rPr>
          <w:i/>
          <w:iCs/>
          <w:szCs w:val="22"/>
          <w:lang w:val="en-US"/>
        </w:rPr>
      </w:pPr>
      <w:bookmarkStart w:id="17" w:name="_Hlk206164244"/>
      <w:r w:rsidRPr="008E348A">
        <w:rPr>
          <w:i/>
          <w:iCs/>
          <w:szCs w:val="22"/>
          <w:lang w:val="en-US"/>
        </w:rPr>
        <w:t xml:space="preserve">Performance Share Program </w:t>
      </w:r>
      <w:r w:rsidR="00C26F7D">
        <w:rPr>
          <w:i/>
          <w:iCs/>
          <w:szCs w:val="22"/>
          <w:lang w:val="en-US"/>
        </w:rPr>
        <w:t>2025/2028:2</w:t>
      </w:r>
      <w:r w:rsidRPr="008E348A">
        <w:rPr>
          <w:i/>
          <w:iCs/>
          <w:szCs w:val="22"/>
          <w:lang w:val="en-US"/>
        </w:rPr>
        <w:t xml:space="preserve"> shall include a maximum of </w:t>
      </w:r>
      <w:r w:rsidR="00FD2843">
        <w:rPr>
          <w:i/>
          <w:iCs/>
          <w:szCs w:val="22"/>
          <w:lang w:val="en-US"/>
        </w:rPr>
        <w:t xml:space="preserve">1,980,900 </w:t>
      </w:r>
      <w:r w:rsidR="009E1234">
        <w:rPr>
          <w:i/>
          <w:iCs/>
          <w:szCs w:val="22"/>
          <w:lang w:val="en-US"/>
        </w:rPr>
        <w:t>share rights ("</w:t>
      </w:r>
      <w:r w:rsidRPr="009E1234">
        <w:rPr>
          <w:b/>
          <w:bCs/>
          <w:i/>
          <w:iCs/>
          <w:szCs w:val="22"/>
          <w:lang w:val="en-US"/>
        </w:rPr>
        <w:t>Performance Shares</w:t>
      </w:r>
      <w:r w:rsidR="009E1234">
        <w:rPr>
          <w:i/>
          <w:iCs/>
          <w:szCs w:val="22"/>
          <w:lang w:val="en-US"/>
        </w:rPr>
        <w:t xml:space="preserve">") </w:t>
      </w:r>
      <w:r w:rsidR="00D528AD">
        <w:rPr>
          <w:i/>
          <w:iCs/>
          <w:szCs w:val="22"/>
          <w:lang w:val="en-US"/>
        </w:rPr>
        <w:t>which</w:t>
      </w:r>
      <w:r w:rsidR="009E1234">
        <w:rPr>
          <w:i/>
          <w:iCs/>
          <w:szCs w:val="22"/>
          <w:lang w:val="en-US"/>
        </w:rPr>
        <w:t xml:space="preserve"> are allocated to participants free of charge. Each Performance Share, if vested, will entitle the holder to one </w:t>
      </w:r>
      <w:r w:rsidR="00A31307">
        <w:rPr>
          <w:i/>
          <w:iCs/>
          <w:szCs w:val="22"/>
          <w:lang w:val="en-US"/>
        </w:rPr>
        <w:t xml:space="preserve">(1) </w:t>
      </w:r>
      <w:r w:rsidR="009E1234">
        <w:rPr>
          <w:i/>
          <w:iCs/>
          <w:szCs w:val="22"/>
          <w:lang w:val="en-US"/>
        </w:rPr>
        <w:t>class B share in the Company.</w:t>
      </w:r>
      <w:bookmarkEnd w:id="17"/>
    </w:p>
    <w:p w14:paraId="03245420" w14:textId="77777777" w:rsidR="009E1234" w:rsidRPr="009E1234" w:rsidRDefault="009E1234" w:rsidP="00BC4E74">
      <w:pPr>
        <w:pStyle w:val="BodyText"/>
        <w:spacing w:after="0"/>
        <w:rPr>
          <w:szCs w:val="22"/>
          <w:lang w:val="en-US"/>
        </w:rPr>
      </w:pPr>
    </w:p>
    <w:p w14:paraId="05142674" w14:textId="7ECB2426" w:rsidR="009E1234" w:rsidRPr="00EE396E" w:rsidRDefault="009E1234" w:rsidP="00BC4E74">
      <w:pPr>
        <w:pStyle w:val="BodyText"/>
        <w:spacing w:after="0"/>
        <w:rPr>
          <w:i/>
          <w:iCs/>
          <w:szCs w:val="22"/>
          <w:lang w:val="sv-SE"/>
        </w:rPr>
      </w:pPr>
      <w:r>
        <w:rPr>
          <w:szCs w:val="22"/>
          <w:lang w:val="sv-SE"/>
        </w:rPr>
        <w:t xml:space="preserve">Prestationsaktieprogram </w:t>
      </w:r>
      <w:r w:rsidR="00C26F7D">
        <w:rPr>
          <w:szCs w:val="22"/>
          <w:lang w:val="sv-SE"/>
        </w:rPr>
        <w:t>2025/2028:2</w:t>
      </w:r>
      <w:r>
        <w:rPr>
          <w:szCs w:val="22"/>
          <w:lang w:val="sv-SE"/>
        </w:rPr>
        <w:t xml:space="preserve"> ska omfatta ledande </w:t>
      </w:r>
      <w:r w:rsidRPr="008E348A">
        <w:rPr>
          <w:szCs w:val="22"/>
          <w:lang w:val="sv-SE"/>
        </w:rPr>
        <w:t>befattningshavare</w:t>
      </w:r>
      <w:r>
        <w:rPr>
          <w:szCs w:val="22"/>
          <w:lang w:val="sv-SE"/>
        </w:rPr>
        <w:t xml:space="preserve">, anställda </w:t>
      </w:r>
      <w:r w:rsidRPr="008E348A">
        <w:rPr>
          <w:szCs w:val="22"/>
          <w:lang w:val="sv-SE"/>
        </w:rPr>
        <w:t xml:space="preserve">och övriga </w:t>
      </w:r>
      <w:r>
        <w:rPr>
          <w:szCs w:val="22"/>
          <w:lang w:val="sv-SE"/>
        </w:rPr>
        <w:t>nyckelpersoner</w:t>
      </w:r>
      <w:r w:rsidRPr="008E348A">
        <w:rPr>
          <w:szCs w:val="22"/>
          <w:lang w:val="sv-SE"/>
        </w:rPr>
        <w:t xml:space="preserve"> inom Bolaget och koncernen</w:t>
      </w:r>
      <w:r w:rsidR="006B1763">
        <w:rPr>
          <w:szCs w:val="22"/>
          <w:lang w:val="sv-SE"/>
        </w:rPr>
        <w:t xml:space="preserve"> verksamma i Sverige och Danmark</w:t>
      </w:r>
      <w:r>
        <w:rPr>
          <w:szCs w:val="22"/>
          <w:lang w:val="sv-SE"/>
        </w:rPr>
        <w:t xml:space="preserve"> fördelat på fem olika kategorier enligt följande:</w:t>
      </w:r>
    </w:p>
    <w:p w14:paraId="29B5BB33" w14:textId="63A88CD2" w:rsidR="00BC4E74" w:rsidRDefault="006B1763" w:rsidP="00BC4E74">
      <w:pPr>
        <w:pStyle w:val="BodyText"/>
        <w:spacing w:after="0"/>
        <w:rPr>
          <w:szCs w:val="22"/>
          <w:lang w:val="en-US"/>
        </w:rPr>
      </w:pPr>
      <w:bookmarkStart w:id="18" w:name="_Hlk206164259"/>
      <w:r w:rsidRPr="008E348A">
        <w:rPr>
          <w:i/>
          <w:iCs/>
          <w:szCs w:val="22"/>
          <w:lang w:val="en-US"/>
        </w:rPr>
        <w:t xml:space="preserve">Performance Share Program </w:t>
      </w:r>
      <w:r>
        <w:rPr>
          <w:i/>
          <w:iCs/>
          <w:szCs w:val="22"/>
          <w:lang w:val="en-US"/>
        </w:rPr>
        <w:t xml:space="preserve">2025/2028:2 </w:t>
      </w:r>
      <w:r w:rsidR="00D528AD">
        <w:rPr>
          <w:i/>
          <w:iCs/>
          <w:szCs w:val="22"/>
          <w:lang w:val="en-US"/>
        </w:rPr>
        <w:t>will be offered to s</w:t>
      </w:r>
      <w:r w:rsidR="00D528AD" w:rsidRPr="008E348A">
        <w:rPr>
          <w:i/>
          <w:iCs/>
          <w:szCs w:val="22"/>
          <w:lang w:val="en-US"/>
        </w:rPr>
        <w:t>enior executives</w:t>
      </w:r>
      <w:r w:rsidR="00D528AD">
        <w:rPr>
          <w:i/>
          <w:iCs/>
          <w:szCs w:val="22"/>
          <w:lang w:val="en-US"/>
        </w:rPr>
        <w:t xml:space="preserve">, employees </w:t>
      </w:r>
      <w:r w:rsidR="00D528AD" w:rsidRPr="008E348A">
        <w:rPr>
          <w:i/>
          <w:iCs/>
          <w:szCs w:val="22"/>
          <w:lang w:val="en-US"/>
        </w:rPr>
        <w:t xml:space="preserve">and other </w:t>
      </w:r>
      <w:r w:rsidR="00D528AD">
        <w:rPr>
          <w:i/>
          <w:iCs/>
          <w:szCs w:val="22"/>
          <w:lang w:val="en-US"/>
        </w:rPr>
        <w:t xml:space="preserve">key </w:t>
      </w:r>
      <w:r w:rsidR="005915F1">
        <w:rPr>
          <w:i/>
          <w:iCs/>
          <w:szCs w:val="22"/>
          <w:lang w:val="en-US"/>
        </w:rPr>
        <w:t>individuals</w:t>
      </w:r>
      <w:r w:rsidR="00D528AD" w:rsidRPr="008E348A">
        <w:rPr>
          <w:i/>
          <w:iCs/>
          <w:szCs w:val="22"/>
          <w:lang w:val="en-US"/>
        </w:rPr>
        <w:t xml:space="preserve"> within the Company and the group</w:t>
      </w:r>
      <w:r w:rsidR="00D528AD">
        <w:rPr>
          <w:i/>
          <w:iCs/>
          <w:szCs w:val="22"/>
          <w:lang w:val="en-US"/>
        </w:rPr>
        <w:t xml:space="preserve"> </w:t>
      </w:r>
      <w:r>
        <w:rPr>
          <w:i/>
          <w:iCs/>
          <w:szCs w:val="22"/>
          <w:lang w:val="en-US"/>
        </w:rPr>
        <w:t xml:space="preserve">operating in Sweden and Denmark </w:t>
      </w:r>
      <w:r w:rsidR="00D528AD">
        <w:rPr>
          <w:i/>
          <w:iCs/>
          <w:szCs w:val="22"/>
          <w:lang w:val="en-US"/>
        </w:rPr>
        <w:t xml:space="preserve">divided into </w:t>
      </w:r>
      <w:r w:rsidR="00605AF0">
        <w:rPr>
          <w:i/>
          <w:iCs/>
          <w:szCs w:val="22"/>
          <w:lang w:val="en-US"/>
        </w:rPr>
        <w:t>five</w:t>
      </w:r>
      <w:r w:rsidR="00D528AD">
        <w:rPr>
          <w:i/>
          <w:iCs/>
          <w:szCs w:val="22"/>
          <w:lang w:val="en-US"/>
        </w:rPr>
        <w:t xml:space="preserve"> different categories as follows:</w:t>
      </w:r>
      <w:bookmarkEnd w:id="18"/>
    </w:p>
    <w:p w14:paraId="5485D59E" w14:textId="77777777" w:rsidR="00BC4E74" w:rsidRPr="00F65E12" w:rsidRDefault="00BC4E74" w:rsidP="00BC4E74">
      <w:pPr>
        <w:pStyle w:val="BodyText"/>
        <w:spacing w:after="0"/>
        <w:rPr>
          <w:szCs w:val="22"/>
          <w:lang w:val="en-US"/>
        </w:rPr>
      </w:pPr>
    </w:p>
    <w:p w14:paraId="7B67C042" w14:textId="4016AF2A" w:rsidR="00605AF0" w:rsidRDefault="00605AF0" w:rsidP="00F3012E">
      <w:pPr>
        <w:pStyle w:val="BodyText"/>
        <w:numPr>
          <w:ilvl w:val="0"/>
          <w:numId w:val="35"/>
        </w:numPr>
        <w:spacing w:after="0"/>
        <w:rPr>
          <w:szCs w:val="22"/>
          <w:lang w:val="sv-SE"/>
        </w:rPr>
      </w:pPr>
      <w:bookmarkStart w:id="19" w:name="_Hlk206164269"/>
      <w:r>
        <w:rPr>
          <w:szCs w:val="22"/>
          <w:lang w:val="sv-SE"/>
        </w:rPr>
        <w:t>Verkställande direktör</w:t>
      </w:r>
      <w:r w:rsidR="00C441A8">
        <w:rPr>
          <w:szCs w:val="22"/>
          <w:lang w:val="sv-SE"/>
        </w:rPr>
        <w:t>en</w:t>
      </w:r>
      <w:r>
        <w:rPr>
          <w:szCs w:val="22"/>
          <w:lang w:val="sv-SE"/>
        </w:rPr>
        <w:t xml:space="preserve"> bestående av </w:t>
      </w:r>
      <w:r w:rsidR="00FC5A69">
        <w:rPr>
          <w:szCs w:val="22"/>
          <w:lang w:val="sv-SE"/>
        </w:rPr>
        <w:t xml:space="preserve">upp till </w:t>
      </w:r>
      <w:r>
        <w:rPr>
          <w:szCs w:val="22"/>
          <w:lang w:val="sv-SE"/>
        </w:rPr>
        <w:t xml:space="preserve">en (1) person kan tilldelas högst </w:t>
      </w:r>
      <w:r w:rsidR="00FD2843" w:rsidRPr="00EE396E">
        <w:rPr>
          <w:szCs w:val="22"/>
          <w:lang w:val="sv-SE"/>
        </w:rPr>
        <w:t>319 500</w:t>
      </w:r>
      <w:r>
        <w:rPr>
          <w:szCs w:val="22"/>
          <w:lang w:val="sv-SE"/>
        </w:rPr>
        <w:t xml:space="preserve"> prestationsaktier.</w:t>
      </w:r>
    </w:p>
    <w:p w14:paraId="49648E47" w14:textId="6D8DA653" w:rsidR="00605AF0" w:rsidRPr="00605AF0" w:rsidRDefault="00C441A8" w:rsidP="00605AF0">
      <w:pPr>
        <w:pStyle w:val="BodyText"/>
        <w:spacing w:after="0"/>
        <w:ind w:left="720"/>
        <w:rPr>
          <w:i/>
          <w:iCs/>
          <w:szCs w:val="22"/>
          <w:lang w:val="en-US"/>
        </w:rPr>
      </w:pPr>
      <w:r>
        <w:rPr>
          <w:i/>
          <w:iCs/>
          <w:szCs w:val="22"/>
          <w:lang w:val="en-US"/>
        </w:rPr>
        <w:t>The m</w:t>
      </w:r>
      <w:r w:rsidR="00605AF0" w:rsidRPr="00605AF0">
        <w:rPr>
          <w:i/>
          <w:iCs/>
          <w:szCs w:val="22"/>
          <w:lang w:val="en-US"/>
        </w:rPr>
        <w:t xml:space="preserve">anaging director consisting of </w:t>
      </w:r>
      <w:r w:rsidR="00FC5A69">
        <w:rPr>
          <w:i/>
          <w:iCs/>
          <w:szCs w:val="22"/>
          <w:lang w:val="en-US"/>
        </w:rPr>
        <w:t xml:space="preserve">up to </w:t>
      </w:r>
      <w:r w:rsidR="00605AF0" w:rsidRPr="00605AF0">
        <w:rPr>
          <w:i/>
          <w:iCs/>
          <w:szCs w:val="22"/>
          <w:lang w:val="en-US"/>
        </w:rPr>
        <w:t xml:space="preserve">one (1) person may be offered up to </w:t>
      </w:r>
      <w:r w:rsidR="00FD2843">
        <w:rPr>
          <w:i/>
          <w:iCs/>
          <w:szCs w:val="22"/>
          <w:lang w:val="en-US"/>
        </w:rPr>
        <w:t>319,500</w:t>
      </w:r>
      <w:r w:rsidR="00605AF0" w:rsidRPr="00605AF0">
        <w:rPr>
          <w:i/>
          <w:iCs/>
          <w:szCs w:val="22"/>
          <w:lang w:val="en-US"/>
        </w:rPr>
        <w:t xml:space="preserve"> Performance Shares</w:t>
      </w:r>
      <w:r w:rsidR="006B1763">
        <w:rPr>
          <w:i/>
          <w:iCs/>
          <w:szCs w:val="22"/>
          <w:lang w:val="en-US"/>
        </w:rPr>
        <w:t>.</w:t>
      </w:r>
    </w:p>
    <w:p w14:paraId="27575D10" w14:textId="77777777" w:rsidR="00605AF0" w:rsidRPr="00EE396E" w:rsidRDefault="00605AF0" w:rsidP="00605AF0">
      <w:pPr>
        <w:pStyle w:val="BodyText"/>
        <w:spacing w:after="0"/>
        <w:ind w:left="720"/>
        <w:rPr>
          <w:i/>
          <w:iCs/>
          <w:szCs w:val="22"/>
          <w:lang w:val="en-US"/>
        </w:rPr>
      </w:pPr>
    </w:p>
    <w:p w14:paraId="2D60EB03" w14:textId="0ED72108" w:rsidR="00BC4E74" w:rsidRPr="008E348A" w:rsidRDefault="00D528AD" w:rsidP="00F3012E">
      <w:pPr>
        <w:pStyle w:val="BodyText"/>
        <w:numPr>
          <w:ilvl w:val="0"/>
          <w:numId w:val="35"/>
        </w:numPr>
        <w:spacing w:after="0"/>
        <w:rPr>
          <w:szCs w:val="22"/>
          <w:lang w:val="sv-SE"/>
        </w:rPr>
      </w:pPr>
      <w:r>
        <w:rPr>
          <w:szCs w:val="22"/>
          <w:lang w:val="sv-SE"/>
        </w:rPr>
        <w:t>Ledande befattningshavare</w:t>
      </w:r>
      <w:r w:rsidR="00BC4E74" w:rsidRPr="008E348A">
        <w:rPr>
          <w:szCs w:val="22"/>
          <w:lang w:val="sv-SE"/>
        </w:rPr>
        <w:t xml:space="preserve"> bestående av </w:t>
      </w:r>
      <w:r w:rsidR="00FC5A69">
        <w:rPr>
          <w:szCs w:val="22"/>
          <w:lang w:val="sv-SE"/>
        </w:rPr>
        <w:t xml:space="preserve">upp till </w:t>
      </w:r>
      <w:r w:rsidR="00FD2843">
        <w:rPr>
          <w:szCs w:val="22"/>
          <w:lang w:val="sv-SE"/>
        </w:rPr>
        <w:t>en</w:t>
      </w:r>
      <w:r w:rsidR="00BC4E74" w:rsidRPr="008E348A">
        <w:rPr>
          <w:szCs w:val="22"/>
          <w:lang w:val="sv-SE"/>
        </w:rPr>
        <w:t xml:space="preserve"> (</w:t>
      </w:r>
      <w:r w:rsidR="00FD2843">
        <w:rPr>
          <w:szCs w:val="22"/>
          <w:lang w:val="sv-SE"/>
        </w:rPr>
        <w:t>1</w:t>
      </w:r>
      <w:r w:rsidR="00BC4E74" w:rsidRPr="008E348A">
        <w:rPr>
          <w:szCs w:val="22"/>
          <w:lang w:val="sv-SE"/>
        </w:rPr>
        <w:t xml:space="preserve">) person kan </w:t>
      </w:r>
      <w:r w:rsidR="00FC5A69">
        <w:rPr>
          <w:szCs w:val="22"/>
          <w:lang w:val="sv-SE"/>
        </w:rPr>
        <w:t xml:space="preserve">tilldelas högst </w:t>
      </w:r>
      <w:r w:rsidR="00FD2843" w:rsidRPr="00EE396E">
        <w:rPr>
          <w:szCs w:val="22"/>
          <w:lang w:val="sv-SE"/>
        </w:rPr>
        <w:t>255 600</w:t>
      </w:r>
      <w:r w:rsidR="00FC5A69">
        <w:rPr>
          <w:szCs w:val="22"/>
          <w:lang w:val="sv-SE"/>
        </w:rPr>
        <w:t xml:space="preserve"> </w:t>
      </w:r>
      <w:r w:rsidR="00BC4E74" w:rsidRPr="008E348A">
        <w:rPr>
          <w:szCs w:val="22"/>
          <w:lang w:val="sv-SE"/>
        </w:rPr>
        <w:t>Prestationsaktier</w:t>
      </w:r>
      <w:r w:rsidR="00FC5A69">
        <w:rPr>
          <w:szCs w:val="22"/>
          <w:lang w:val="sv-SE"/>
        </w:rPr>
        <w:t>.</w:t>
      </w:r>
    </w:p>
    <w:p w14:paraId="7A24990B" w14:textId="4D78F27C" w:rsidR="00BC4E74" w:rsidRPr="008E348A" w:rsidRDefault="00FC5A69" w:rsidP="00BC4E74">
      <w:pPr>
        <w:pStyle w:val="BodyText"/>
        <w:spacing w:after="0"/>
        <w:ind w:left="720"/>
        <w:rPr>
          <w:i/>
          <w:iCs/>
          <w:szCs w:val="22"/>
          <w:lang w:val="en-US"/>
        </w:rPr>
      </w:pPr>
      <w:r>
        <w:rPr>
          <w:i/>
          <w:iCs/>
          <w:szCs w:val="22"/>
          <w:lang w:val="en-US"/>
        </w:rPr>
        <w:t xml:space="preserve">Senior executives consisting of up to </w:t>
      </w:r>
      <w:r w:rsidR="00FD2843">
        <w:rPr>
          <w:i/>
          <w:iCs/>
          <w:szCs w:val="22"/>
          <w:lang w:val="en-US"/>
        </w:rPr>
        <w:t xml:space="preserve">one </w:t>
      </w:r>
      <w:r>
        <w:rPr>
          <w:i/>
          <w:iCs/>
          <w:szCs w:val="22"/>
          <w:lang w:val="en-US"/>
        </w:rPr>
        <w:t>(</w:t>
      </w:r>
      <w:r w:rsidR="00FD2843">
        <w:rPr>
          <w:i/>
          <w:iCs/>
          <w:szCs w:val="22"/>
          <w:lang w:val="en-US"/>
        </w:rPr>
        <w:t>1</w:t>
      </w:r>
      <w:r>
        <w:rPr>
          <w:i/>
          <w:iCs/>
          <w:szCs w:val="22"/>
          <w:lang w:val="en-US"/>
        </w:rPr>
        <w:t xml:space="preserve">) person may be offered up to </w:t>
      </w:r>
      <w:r w:rsidR="00FD2843">
        <w:rPr>
          <w:i/>
          <w:iCs/>
          <w:szCs w:val="22"/>
          <w:lang w:val="en-US"/>
        </w:rPr>
        <w:t>255,600</w:t>
      </w:r>
      <w:r>
        <w:rPr>
          <w:i/>
          <w:iCs/>
          <w:szCs w:val="22"/>
          <w:lang w:val="en-US"/>
        </w:rPr>
        <w:t xml:space="preserve"> Performance Shares.</w:t>
      </w:r>
    </w:p>
    <w:p w14:paraId="69103BB9" w14:textId="77777777" w:rsidR="00BC4E74" w:rsidRPr="008E348A" w:rsidRDefault="00BC4E74" w:rsidP="00BC4E74">
      <w:pPr>
        <w:pStyle w:val="BodyText"/>
        <w:spacing w:after="0"/>
        <w:ind w:left="720"/>
        <w:rPr>
          <w:i/>
          <w:iCs/>
          <w:szCs w:val="22"/>
          <w:lang w:val="en-US"/>
        </w:rPr>
      </w:pPr>
    </w:p>
    <w:p w14:paraId="2ED00472" w14:textId="2A3126F3" w:rsidR="00BC4E74" w:rsidRPr="008E348A" w:rsidRDefault="00FC5A69" w:rsidP="00F3012E">
      <w:pPr>
        <w:pStyle w:val="BodyText"/>
        <w:numPr>
          <w:ilvl w:val="0"/>
          <w:numId w:val="35"/>
        </w:numPr>
        <w:spacing w:after="0"/>
        <w:rPr>
          <w:szCs w:val="22"/>
          <w:lang w:val="sv-SE"/>
        </w:rPr>
      </w:pPr>
      <w:r>
        <w:rPr>
          <w:szCs w:val="22"/>
          <w:lang w:val="sv-SE"/>
        </w:rPr>
        <w:t xml:space="preserve">Övriga ledande befattningshavare bestående av upp till </w:t>
      </w:r>
      <w:r w:rsidR="00FD2843">
        <w:rPr>
          <w:szCs w:val="22"/>
          <w:lang w:val="sv-SE"/>
        </w:rPr>
        <w:t>två</w:t>
      </w:r>
      <w:r>
        <w:rPr>
          <w:szCs w:val="22"/>
          <w:lang w:val="sv-SE"/>
        </w:rPr>
        <w:t xml:space="preserve"> (</w:t>
      </w:r>
      <w:r w:rsidR="00FD2843">
        <w:rPr>
          <w:szCs w:val="22"/>
          <w:lang w:val="sv-SE"/>
        </w:rPr>
        <w:t>2</w:t>
      </w:r>
      <w:r>
        <w:rPr>
          <w:szCs w:val="22"/>
          <w:lang w:val="sv-SE"/>
        </w:rPr>
        <w:t xml:space="preserve">) personer kan vardera tilldelas högst </w:t>
      </w:r>
      <w:r w:rsidR="00FD2843">
        <w:rPr>
          <w:szCs w:val="22"/>
          <w:lang w:val="sv-SE"/>
        </w:rPr>
        <w:t xml:space="preserve">191 700 </w:t>
      </w:r>
      <w:r>
        <w:rPr>
          <w:szCs w:val="22"/>
          <w:lang w:val="sv-SE"/>
        </w:rPr>
        <w:t xml:space="preserve">Prestationsaktier och sammanlagt högst </w:t>
      </w:r>
      <w:r w:rsidR="00FD2843">
        <w:rPr>
          <w:szCs w:val="22"/>
          <w:lang w:val="sv-SE"/>
        </w:rPr>
        <w:t xml:space="preserve">383 400 </w:t>
      </w:r>
      <w:r>
        <w:rPr>
          <w:szCs w:val="22"/>
          <w:lang w:val="sv-SE"/>
        </w:rPr>
        <w:t>Prestationsaktier.</w:t>
      </w:r>
    </w:p>
    <w:p w14:paraId="7D4753E4" w14:textId="43D78F5C" w:rsidR="00BC4E74" w:rsidRPr="00FC5A69" w:rsidRDefault="00FC5A69" w:rsidP="00FC5A69">
      <w:pPr>
        <w:pStyle w:val="BodyText"/>
        <w:spacing w:after="0"/>
        <w:ind w:left="720"/>
        <w:rPr>
          <w:i/>
          <w:iCs/>
          <w:szCs w:val="22"/>
          <w:lang w:val="en-US"/>
        </w:rPr>
      </w:pPr>
      <w:r>
        <w:rPr>
          <w:i/>
          <w:iCs/>
          <w:szCs w:val="22"/>
          <w:lang w:val="en-US"/>
        </w:rPr>
        <w:t xml:space="preserve">Other senior executives consisting of up to </w:t>
      </w:r>
      <w:r w:rsidR="00FD2843">
        <w:rPr>
          <w:i/>
          <w:iCs/>
          <w:szCs w:val="22"/>
          <w:lang w:val="en-US"/>
        </w:rPr>
        <w:t>two</w:t>
      </w:r>
      <w:r>
        <w:rPr>
          <w:i/>
          <w:iCs/>
          <w:szCs w:val="22"/>
          <w:lang w:val="en-US"/>
        </w:rPr>
        <w:t xml:space="preserve"> (</w:t>
      </w:r>
      <w:r w:rsidR="00FD2843">
        <w:rPr>
          <w:i/>
          <w:iCs/>
          <w:szCs w:val="22"/>
          <w:lang w:val="en-US"/>
        </w:rPr>
        <w:t>2</w:t>
      </w:r>
      <w:r>
        <w:rPr>
          <w:i/>
          <w:iCs/>
          <w:szCs w:val="22"/>
          <w:lang w:val="en-US"/>
        </w:rPr>
        <w:t xml:space="preserve">) </w:t>
      </w:r>
      <w:proofErr w:type="gramStart"/>
      <w:r>
        <w:rPr>
          <w:i/>
          <w:iCs/>
          <w:szCs w:val="22"/>
          <w:lang w:val="en-US"/>
        </w:rPr>
        <w:t>persons</w:t>
      </w:r>
      <w:proofErr w:type="gramEnd"/>
      <w:r>
        <w:rPr>
          <w:i/>
          <w:iCs/>
          <w:szCs w:val="22"/>
          <w:lang w:val="en-US"/>
        </w:rPr>
        <w:t xml:space="preserve"> may be offered up to </w:t>
      </w:r>
      <w:r w:rsidR="00FD2843">
        <w:rPr>
          <w:i/>
          <w:iCs/>
          <w:szCs w:val="22"/>
          <w:lang w:val="en-US"/>
        </w:rPr>
        <w:t>191,700</w:t>
      </w:r>
      <w:r>
        <w:rPr>
          <w:i/>
          <w:iCs/>
          <w:szCs w:val="22"/>
          <w:lang w:val="en-US"/>
        </w:rPr>
        <w:t xml:space="preserve"> Performance Shares each and up to </w:t>
      </w:r>
      <w:r w:rsidR="00FD2843">
        <w:rPr>
          <w:i/>
          <w:iCs/>
          <w:szCs w:val="22"/>
          <w:lang w:val="en-US"/>
        </w:rPr>
        <w:t xml:space="preserve">383,400 </w:t>
      </w:r>
      <w:r>
        <w:rPr>
          <w:i/>
          <w:iCs/>
          <w:szCs w:val="22"/>
          <w:lang w:val="en-US"/>
        </w:rPr>
        <w:t>Performance Shares in total.</w:t>
      </w:r>
    </w:p>
    <w:p w14:paraId="346A40CC" w14:textId="77777777" w:rsidR="00BC4E74" w:rsidRPr="008E348A" w:rsidRDefault="00BC4E74" w:rsidP="00BC4E74">
      <w:pPr>
        <w:pStyle w:val="BodyText"/>
        <w:spacing w:after="0"/>
        <w:ind w:left="720"/>
        <w:rPr>
          <w:szCs w:val="22"/>
          <w:lang w:val="en-US"/>
        </w:rPr>
      </w:pPr>
    </w:p>
    <w:p w14:paraId="6B44AC65" w14:textId="25B068A5" w:rsidR="00BC4E74" w:rsidRPr="008E348A" w:rsidRDefault="00FC5A69" w:rsidP="00F3012E">
      <w:pPr>
        <w:pStyle w:val="BodyText"/>
        <w:numPr>
          <w:ilvl w:val="0"/>
          <w:numId w:val="35"/>
        </w:numPr>
        <w:spacing w:after="0"/>
        <w:rPr>
          <w:szCs w:val="22"/>
          <w:lang w:val="sv-SE"/>
        </w:rPr>
      </w:pPr>
      <w:r>
        <w:rPr>
          <w:szCs w:val="22"/>
          <w:lang w:val="sv-SE"/>
        </w:rPr>
        <w:t xml:space="preserve">Nyckelpersoner bestående av upp till </w:t>
      </w:r>
      <w:r w:rsidR="00FD2843">
        <w:rPr>
          <w:szCs w:val="22"/>
          <w:lang w:val="sv-SE"/>
        </w:rPr>
        <w:t>tre</w:t>
      </w:r>
      <w:r>
        <w:rPr>
          <w:szCs w:val="22"/>
          <w:lang w:val="sv-SE"/>
        </w:rPr>
        <w:t xml:space="preserve"> (</w:t>
      </w:r>
      <w:r w:rsidR="00FD2843">
        <w:rPr>
          <w:szCs w:val="22"/>
          <w:lang w:val="sv-SE"/>
        </w:rPr>
        <w:t>3</w:t>
      </w:r>
      <w:r>
        <w:rPr>
          <w:szCs w:val="22"/>
          <w:lang w:val="sv-SE"/>
        </w:rPr>
        <w:t xml:space="preserve">) personer kan vardera tilldelas högst </w:t>
      </w:r>
      <w:r w:rsidR="00FD2843" w:rsidRPr="00EE396E">
        <w:rPr>
          <w:szCs w:val="22"/>
          <w:lang w:val="sv-SE"/>
        </w:rPr>
        <w:t>127 800</w:t>
      </w:r>
      <w:r>
        <w:rPr>
          <w:szCs w:val="22"/>
          <w:lang w:val="sv-SE"/>
        </w:rPr>
        <w:t xml:space="preserve"> Prestationsaktier och sammanlagt högst </w:t>
      </w:r>
      <w:r w:rsidR="00FD2843">
        <w:rPr>
          <w:szCs w:val="22"/>
          <w:lang w:val="sv-SE"/>
        </w:rPr>
        <w:t xml:space="preserve">383 400 </w:t>
      </w:r>
      <w:r w:rsidR="009B555B">
        <w:rPr>
          <w:szCs w:val="22"/>
          <w:lang w:val="sv-SE"/>
        </w:rPr>
        <w:t>Prestationsaktier.</w:t>
      </w:r>
    </w:p>
    <w:p w14:paraId="44969A2C" w14:textId="0AEAF0DA" w:rsidR="00BC4E74" w:rsidRPr="008E348A" w:rsidRDefault="009B555B" w:rsidP="00BC4E74">
      <w:pPr>
        <w:pStyle w:val="BodyText"/>
        <w:spacing w:after="0"/>
        <w:ind w:left="720"/>
        <w:rPr>
          <w:i/>
          <w:iCs/>
          <w:szCs w:val="22"/>
          <w:lang w:val="en-US"/>
        </w:rPr>
      </w:pPr>
      <w:r>
        <w:rPr>
          <w:i/>
          <w:iCs/>
          <w:szCs w:val="22"/>
          <w:lang w:val="en-US"/>
        </w:rPr>
        <w:t>Key individuals consisting of up to</w:t>
      </w:r>
      <w:r w:rsidR="00FD2843">
        <w:rPr>
          <w:i/>
          <w:iCs/>
          <w:szCs w:val="22"/>
          <w:lang w:val="en-US"/>
        </w:rPr>
        <w:t xml:space="preserve"> three</w:t>
      </w:r>
      <w:r>
        <w:rPr>
          <w:i/>
          <w:iCs/>
          <w:szCs w:val="22"/>
          <w:lang w:val="en-US"/>
        </w:rPr>
        <w:t xml:space="preserve"> (</w:t>
      </w:r>
      <w:r w:rsidR="00FD2843">
        <w:rPr>
          <w:i/>
          <w:iCs/>
          <w:szCs w:val="22"/>
          <w:lang w:val="en-US"/>
        </w:rPr>
        <w:t>3</w:t>
      </w:r>
      <w:r>
        <w:rPr>
          <w:i/>
          <w:iCs/>
          <w:szCs w:val="22"/>
          <w:lang w:val="en-US"/>
        </w:rPr>
        <w:t xml:space="preserve">) </w:t>
      </w:r>
      <w:proofErr w:type="gramStart"/>
      <w:r>
        <w:rPr>
          <w:i/>
          <w:iCs/>
          <w:szCs w:val="22"/>
          <w:lang w:val="en-US"/>
        </w:rPr>
        <w:t>persons</w:t>
      </w:r>
      <w:proofErr w:type="gramEnd"/>
      <w:r>
        <w:rPr>
          <w:i/>
          <w:iCs/>
          <w:szCs w:val="22"/>
          <w:lang w:val="en-US"/>
        </w:rPr>
        <w:t xml:space="preserve"> may be offered up to </w:t>
      </w:r>
      <w:r w:rsidR="00FD2843">
        <w:rPr>
          <w:i/>
          <w:iCs/>
          <w:szCs w:val="22"/>
          <w:lang w:val="en-US"/>
        </w:rPr>
        <w:t xml:space="preserve">127,800 </w:t>
      </w:r>
      <w:r w:rsidR="00BC4E74" w:rsidRPr="008E348A">
        <w:rPr>
          <w:i/>
          <w:iCs/>
          <w:szCs w:val="22"/>
          <w:lang w:val="en-US"/>
        </w:rPr>
        <w:t xml:space="preserve">Performance Shares each and </w:t>
      </w:r>
      <w:r>
        <w:rPr>
          <w:i/>
          <w:iCs/>
          <w:szCs w:val="22"/>
          <w:lang w:val="en-US"/>
        </w:rPr>
        <w:t>up to</w:t>
      </w:r>
      <w:r w:rsidR="00BC4E74" w:rsidRPr="008E348A">
        <w:rPr>
          <w:i/>
          <w:iCs/>
          <w:szCs w:val="22"/>
          <w:lang w:val="en-US"/>
        </w:rPr>
        <w:t xml:space="preserve"> </w:t>
      </w:r>
      <w:r w:rsidR="00FD2843">
        <w:rPr>
          <w:i/>
          <w:iCs/>
          <w:szCs w:val="22"/>
          <w:lang w:val="en-US"/>
        </w:rPr>
        <w:t xml:space="preserve">383,400 </w:t>
      </w:r>
      <w:r w:rsidR="00BC4E74" w:rsidRPr="008E348A">
        <w:rPr>
          <w:i/>
          <w:iCs/>
          <w:szCs w:val="22"/>
          <w:lang w:val="en-US"/>
        </w:rPr>
        <w:t>Performance Shares in total</w:t>
      </w:r>
      <w:r>
        <w:rPr>
          <w:i/>
          <w:iCs/>
          <w:szCs w:val="22"/>
          <w:lang w:val="en-US"/>
        </w:rPr>
        <w:t>.</w:t>
      </w:r>
    </w:p>
    <w:p w14:paraId="60A57102" w14:textId="77777777" w:rsidR="00BC4E74" w:rsidRPr="008E348A" w:rsidRDefault="00BC4E74" w:rsidP="00BC4E74">
      <w:pPr>
        <w:pStyle w:val="BodyText"/>
        <w:spacing w:after="0"/>
        <w:ind w:left="720"/>
        <w:rPr>
          <w:i/>
          <w:iCs/>
          <w:szCs w:val="22"/>
          <w:lang w:val="en-US"/>
        </w:rPr>
      </w:pPr>
    </w:p>
    <w:p w14:paraId="45ED5090" w14:textId="6AD2090F" w:rsidR="00BC4E74" w:rsidRPr="008E348A" w:rsidRDefault="009B555B" w:rsidP="00F3012E">
      <w:pPr>
        <w:pStyle w:val="BodyText"/>
        <w:numPr>
          <w:ilvl w:val="0"/>
          <w:numId w:val="35"/>
        </w:numPr>
        <w:spacing w:after="0"/>
        <w:rPr>
          <w:szCs w:val="22"/>
          <w:lang w:val="sv-SE"/>
        </w:rPr>
      </w:pPr>
      <w:r>
        <w:rPr>
          <w:szCs w:val="22"/>
          <w:lang w:val="sv-SE"/>
        </w:rPr>
        <w:t>Övriga</w:t>
      </w:r>
      <w:r w:rsidR="00BC4E74" w:rsidRPr="008E348A">
        <w:rPr>
          <w:szCs w:val="22"/>
          <w:lang w:val="sv-SE"/>
        </w:rPr>
        <w:t xml:space="preserve"> anställda bestående av upp till </w:t>
      </w:r>
      <w:r>
        <w:rPr>
          <w:szCs w:val="22"/>
          <w:lang w:val="sv-SE"/>
        </w:rPr>
        <w:t>1</w:t>
      </w:r>
      <w:r w:rsidR="00FD2843">
        <w:rPr>
          <w:szCs w:val="22"/>
          <w:lang w:val="sv-SE"/>
        </w:rPr>
        <w:t>0</w:t>
      </w:r>
      <w:r w:rsidR="00BC4E74" w:rsidRPr="008E348A">
        <w:rPr>
          <w:szCs w:val="22"/>
          <w:lang w:val="sv-SE"/>
        </w:rPr>
        <w:t xml:space="preserve"> personer kan vardera tilldelas högst </w:t>
      </w:r>
      <w:r w:rsidR="00FD2843" w:rsidRPr="00EE396E">
        <w:rPr>
          <w:szCs w:val="22"/>
          <w:lang w:val="sv-SE"/>
        </w:rPr>
        <w:t>63 900</w:t>
      </w:r>
      <w:r w:rsidR="00BC4E74" w:rsidRPr="008E348A">
        <w:rPr>
          <w:szCs w:val="22"/>
          <w:lang w:val="sv-SE"/>
        </w:rPr>
        <w:t xml:space="preserve"> Prestationsaktier och sammanlagt högst </w:t>
      </w:r>
      <w:r w:rsidR="00FD2843">
        <w:rPr>
          <w:szCs w:val="22"/>
          <w:lang w:val="sv-SE"/>
        </w:rPr>
        <w:t xml:space="preserve">639 000 </w:t>
      </w:r>
      <w:r w:rsidR="00BC4E74" w:rsidRPr="008E348A">
        <w:rPr>
          <w:szCs w:val="22"/>
          <w:lang w:val="sv-SE"/>
        </w:rPr>
        <w:t>Prestationsaktier.</w:t>
      </w:r>
    </w:p>
    <w:p w14:paraId="3C38814D" w14:textId="3CF7B20F" w:rsidR="00BC4E74" w:rsidRPr="008E348A" w:rsidRDefault="00BC4E74" w:rsidP="00BC4E74">
      <w:pPr>
        <w:pStyle w:val="BodyText"/>
        <w:spacing w:after="0"/>
        <w:ind w:left="720"/>
        <w:rPr>
          <w:i/>
          <w:iCs/>
          <w:szCs w:val="22"/>
          <w:lang w:val="en-US"/>
        </w:rPr>
      </w:pPr>
      <w:r w:rsidRPr="008E348A">
        <w:rPr>
          <w:i/>
          <w:iCs/>
          <w:szCs w:val="22"/>
          <w:lang w:val="en-US"/>
        </w:rPr>
        <w:t xml:space="preserve">Other employees consisting of up to </w:t>
      </w:r>
      <w:r w:rsidR="009B555B">
        <w:rPr>
          <w:i/>
          <w:iCs/>
          <w:szCs w:val="22"/>
          <w:lang w:val="en-US"/>
        </w:rPr>
        <w:t>1</w:t>
      </w:r>
      <w:r w:rsidR="00FD2843">
        <w:rPr>
          <w:i/>
          <w:iCs/>
          <w:szCs w:val="22"/>
          <w:lang w:val="en-US"/>
        </w:rPr>
        <w:t>0</w:t>
      </w:r>
      <w:r w:rsidRPr="008E348A">
        <w:rPr>
          <w:i/>
          <w:iCs/>
          <w:szCs w:val="22"/>
          <w:lang w:val="en-US"/>
        </w:rPr>
        <w:t xml:space="preserve"> </w:t>
      </w:r>
      <w:proofErr w:type="gramStart"/>
      <w:r w:rsidR="009B555B">
        <w:rPr>
          <w:i/>
          <w:iCs/>
          <w:szCs w:val="22"/>
          <w:lang w:val="en-US"/>
        </w:rPr>
        <w:t>persons</w:t>
      </w:r>
      <w:proofErr w:type="gramEnd"/>
      <w:r w:rsidRPr="008E348A">
        <w:rPr>
          <w:i/>
          <w:iCs/>
          <w:szCs w:val="22"/>
          <w:lang w:val="en-US"/>
        </w:rPr>
        <w:t xml:space="preserve"> may be offered </w:t>
      </w:r>
      <w:r w:rsidR="009B555B">
        <w:rPr>
          <w:i/>
          <w:iCs/>
          <w:szCs w:val="22"/>
          <w:lang w:val="en-US"/>
        </w:rPr>
        <w:t>up to</w:t>
      </w:r>
      <w:r w:rsidRPr="008E348A">
        <w:rPr>
          <w:i/>
          <w:iCs/>
          <w:szCs w:val="22"/>
          <w:lang w:val="en-US"/>
        </w:rPr>
        <w:t xml:space="preserve"> </w:t>
      </w:r>
      <w:r w:rsidR="00FD2843">
        <w:rPr>
          <w:i/>
          <w:iCs/>
          <w:szCs w:val="22"/>
          <w:lang w:val="en-US"/>
        </w:rPr>
        <w:t xml:space="preserve">63,900 </w:t>
      </w:r>
      <w:r w:rsidRPr="008E348A">
        <w:rPr>
          <w:i/>
          <w:iCs/>
          <w:szCs w:val="22"/>
          <w:lang w:val="en-US"/>
        </w:rPr>
        <w:t xml:space="preserve">Performance Shares each and </w:t>
      </w:r>
      <w:r w:rsidR="009B555B">
        <w:rPr>
          <w:i/>
          <w:iCs/>
          <w:szCs w:val="22"/>
          <w:lang w:val="en-US"/>
        </w:rPr>
        <w:t>up to</w:t>
      </w:r>
      <w:r w:rsidRPr="008E348A">
        <w:rPr>
          <w:i/>
          <w:iCs/>
          <w:szCs w:val="22"/>
          <w:lang w:val="en-US"/>
        </w:rPr>
        <w:t xml:space="preserve"> </w:t>
      </w:r>
      <w:r w:rsidR="00FD2843">
        <w:rPr>
          <w:i/>
          <w:iCs/>
          <w:szCs w:val="22"/>
          <w:lang w:val="en-US"/>
        </w:rPr>
        <w:t xml:space="preserve">639,000 </w:t>
      </w:r>
      <w:r w:rsidRPr="008E348A">
        <w:rPr>
          <w:i/>
          <w:iCs/>
          <w:szCs w:val="22"/>
          <w:lang w:val="en-US"/>
        </w:rPr>
        <w:t>Performance Shares in total.</w:t>
      </w:r>
    </w:p>
    <w:bookmarkEnd w:id="19"/>
    <w:p w14:paraId="5EC52A68" w14:textId="77777777" w:rsidR="00BC4E74" w:rsidRPr="008E348A" w:rsidRDefault="00BC4E74" w:rsidP="00BC4E74">
      <w:pPr>
        <w:pStyle w:val="BodyText"/>
        <w:spacing w:after="0"/>
        <w:ind w:left="720"/>
        <w:rPr>
          <w:i/>
          <w:iCs/>
          <w:szCs w:val="22"/>
          <w:lang w:val="en-US"/>
        </w:rPr>
      </w:pPr>
    </w:p>
    <w:p w14:paraId="6B28EEB5" w14:textId="19AD5E1E" w:rsidR="0070640A" w:rsidRPr="008E348A" w:rsidRDefault="0070640A" w:rsidP="0070640A">
      <w:pPr>
        <w:pStyle w:val="BodyText"/>
        <w:spacing w:after="0"/>
        <w:rPr>
          <w:szCs w:val="22"/>
          <w:lang w:val="sv-SE"/>
        </w:rPr>
      </w:pPr>
      <w:bookmarkStart w:id="20" w:name="_Hlk206582160"/>
      <w:r w:rsidRPr="008E348A">
        <w:rPr>
          <w:szCs w:val="22"/>
          <w:lang w:val="sv-SE"/>
        </w:rPr>
        <w:t>Prestationsaktier som erbjuds till</w:t>
      </w:r>
      <w:r>
        <w:rPr>
          <w:szCs w:val="22"/>
          <w:lang w:val="sv-SE"/>
        </w:rPr>
        <w:t xml:space="preserve">, men inte accepteras av, personer i </w:t>
      </w:r>
      <w:r w:rsidRPr="008E348A">
        <w:rPr>
          <w:szCs w:val="22"/>
          <w:lang w:val="sv-SE"/>
        </w:rPr>
        <w:t xml:space="preserve">kategorierna ovan, kan erbjudas </w:t>
      </w:r>
      <w:r w:rsidR="00AA711C">
        <w:rPr>
          <w:szCs w:val="22"/>
          <w:lang w:val="sv-SE"/>
        </w:rPr>
        <w:t xml:space="preserve">till andra </w:t>
      </w:r>
      <w:r w:rsidRPr="008E348A">
        <w:rPr>
          <w:szCs w:val="22"/>
          <w:lang w:val="sv-SE"/>
        </w:rPr>
        <w:t>befintliga ledande befattningshavare</w:t>
      </w:r>
      <w:r>
        <w:rPr>
          <w:szCs w:val="22"/>
          <w:lang w:val="sv-SE"/>
        </w:rPr>
        <w:t>, anställda</w:t>
      </w:r>
      <w:r w:rsidRPr="008E348A">
        <w:rPr>
          <w:szCs w:val="22"/>
          <w:lang w:val="sv-SE"/>
        </w:rPr>
        <w:t xml:space="preserve"> eller </w:t>
      </w:r>
      <w:r>
        <w:rPr>
          <w:szCs w:val="22"/>
          <w:lang w:val="sv-SE"/>
        </w:rPr>
        <w:t>andra</w:t>
      </w:r>
      <w:r w:rsidRPr="008E348A">
        <w:rPr>
          <w:szCs w:val="22"/>
          <w:lang w:val="sv-SE"/>
        </w:rPr>
        <w:t xml:space="preserve"> nyckelpersoner </w:t>
      </w:r>
      <w:r>
        <w:rPr>
          <w:szCs w:val="22"/>
          <w:lang w:val="sv-SE"/>
        </w:rPr>
        <w:t>i Bolaget och koncernen</w:t>
      </w:r>
      <w:r w:rsidRPr="008E348A">
        <w:rPr>
          <w:szCs w:val="22"/>
          <w:lang w:val="sv-SE"/>
        </w:rPr>
        <w:t>. Överteckning kan inte ske. För det fall att någon person inom ovan nämnda kategorier inte tecknar sin fulla andel kan sådan andel överföras till någon annan kategori.</w:t>
      </w:r>
    </w:p>
    <w:p w14:paraId="7E8052E0" w14:textId="513B89D9" w:rsidR="00BC4E74" w:rsidRPr="008E348A" w:rsidRDefault="0070640A" w:rsidP="008A58CD">
      <w:pPr>
        <w:pStyle w:val="BodyText"/>
        <w:spacing w:after="0"/>
        <w:rPr>
          <w:i/>
          <w:iCs/>
          <w:szCs w:val="22"/>
          <w:lang w:val="en-US"/>
        </w:rPr>
      </w:pPr>
      <w:bookmarkStart w:id="21" w:name="_Hlk206164335"/>
      <w:bookmarkStart w:id="22" w:name="_Hlk206582167"/>
      <w:bookmarkEnd w:id="20"/>
      <w:r w:rsidRPr="008E348A">
        <w:rPr>
          <w:i/>
          <w:iCs/>
          <w:szCs w:val="22"/>
          <w:lang w:val="en-US"/>
        </w:rPr>
        <w:t>Performance Shares offered to</w:t>
      </w:r>
      <w:r>
        <w:rPr>
          <w:i/>
          <w:iCs/>
          <w:szCs w:val="22"/>
          <w:lang w:val="en-US"/>
        </w:rPr>
        <w:t xml:space="preserve">, but are not accepted by, </w:t>
      </w:r>
      <w:proofErr w:type="gramStart"/>
      <w:r>
        <w:rPr>
          <w:i/>
          <w:iCs/>
          <w:szCs w:val="22"/>
          <w:lang w:val="en-US"/>
        </w:rPr>
        <w:t>persons</w:t>
      </w:r>
      <w:proofErr w:type="gramEnd"/>
      <w:r>
        <w:rPr>
          <w:i/>
          <w:iCs/>
          <w:szCs w:val="22"/>
          <w:lang w:val="en-US"/>
        </w:rPr>
        <w:t xml:space="preserve"> in </w:t>
      </w:r>
      <w:r w:rsidRPr="008E348A">
        <w:rPr>
          <w:i/>
          <w:iCs/>
          <w:szCs w:val="22"/>
          <w:lang w:val="en-US"/>
        </w:rPr>
        <w:t xml:space="preserve">the categories above, may be offered to </w:t>
      </w:r>
      <w:r w:rsidR="00A97F2C">
        <w:rPr>
          <w:i/>
          <w:iCs/>
          <w:szCs w:val="22"/>
          <w:lang w:val="en-US"/>
        </w:rPr>
        <w:t xml:space="preserve">other </w:t>
      </w:r>
      <w:r w:rsidRPr="008E348A">
        <w:rPr>
          <w:i/>
          <w:iCs/>
          <w:szCs w:val="22"/>
          <w:lang w:val="en-US"/>
        </w:rPr>
        <w:t xml:space="preserve">existing </w:t>
      </w:r>
      <w:r w:rsidR="00AA711C">
        <w:rPr>
          <w:i/>
          <w:iCs/>
          <w:szCs w:val="22"/>
          <w:lang w:val="en-US"/>
        </w:rPr>
        <w:t xml:space="preserve">other </w:t>
      </w:r>
      <w:r w:rsidRPr="008E348A">
        <w:rPr>
          <w:i/>
          <w:iCs/>
          <w:szCs w:val="22"/>
          <w:lang w:val="en-US"/>
        </w:rPr>
        <w:t>senior executives</w:t>
      </w:r>
      <w:r>
        <w:rPr>
          <w:i/>
          <w:iCs/>
          <w:szCs w:val="22"/>
          <w:lang w:val="en-US"/>
        </w:rPr>
        <w:t>, employees</w:t>
      </w:r>
      <w:r w:rsidRPr="008E348A">
        <w:rPr>
          <w:i/>
          <w:iCs/>
          <w:szCs w:val="22"/>
          <w:lang w:val="en-US"/>
        </w:rPr>
        <w:t xml:space="preserve"> or other key </w:t>
      </w:r>
      <w:r>
        <w:rPr>
          <w:i/>
          <w:iCs/>
          <w:szCs w:val="22"/>
          <w:lang w:val="en-US"/>
        </w:rPr>
        <w:t>personnel</w:t>
      </w:r>
      <w:r w:rsidRPr="008E348A">
        <w:rPr>
          <w:i/>
          <w:iCs/>
          <w:szCs w:val="22"/>
          <w:lang w:val="en-US"/>
        </w:rPr>
        <w:t xml:space="preserve"> of the</w:t>
      </w:r>
      <w:r>
        <w:rPr>
          <w:i/>
          <w:iCs/>
          <w:szCs w:val="22"/>
          <w:lang w:val="en-US"/>
        </w:rPr>
        <w:t xml:space="preserve"> Company and the group</w:t>
      </w:r>
      <w:r w:rsidRPr="008E348A">
        <w:rPr>
          <w:i/>
          <w:iCs/>
          <w:szCs w:val="22"/>
          <w:lang w:val="en-US"/>
        </w:rPr>
        <w:t>. Oversubscription cannot take place. If any person within the above-mentioned categories does not subscribe for their full number of Performance Shares, such Performance Share may be granted to an employee within another category.</w:t>
      </w:r>
      <w:bookmarkEnd w:id="21"/>
    </w:p>
    <w:bookmarkEnd w:id="22"/>
    <w:p w14:paraId="1BF8530A" w14:textId="77777777" w:rsidR="00BC4E74" w:rsidRPr="008E348A" w:rsidRDefault="00BC4E74" w:rsidP="00BC4E74">
      <w:pPr>
        <w:pStyle w:val="BodyText"/>
        <w:spacing w:after="0"/>
        <w:rPr>
          <w:i/>
          <w:iCs/>
          <w:szCs w:val="22"/>
          <w:lang w:val="en-US"/>
        </w:rPr>
      </w:pPr>
    </w:p>
    <w:p w14:paraId="20965D42" w14:textId="4947A1A0" w:rsidR="00BC4E74" w:rsidRPr="008E348A" w:rsidRDefault="00BC4E74" w:rsidP="00BC4E74">
      <w:pPr>
        <w:pStyle w:val="BodyText"/>
        <w:spacing w:after="0"/>
        <w:rPr>
          <w:szCs w:val="22"/>
          <w:lang w:val="sv-SE"/>
        </w:rPr>
      </w:pPr>
      <w:r w:rsidRPr="008E348A">
        <w:rPr>
          <w:szCs w:val="22"/>
          <w:lang w:val="sv-SE"/>
        </w:rPr>
        <w:t xml:space="preserve">Bolagets styrelseledamöter ska inte omfattas av Prestationsaktieprogram </w:t>
      </w:r>
      <w:r w:rsidR="00C26F7D">
        <w:rPr>
          <w:szCs w:val="22"/>
          <w:lang w:val="sv-SE"/>
        </w:rPr>
        <w:t>2025/2028:2</w:t>
      </w:r>
      <w:r w:rsidRPr="008E348A">
        <w:rPr>
          <w:szCs w:val="22"/>
          <w:lang w:val="sv-SE"/>
        </w:rPr>
        <w:t>.</w:t>
      </w:r>
    </w:p>
    <w:p w14:paraId="3907C14C" w14:textId="7AE1CFAC" w:rsidR="00750B64" w:rsidRDefault="00BC4E74" w:rsidP="00750B64">
      <w:pPr>
        <w:pStyle w:val="BodyText"/>
        <w:spacing w:after="0"/>
        <w:rPr>
          <w:szCs w:val="22"/>
          <w:lang w:val="en-US"/>
        </w:rPr>
      </w:pPr>
      <w:bookmarkStart w:id="23" w:name="_Hlk206164347"/>
      <w:r w:rsidRPr="008E348A">
        <w:rPr>
          <w:i/>
          <w:iCs/>
          <w:szCs w:val="22"/>
          <w:lang w:val="en-US"/>
        </w:rPr>
        <w:t xml:space="preserve">The Company's board of directors shall not be covered by the Performance Share Program </w:t>
      </w:r>
      <w:r w:rsidR="00C26F7D">
        <w:rPr>
          <w:i/>
          <w:iCs/>
          <w:szCs w:val="22"/>
          <w:lang w:val="en-US"/>
        </w:rPr>
        <w:t>2025/2028:2</w:t>
      </w:r>
      <w:r w:rsidRPr="008E348A">
        <w:rPr>
          <w:i/>
          <w:iCs/>
          <w:szCs w:val="22"/>
          <w:lang w:val="en-US"/>
        </w:rPr>
        <w:t>.</w:t>
      </w:r>
      <w:bookmarkEnd w:id="23"/>
    </w:p>
    <w:p w14:paraId="119AE7C3" w14:textId="77777777" w:rsidR="00750B64" w:rsidRDefault="00750B64" w:rsidP="001A1DEB">
      <w:pPr>
        <w:pStyle w:val="BodyText"/>
        <w:spacing w:after="0"/>
        <w:rPr>
          <w:szCs w:val="22"/>
          <w:lang w:val="en-US"/>
        </w:rPr>
      </w:pPr>
    </w:p>
    <w:p w14:paraId="364BED91" w14:textId="5B696A90" w:rsidR="004D3BA9" w:rsidRPr="00EE396E" w:rsidRDefault="004D3BA9" w:rsidP="004D3BA9">
      <w:pPr>
        <w:pStyle w:val="BodyText"/>
        <w:spacing w:after="0"/>
        <w:rPr>
          <w:szCs w:val="22"/>
          <w:lang w:val="en-US"/>
        </w:rPr>
      </w:pPr>
      <w:r w:rsidRPr="008E348A">
        <w:rPr>
          <w:szCs w:val="22"/>
          <w:lang w:val="sv-SE"/>
        </w:rPr>
        <w:t xml:space="preserve">Anmälan om att delta i Prestationsaktieprogram </w:t>
      </w:r>
      <w:r w:rsidR="00C26F7D">
        <w:rPr>
          <w:szCs w:val="22"/>
          <w:lang w:val="sv-SE"/>
        </w:rPr>
        <w:t>2025/2028:2</w:t>
      </w:r>
      <w:r w:rsidRPr="008E348A">
        <w:rPr>
          <w:szCs w:val="22"/>
          <w:lang w:val="sv-SE"/>
        </w:rPr>
        <w:t xml:space="preserve"> ska ha inkommit till Bolaget senast den </w:t>
      </w:r>
      <w:r w:rsidR="005915F1">
        <w:rPr>
          <w:szCs w:val="22"/>
          <w:lang w:val="sv-SE"/>
        </w:rPr>
        <w:t>31</w:t>
      </w:r>
      <w:r w:rsidR="00A31307">
        <w:rPr>
          <w:bCs/>
          <w:szCs w:val="22"/>
          <w:lang w:val="sv-SE"/>
        </w:rPr>
        <w:t> </w:t>
      </w:r>
      <w:r w:rsidR="005915F1">
        <w:rPr>
          <w:bCs/>
          <w:szCs w:val="22"/>
          <w:lang w:val="sv-SE"/>
        </w:rPr>
        <w:t>oktober</w:t>
      </w:r>
      <w:r w:rsidR="00A31307">
        <w:rPr>
          <w:bCs/>
          <w:szCs w:val="22"/>
          <w:lang w:val="sv-SE"/>
        </w:rPr>
        <w:t xml:space="preserve"> 2025</w:t>
      </w:r>
      <w:r w:rsidRPr="008E348A">
        <w:rPr>
          <w:szCs w:val="22"/>
          <w:lang w:val="sv-SE"/>
        </w:rPr>
        <w:t xml:space="preserve">. </w:t>
      </w:r>
      <w:proofErr w:type="spellStart"/>
      <w:r w:rsidR="00A31307" w:rsidRPr="00EE396E">
        <w:rPr>
          <w:szCs w:val="22"/>
          <w:lang w:val="en-US"/>
        </w:rPr>
        <w:t>Styrelsen</w:t>
      </w:r>
      <w:proofErr w:type="spellEnd"/>
      <w:r w:rsidR="00A31307" w:rsidRPr="00EE396E">
        <w:rPr>
          <w:szCs w:val="22"/>
          <w:lang w:val="en-US"/>
        </w:rPr>
        <w:t xml:space="preserve"> </w:t>
      </w:r>
      <w:proofErr w:type="spellStart"/>
      <w:r w:rsidR="00A31307" w:rsidRPr="00EE396E">
        <w:rPr>
          <w:szCs w:val="22"/>
          <w:lang w:val="en-US"/>
        </w:rPr>
        <w:t>har</w:t>
      </w:r>
      <w:proofErr w:type="spellEnd"/>
      <w:r w:rsidR="00A31307" w:rsidRPr="00EE396E">
        <w:rPr>
          <w:szCs w:val="22"/>
          <w:lang w:val="en-US"/>
        </w:rPr>
        <w:t xml:space="preserve"> </w:t>
      </w:r>
      <w:proofErr w:type="spellStart"/>
      <w:r w:rsidR="00A31307" w:rsidRPr="00EE396E">
        <w:rPr>
          <w:szCs w:val="22"/>
          <w:lang w:val="en-US"/>
        </w:rPr>
        <w:t>rätt</w:t>
      </w:r>
      <w:proofErr w:type="spellEnd"/>
      <w:r w:rsidR="00A31307" w:rsidRPr="00EE396E">
        <w:rPr>
          <w:szCs w:val="22"/>
          <w:lang w:val="en-US"/>
        </w:rPr>
        <w:t xml:space="preserve"> </w:t>
      </w:r>
      <w:proofErr w:type="spellStart"/>
      <w:r w:rsidR="00A31307" w:rsidRPr="00EE396E">
        <w:rPr>
          <w:szCs w:val="22"/>
          <w:lang w:val="en-US"/>
        </w:rPr>
        <w:t>att</w:t>
      </w:r>
      <w:proofErr w:type="spellEnd"/>
      <w:r w:rsidR="00A31307" w:rsidRPr="00EE396E">
        <w:rPr>
          <w:szCs w:val="22"/>
          <w:lang w:val="en-US"/>
        </w:rPr>
        <w:t xml:space="preserve"> </w:t>
      </w:r>
      <w:proofErr w:type="spellStart"/>
      <w:r w:rsidR="00A31307" w:rsidRPr="00EE396E">
        <w:rPr>
          <w:szCs w:val="22"/>
          <w:lang w:val="en-US"/>
        </w:rPr>
        <w:t>förlänga</w:t>
      </w:r>
      <w:proofErr w:type="spellEnd"/>
      <w:r w:rsidR="00A31307" w:rsidRPr="00EE396E">
        <w:rPr>
          <w:szCs w:val="22"/>
          <w:lang w:val="en-US"/>
        </w:rPr>
        <w:t xml:space="preserve"> </w:t>
      </w:r>
      <w:proofErr w:type="spellStart"/>
      <w:r w:rsidR="00A31307" w:rsidRPr="00EE396E">
        <w:rPr>
          <w:szCs w:val="22"/>
          <w:lang w:val="en-US"/>
        </w:rPr>
        <w:t>anmälningsperioden</w:t>
      </w:r>
      <w:proofErr w:type="spellEnd"/>
      <w:r w:rsidR="00A31307" w:rsidRPr="00EE396E">
        <w:rPr>
          <w:szCs w:val="22"/>
          <w:lang w:val="en-US"/>
        </w:rPr>
        <w:t>.</w:t>
      </w:r>
    </w:p>
    <w:p w14:paraId="74D1F90A" w14:textId="44309FD8" w:rsidR="004D3BA9" w:rsidRDefault="00A31307" w:rsidP="004D3BA9">
      <w:pPr>
        <w:pStyle w:val="BodyText"/>
        <w:spacing w:after="0"/>
        <w:rPr>
          <w:szCs w:val="22"/>
          <w:lang w:val="en-US"/>
        </w:rPr>
      </w:pPr>
      <w:bookmarkStart w:id="24" w:name="_Hlk206164356"/>
      <w:r>
        <w:rPr>
          <w:i/>
          <w:iCs/>
          <w:szCs w:val="22"/>
          <w:lang w:val="en-US"/>
        </w:rPr>
        <w:t xml:space="preserve">Notice of participation </w:t>
      </w:r>
      <w:r w:rsidR="004D3BA9" w:rsidRPr="008E348A">
        <w:rPr>
          <w:i/>
          <w:iCs/>
          <w:szCs w:val="22"/>
          <w:lang w:val="en-US"/>
        </w:rPr>
        <w:t xml:space="preserve">in Performance Share Program </w:t>
      </w:r>
      <w:r w:rsidR="00C26F7D">
        <w:rPr>
          <w:i/>
          <w:iCs/>
          <w:szCs w:val="22"/>
          <w:lang w:val="en-US"/>
        </w:rPr>
        <w:t>2025/2028:2</w:t>
      </w:r>
      <w:r w:rsidR="004D3BA9" w:rsidRPr="008E348A">
        <w:rPr>
          <w:i/>
          <w:iCs/>
          <w:szCs w:val="22"/>
          <w:lang w:val="en-US"/>
        </w:rPr>
        <w:t xml:space="preserve"> must have been received by the Company no later than </w:t>
      </w:r>
      <w:r>
        <w:rPr>
          <w:i/>
          <w:iCs/>
          <w:szCs w:val="22"/>
          <w:lang w:val="en-US"/>
        </w:rPr>
        <w:t xml:space="preserve">on </w:t>
      </w:r>
      <w:r w:rsidR="005915F1">
        <w:rPr>
          <w:i/>
          <w:iCs/>
          <w:szCs w:val="22"/>
          <w:lang w:val="en-US"/>
        </w:rPr>
        <w:t>3</w:t>
      </w:r>
      <w:r>
        <w:rPr>
          <w:i/>
          <w:iCs/>
          <w:szCs w:val="22"/>
          <w:lang w:val="en-US"/>
        </w:rPr>
        <w:t xml:space="preserve">1 </w:t>
      </w:r>
      <w:r w:rsidR="005915F1">
        <w:rPr>
          <w:i/>
          <w:iCs/>
          <w:szCs w:val="22"/>
          <w:lang w:val="en-US"/>
        </w:rPr>
        <w:t>October</w:t>
      </w:r>
      <w:r>
        <w:rPr>
          <w:i/>
          <w:iCs/>
          <w:szCs w:val="22"/>
          <w:lang w:val="en-US"/>
        </w:rPr>
        <w:t xml:space="preserve"> 2025</w:t>
      </w:r>
      <w:r w:rsidR="004D3BA9" w:rsidRPr="008E348A">
        <w:rPr>
          <w:i/>
          <w:iCs/>
          <w:szCs w:val="22"/>
          <w:lang w:val="en-US"/>
        </w:rPr>
        <w:t>.</w:t>
      </w:r>
      <w:r w:rsidRPr="00A31307">
        <w:rPr>
          <w:i/>
          <w:iCs/>
          <w:szCs w:val="22"/>
          <w:lang w:val="en-US"/>
        </w:rPr>
        <w:t xml:space="preserve"> </w:t>
      </w:r>
      <w:r w:rsidRPr="008E348A">
        <w:rPr>
          <w:i/>
          <w:iCs/>
          <w:szCs w:val="22"/>
          <w:lang w:val="en-US"/>
        </w:rPr>
        <w:t xml:space="preserve">The board of </w:t>
      </w:r>
      <w:proofErr w:type="gramStart"/>
      <w:r w:rsidRPr="008E348A">
        <w:rPr>
          <w:i/>
          <w:iCs/>
          <w:szCs w:val="22"/>
          <w:lang w:val="en-US"/>
        </w:rPr>
        <w:t>directors shall</w:t>
      </w:r>
      <w:proofErr w:type="gramEnd"/>
      <w:r w:rsidRPr="008E348A">
        <w:rPr>
          <w:i/>
          <w:iCs/>
          <w:szCs w:val="22"/>
          <w:lang w:val="en-US"/>
        </w:rPr>
        <w:t xml:space="preserve"> have the right to extend the notification period</w:t>
      </w:r>
      <w:r>
        <w:rPr>
          <w:i/>
          <w:iCs/>
          <w:szCs w:val="22"/>
          <w:lang w:val="en-US"/>
        </w:rPr>
        <w:t>.</w:t>
      </w:r>
      <w:bookmarkEnd w:id="24"/>
    </w:p>
    <w:p w14:paraId="190241B2" w14:textId="3EE2942A" w:rsidR="00B630B6" w:rsidRPr="0015372C" w:rsidRDefault="00B630B6" w:rsidP="001A1DEB">
      <w:pPr>
        <w:pStyle w:val="BodyText"/>
        <w:spacing w:after="0"/>
        <w:rPr>
          <w:i/>
          <w:iCs/>
          <w:szCs w:val="22"/>
          <w:lang w:val="en-US"/>
        </w:rPr>
      </w:pPr>
    </w:p>
    <w:p w14:paraId="059604DD" w14:textId="10AFED97" w:rsidR="00B630B6" w:rsidRPr="00A71A00" w:rsidRDefault="009E1234" w:rsidP="00B630B6">
      <w:pPr>
        <w:rPr>
          <w:rFonts w:cstheme="minorHAnsi"/>
          <w:szCs w:val="22"/>
        </w:rPr>
      </w:pPr>
      <w:bookmarkStart w:id="25" w:name="_Hlk206583220"/>
      <w:r>
        <w:rPr>
          <w:rFonts w:cstheme="minorHAnsi"/>
          <w:szCs w:val="22"/>
        </w:rPr>
        <w:t>Prestationsaktierna</w:t>
      </w:r>
      <w:r w:rsidR="00B630B6" w:rsidRPr="00A71A00">
        <w:rPr>
          <w:rFonts w:cstheme="minorHAnsi"/>
          <w:szCs w:val="22"/>
        </w:rPr>
        <w:t xml:space="preserve"> delas </w:t>
      </w:r>
      <w:r w:rsidR="0094600D">
        <w:rPr>
          <w:rFonts w:cstheme="minorHAnsi"/>
          <w:szCs w:val="22"/>
        </w:rPr>
        <w:t xml:space="preserve">lika </w:t>
      </w:r>
      <w:r w:rsidR="00B630B6" w:rsidRPr="00A71A00">
        <w:rPr>
          <w:rFonts w:cstheme="minorHAnsi"/>
          <w:szCs w:val="22"/>
        </w:rPr>
        <w:t xml:space="preserve">in i Serie </w:t>
      </w:r>
      <w:r w:rsidR="007A21E4">
        <w:rPr>
          <w:rFonts w:cstheme="minorHAnsi"/>
          <w:szCs w:val="22"/>
        </w:rPr>
        <w:t>1</w:t>
      </w:r>
      <w:r w:rsidR="00B630B6">
        <w:rPr>
          <w:rFonts w:cstheme="minorHAnsi"/>
          <w:szCs w:val="22"/>
        </w:rPr>
        <w:t>,</w:t>
      </w:r>
      <w:r w:rsidR="00B630B6" w:rsidRPr="00A71A00">
        <w:rPr>
          <w:rFonts w:cstheme="minorHAnsi"/>
          <w:szCs w:val="22"/>
        </w:rPr>
        <w:t xml:space="preserve"> Serie </w:t>
      </w:r>
      <w:r w:rsidR="007A21E4">
        <w:rPr>
          <w:rFonts w:cstheme="minorHAnsi"/>
          <w:szCs w:val="22"/>
        </w:rPr>
        <w:t>2</w:t>
      </w:r>
      <w:r w:rsidR="005D5226">
        <w:rPr>
          <w:rFonts w:cstheme="minorHAnsi"/>
          <w:szCs w:val="22"/>
        </w:rPr>
        <w:t xml:space="preserve"> och </w:t>
      </w:r>
      <w:r w:rsidR="00B630B6" w:rsidRPr="00A71A00">
        <w:rPr>
          <w:rFonts w:cstheme="minorHAnsi"/>
          <w:szCs w:val="22"/>
        </w:rPr>
        <w:t xml:space="preserve">Serie </w:t>
      </w:r>
      <w:r w:rsidR="007A21E4">
        <w:rPr>
          <w:rFonts w:cstheme="minorHAnsi"/>
          <w:szCs w:val="22"/>
        </w:rPr>
        <w:t>3</w:t>
      </w:r>
      <w:r w:rsidR="0070640A">
        <w:rPr>
          <w:rFonts w:cstheme="minorHAnsi"/>
          <w:szCs w:val="22"/>
        </w:rPr>
        <w:t xml:space="preserve"> för varje deltagare</w:t>
      </w:r>
      <w:r w:rsidR="00B630B6" w:rsidRPr="00A71A00">
        <w:rPr>
          <w:rFonts w:cstheme="minorHAnsi"/>
          <w:szCs w:val="22"/>
        </w:rPr>
        <w:t xml:space="preserve">. Intjänandet av </w:t>
      </w:r>
      <w:r>
        <w:rPr>
          <w:rFonts w:cstheme="minorHAnsi"/>
          <w:szCs w:val="22"/>
        </w:rPr>
        <w:t>Prestationsaktier</w:t>
      </w:r>
      <w:r w:rsidR="00B630B6" w:rsidRPr="00A71A00">
        <w:rPr>
          <w:rFonts w:cstheme="minorHAnsi"/>
          <w:szCs w:val="22"/>
        </w:rPr>
        <w:t xml:space="preserve"> är beroende av uppfyllnadsgraden av </w:t>
      </w:r>
      <w:r>
        <w:rPr>
          <w:rFonts w:cstheme="minorHAnsi"/>
          <w:szCs w:val="22"/>
        </w:rPr>
        <w:t>prestationsmål avseende totalavkastningen på Bolagets aktie ("</w:t>
      </w:r>
      <w:r>
        <w:rPr>
          <w:rFonts w:cstheme="minorHAnsi"/>
          <w:b/>
          <w:bCs/>
          <w:szCs w:val="22"/>
        </w:rPr>
        <w:t>TSR</w:t>
      </w:r>
      <w:r>
        <w:rPr>
          <w:rFonts w:cstheme="minorHAnsi"/>
          <w:szCs w:val="22"/>
        </w:rPr>
        <w:t xml:space="preserve">") räknat </w:t>
      </w:r>
      <w:r w:rsidR="00B630B6" w:rsidRPr="00A71A00">
        <w:rPr>
          <w:rFonts w:cstheme="minorHAnsi"/>
          <w:szCs w:val="22"/>
        </w:rPr>
        <w:t xml:space="preserve">från datum för årsstämman </w:t>
      </w:r>
      <w:r>
        <w:rPr>
          <w:bCs/>
          <w:szCs w:val="22"/>
        </w:rPr>
        <w:t>2025</w:t>
      </w:r>
      <w:r w:rsidR="00B630B6" w:rsidRPr="00A71A00">
        <w:rPr>
          <w:rFonts w:cstheme="minorHAnsi"/>
          <w:szCs w:val="22"/>
        </w:rPr>
        <w:t xml:space="preserve"> till datum för årsstämman </w:t>
      </w:r>
      <w:r>
        <w:rPr>
          <w:bCs/>
          <w:szCs w:val="22"/>
        </w:rPr>
        <w:t>2028</w:t>
      </w:r>
      <w:r w:rsidR="00B630B6" w:rsidRPr="00A71A00">
        <w:rPr>
          <w:rFonts w:cstheme="minorHAnsi"/>
          <w:szCs w:val="22"/>
        </w:rPr>
        <w:t xml:space="preserve"> ("</w:t>
      </w:r>
      <w:r w:rsidR="00B630B6" w:rsidRPr="00A71A00">
        <w:rPr>
          <w:rFonts w:cstheme="minorHAnsi"/>
          <w:b/>
          <w:szCs w:val="22"/>
        </w:rPr>
        <w:t>Mätperioden</w:t>
      </w:r>
      <w:r w:rsidR="00B630B6" w:rsidRPr="00A71A00">
        <w:rPr>
          <w:rFonts w:cstheme="minorHAnsi"/>
          <w:szCs w:val="22"/>
        </w:rPr>
        <w:t>").</w:t>
      </w:r>
    </w:p>
    <w:p w14:paraId="6A06D8F4" w14:textId="131C2863" w:rsidR="00B630B6" w:rsidRPr="00B630B6" w:rsidRDefault="00B630B6" w:rsidP="00B630B6">
      <w:pPr>
        <w:rPr>
          <w:rFonts w:cstheme="minorHAnsi"/>
          <w:i/>
          <w:szCs w:val="22"/>
          <w:lang w:val="en-US"/>
        </w:rPr>
      </w:pPr>
      <w:bookmarkStart w:id="26" w:name="_Hlk130453936"/>
      <w:bookmarkStart w:id="27" w:name="_Hlk206164363"/>
      <w:bookmarkEnd w:id="25"/>
      <w:r w:rsidRPr="00A71A00">
        <w:rPr>
          <w:rFonts w:cstheme="minorHAnsi"/>
          <w:i/>
          <w:szCs w:val="22"/>
          <w:lang w:val="en-US"/>
        </w:rPr>
        <w:t xml:space="preserve">The </w:t>
      </w:r>
      <w:r w:rsidR="0039134E">
        <w:rPr>
          <w:rFonts w:cstheme="minorHAnsi"/>
          <w:i/>
          <w:szCs w:val="22"/>
          <w:lang w:val="en-US"/>
        </w:rPr>
        <w:t>Performance Shares</w:t>
      </w:r>
      <w:r w:rsidRPr="00A71A00">
        <w:rPr>
          <w:rFonts w:cstheme="minorHAnsi"/>
          <w:i/>
          <w:szCs w:val="22"/>
          <w:lang w:val="en-US"/>
        </w:rPr>
        <w:t xml:space="preserve"> are </w:t>
      </w:r>
      <w:r w:rsidR="0094600D">
        <w:rPr>
          <w:rFonts w:cstheme="minorHAnsi"/>
          <w:i/>
          <w:szCs w:val="22"/>
          <w:lang w:val="en-US"/>
        </w:rPr>
        <w:t xml:space="preserve">equally </w:t>
      </w:r>
      <w:r w:rsidRPr="00A71A00">
        <w:rPr>
          <w:rFonts w:cstheme="minorHAnsi"/>
          <w:i/>
          <w:szCs w:val="22"/>
          <w:lang w:val="en-US"/>
        </w:rPr>
        <w:t xml:space="preserve">divided into </w:t>
      </w:r>
      <w:r w:rsidR="005D5226">
        <w:rPr>
          <w:rFonts w:cstheme="minorHAnsi"/>
          <w:i/>
          <w:szCs w:val="22"/>
          <w:lang w:val="en-US"/>
        </w:rPr>
        <w:t xml:space="preserve">Series </w:t>
      </w:r>
      <w:r w:rsidR="007A21E4">
        <w:rPr>
          <w:rFonts w:cstheme="minorHAnsi"/>
          <w:i/>
          <w:szCs w:val="22"/>
          <w:lang w:val="en-US"/>
        </w:rPr>
        <w:t>1</w:t>
      </w:r>
      <w:r w:rsidR="005D5226">
        <w:rPr>
          <w:rFonts w:cstheme="minorHAnsi"/>
          <w:i/>
          <w:szCs w:val="22"/>
          <w:lang w:val="en-US"/>
        </w:rPr>
        <w:t xml:space="preserve">, Series </w:t>
      </w:r>
      <w:r w:rsidR="007A21E4">
        <w:rPr>
          <w:rFonts w:cstheme="minorHAnsi"/>
          <w:i/>
          <w:szCs w:val="22"/>
          <w:lang w:val="en-US"/>
        </w:rPr>
        <w:t>2</w:t>
      </w:r>
      <w:r w:rsidR="005D5226">
        <w:rPr>
          <w:rFonts w:cstheme="minorHAnsi"/>
          <w:i/>
          <w:szCs w:val="22"/>
          <w:lang w:val="en-US"/>
        </w:rPr>
        <w:t xml:space="preserve"> and Series </w:t>
      </w:r>
      <w:r w:rsidR="007A21E4">
        <w:rPr>
          <w:rFonts w:cstheme="minorHAnsi"/>
          <w:i/>
          <w:szCs w:val="22"/>
          <w:lang w:val="en-US"/>
        </w:rPr>
        <w:t>3</w:t>
      </w:r>
      <w:r w:rsidR="0070640A">
        <w:rPr>
          <w:rFonts w:cstheme="minorHAnsi"/>
          <w:i/>
          <w:szCs w:val="22"/>
          <w:lang w:val="en-US"/>
        </w:rPr>
        <w:t xml:space="preserve"> for each participant</w:t>
      </w:r>
      <w:r w:rsidRPr="00A71A00">
        <w:rPr>
          <w:rFonts w:cstheme="minorHAnsi"/>
          <w:i/>
          <w:szCs w:val="22"/>
          <w:lang w:val="en-US"/>
        </w:rPr>
        <w:t xml:space="preserve">. Vesting of </w:t>
      </w:r>
      <w:r w:rsidR="005D5226">
        <w:rPr>
          <w:rFonts w:cstheme="minorHAnsi"/>
          <w:i/>
          <w:szCs w:val="22"/>
          <w:lang w:val="en-US"/>
        </w:rPr>
        <w:t>Performance Shares</w:t>
      </w:r>
      <w:r w:rsidRPr="00A71A00">
        <w:rPr>
          <w:rFonts w:cstheme="minorHAnsi"/>
          <w:i/>
          <w:szCs w:val="22"/>
          <w:lang w:val="en-US"/>
        </w:rPr>
        <w:t xml:space="preserve"> is dependent on the degree of fulfillment of performance conditions </w:t>
      </w:r>
      <w:r w:rsidR="005D5226">
        <w:rPr>
          <w:rFonts w:cstheme="minorHAnsi"/>
          <w:i/>
          <w:szCs w:val="22"/>
          <w:lang w:val="en-US"/>
        </w:rPr>
        <w:t>relating to the total shareholder return of the Company's share ("</w:t>
      </w:r>
      <w:r w:rsidR="005D5226">
        <w:rPr>
          <w:rFonts w:cstheme="minorHAnsi"/>
          <w:b/>
          <w:bCs/>
          <w:i/>
          <w:szCs w:val="22"/>
          <w:lang w:val="en-US"/>
        </w:rPr>
        <w:t>TSR</w:t>
      </w:r>
      <w:r w:rsidR="005D5226">
        <w:rPr>
          <w:rFonts w:cstheme="minorHAnsi"/>
          <w:i/>
          <w:szCs w:val="22"/>
          <w:lang w:val="en-US"/>
        </w:rPr>
        <w:t xml:space="preserve">") </w:t>
      </w:r>
      <w:r w:rsidRPr="00A71A00">
        <w:rPr>
          <w:rFonts w:cstheme="minorHAnsi"/>
          <w:i/>
          <w:szCs w:val="22"/>
          <w:lang w:val="en-US"/>
        </w:rPr>
        <w:t xml:space="preserve">during the measurement period from the date of the annual general meeting </w:t>
      </w:r>
      <w:r w:rsidR="005D5226">
        <w:rPr>
          <w:i/>
          <w:szCs w:val="22"/>
          <w:lang w:val="en-US"/>
        </w:rPr>
        <w:t>2025</w:t>
      </w:r>
      <w:r w:rsidRPr="00A71A00">
        <w:rPr>
          <w:rFonts w:cstheme="minorHAnsi"/>
          <w:i/>
          <w:szCs w:val="22"/>
          <w:lang w:val="en-US"/>
        </w:rPr>
        <w:t xml:space="preserve"> until the date of the annual general meeting </w:t>
      </w:r>
      <w:r w:rsidR="005D5226">
        <w:rPr>
          <w:i/>
          <w:szCs w:val="22"/>
          <w:lang w:val="en-US"/>
        </w:rPr>
        <w:t>2028</w:t>
      </w:r>
      <w:r w:rsidRPr="00A71A00">
        <w:rPr>
          <w:rFonts w:cstheme="minorHAnsi"/>
          <w:i/>
          <w:szCs w:val="22"/>
          <w:lang w:val="en-US"/>
        </w:rPr>
        <w:t xml:space="preserve"> (the "</w:t>
      </w:r>
      <w:r w:rsidRPr="00A71A00">
        <w:rPr>
          <w:rFonts w:cstheme="minorHAnsi"/>
          <w:b/>
          <w:i/>
          <w:szCs w:val="22"/>
          <w:lang w:val="en-US"/>
        </w:rPr>
        <w:t>Measurement Period</w:t>
      </w:r>
      <w:r w:rsidRPr="00A71A00">
        <w:rPr>
          <w:rFonts w:cstheme="minorHAnsi"/>
          <w:i/>
          <w:szCs w:val="22"/>
          <w:lang w:val="en-US"/>
        </w:rPr>
        <w:t>").</w:t>
      </w:r>
      <w:bookmarkEnd w:id="26"/>
    </w:p>
    <w:bookmarkEnd w:id="27"/>
    <w:p w14:paraId="4ADF29BB" w14:textId="77777777" w:rsidR="00B630B6" w:rsidRPr="00EE396E" w:rsidRDefault="00B630B6" w:rsidP="001A1DEB">
      <w:pPr>
        <w:pStyle w:val="BodyText"/>
        <w:spacing w:after="0"/>
        <w:rPr>
          <w:szCs w:val="22"/>
          <w:lang w:val="en-US"/>
        </w:rPr>
      </w:pPr>
    </w:p>
    <w:p w14:paraId="0EABE2B4" w14:textId="4CACC0A9" w:rsidR="005D5226" w:rsidRDefault="005D5226" w:rsidP="001A1DEB">
      <w:pPr>
        <w:pStyle w:val="BodyText"/>
        <w:spacing w:after="0"/>
        <w:rPr>
          <w:szCs w:val="22"/>
          <w:lang w:val="sv-SE"/>
        </w:rPr>
      </w:pPr>
      <w:r>
        <w:rPr>
          <w:szCs w:val="22"/>
          <w:lang w:val="sv-SE"/>
        </w:rPr>
        <w:t>Prestationsaktier</w:t>
      </w:r>
      <w:r w:rsidR="00B71CB9">
        <w:rPr>
          <w:szCs w:val="22"/>
          <w:lang w:val="sv-SE"/>
        </w:rPr>
        <w:t xml:space="preserve"> av respektive serie</w:t>
      </w:r>
      <w:r>
        <w:rPr>
          <w:szCs w:val="22"/>
          <w:lang w:val="sv-SE"/>
        </w:rPr>
        <w:t xml:space="preserve"> intjänas enligt följande:</w:t>
      </w:r>
    </w:p>
    <w:p w14:paraId="3D9DB72C" w14:textId="630BF79D" w:rsidR="005D5226" w:rsidRPr="00C441A8" w:rsidRDefault="005D5226" w:rsidP="001A1DEB">
      <w:pPr>
        <w:pStyle w:val="BodyText"/>
        <w:spacing w:after="0"/>
        <w:rPr>
          <w:i/>
          <w:iCs/>
          <w:szCs w:val="22"/>
          <w:lang w:val="en-US"/>
        </w:rPr>
      </w:pPr>
      <w:r w:rsidRPr="00C441A8">
        <w:rPr>
          <w:i/>
          <w:iCs/>
          <w:szCs w:val="22"/>
          <w:lang w:val="en-US"/>
        </w:rPr>
        <w:t xml:space="preserve">Performance Shares </w:t>
      </w:r>
      <w:r w:rsidR="00B71CB9" w:rsidRPr="00C441A8">
        <w:rPr>
          <w:i/>
          <w:iCs/>
          <w:szCs w:val="22"/>
          <w:lang w:val="en-US"/>
        </w:rPr>
        <w:t xml:space="preserve">of each series </w:t>
      </w:r>
      <w:proofErr w:type="gramStart"/>
      <w:r w:rsidRPr="00C441A8">
        <w:rPr>
          <w:i/>
          <w:iCs/>
          <w:szCs w:val="22"/>
          <w:lang w:val="en-US"/>
        </w:rPr>
        <w:t>are vested</w:t>
      </w:r>
      <w:proofErr w:type="gramEnd"/>
      <w:r w:rsidRPr="00C441A8">
        <w:rPr>
          <w:i/>
          <w:iCs/>
          <w:szCs w:val="22"/>
          <w:lang w:val="en-US"/>
        </w:rPr>
        <w:t xml:space="preserve"> as follows:</w:t>
      </w:r>
    </w:p>
    <w:p w14:paraId="79089556" w14:textId="77777777" w:rsidR="005D5226" w:rsidRDefault="005D5226" w:rsidP="001A1DEB">
      <w:pPr>
        <w:pStyle w:val="BodyText"/>
        <w:spacing w:after="0"/>
        <w:rPr>
          <w:szCs w:val="22"/>
          <w:lang w:val="en-US"/>
        </w:rPr>
      </w:pPr>
    </w:p>
    <w:p w14:paraId="0B5B48EA" w14:textId="61E12096" w:rsidR="005D5226" w:rsidRPr="005D5226" w:rsidRDefault="005D5226" w:rsidP="005D5226">
      <w:pPr>
        <w:ind w:left="1412" w:hanging="1412"/>
        <w:rPr>
          <w:rFonts w:cstheme="minorHAnsi"/>
          <w:szCs w:val="22"/>
        </w:rPr>
      </w:pPr>
      <w:bookmarkStart w:id="28" w:name="_Hlk206164378"/>
      <w:r w:rsidRPr="00144DA4">
        <w:rPr>
          <w:rFonts w:cstheme="minorHAnsi"/>
          <w:szCs w:val="22"/>
        </w:rPr>
        <w:t xml:space="preserve">Serie </w:t>
      </w:r>
      <w:r w:rsidR="007A21E4">
        <w:rPr>
          <w:rFonts w:cstheme="minorHAnsi"/>
          <w:szCs w:val="22"/>
        </w:rPr>
        <w:t>1</w:t>
      </w:r>
      <w:r w:rsidRPr="00144DA4">
        <w:rPr>
          <w:rFonts w:cstheme="minorHAnsi"/>
          <w:szCs w:val="22"/>
        </w:rPr>
        <w:t>:</w:t>
      </w:r>
      <w:r w:rsidRPr="00144DA4">
        <w:rPr>
          <w:rFonts w:cstheme="minorHAnsi"/>
          <w:szCs w:val="22"/>
        </w:rPr>
        <w:tab/>
      </w:r>
      <w:r w:rsidR="00B71CB9">
        <w:rPr>
          <w:rFonts w:cstheme="minorHAnsi"/>
          <w:szCs w:val="22"/>
        </w:rPr>
        <w:t xml:space="preserve">Intjänas om </w:t>
      </w:r>
      <w:r>
        <w:rPr>
          <w:rFonts w:cstheme="minorHAnsi"/>
          <w:szCs w:val="22"/>
        </w:rPr>
        <w:t>TSR</w:t>
      </w:r>
      <w:r w:rsidRPr="00144DA4">
        <w:rPr>
          <w:rFonts w:cstheme="minorHAnsi"/>
          <w:szCs w:val="22"/>
        </w:rPr>
        <w:t xml:space="preserve"> under Mätperioden </w:t>
      </w:r>
      <w:r w:rsidR="007A21E4">
        <w:rPr>
          <w:rFonts w:cstheme="minorHAnsi"/>
          <w:szCs w:val="22"/>
        </w:rPr>
        <w:t xml:space="preserve">uppgår till eller </w:t>
      </w:r>
      <w:r w:rsidR="00B71CB9">
        <w:rPr>
          <w:rFonts w:cstheme="minorHAnsi"/>
          <w:szCs w:val="22"/>
        </w:rPr>
        <w:t>överstiger</w:t>
      </w:r>
      <w:r w:rsidRPr="00144DA4">
        <w:rPr>
          <w:rFonts w:cstheme="minorHAnsi"/>
          <w:szCs w:val="22"/>
        </w:rPr>
        <w:t xml:space="preserve"> </w:t>
      </w:r>
      <w:r w:rsidR="00C26F7D">
        <w:rPr>
          <w:rFonts w:cstheme="minorHAnsi"/>
          <w:szCs w:val="22"/>
        </w:rPr>
        <w:t>1</w:t>
      </w:r>
      <w:r>
        <w:rPr>
          <w:rFonts w:cstheme="minorHAnsi"/>
          <w:szCs w:val="22"/>
        </w:rPr>
        <w:t>20</w:t>
      </w:r>
      <w:r w:rsidRPr="00144DA4">
        <w:rPr>
          <w:rFonts w:cstheme="minorHAnsi"/>
          <w:szCs w:val="22"/>
        </w:rPr>
        <w:t xml:space="preserve"> procent</w:t>
      </w:r>
      <w:r>
        <w:rPr>
          <w:rFonts w:cstheme="minorHAnsi"/>
          <w:szCs w:val="22"/>
        </w:rPr>
        <w:t>.</w:t>
      </w:r>
    </w:p>
    <w:p w14:paraId="480902AA" w14:textId="14ABF7EE" w:rsidR="005D5226" w:rsidRDefault="005D5226" w:rsidP="005D5226">
      <w:pPr>
        <w:ind w:left="1412" w:hanging="1412"/>
        <w:rPr>
          <w:rFonts w:cstheme="minorHAnsi"/>
          <w:i/>
          <w:szCs w:val="22"/>
          <w:lang w:val="en-US"/>
        </w:rPr>
      </w:pPr>
      <w:r w:rsidRPr="00A71A00">
        <w:rPr>
          <w:rFonts w:cstheme="minorHAnsi"/>
          <w:i/>
          <w:szCs w:val="22"/>
          <w:lang w:val="en-US"/>
        </w:rPr>
        <w:t xml:space="preserve">Series </w:t>
      </w:r>
      <w:r w:rsidR="007A21E4">
        <w:rPr>
          <w:rFonts w:cstheme="minorHAnsi"/>
          <w:i/>
          <w:szCs w:val="22"/>
          <w:lang w:val="en-US"/>
        </w:rPr>
        <w:t>1</w:t>
      </w:r>
      <w:proofErr w:type="gramStart"/>
      <w:r w:rsidRPr="00A71A00">
        <w:rPr>
          <w:rFonts w:cstheme="minorHAnsi"/>
          <w:i/>
          <w:szCs w:val="22"/>
          <w:lang w:val="en-US"/>
        </w:rPr>
        <w:t xml:space="preserve">: </w:t>
      </w:r>
      <w:r w:rsidRPr="00A71A00">
        <w:rPr>
          <w:rFonts w:cstheme="minorHAnsi"/>
          <w:i/>
          <w:szCs w:val="22"/>
          <w:lang w:val="en-US"/>
        </w:rPr>
        <w:tab/>
      </w:r>
      <w:r w:rsidR="00B71CB9">
        <w:rPr>
          <w:rFonts w:cstheme="minorHAnsi"/>
          <w:i/>
          <w:szCs w:val="22"/>
          <w:lang w:val="en-US"/>
        </w:rPr>
        <w:t>Vested</w:t>
      </w:r>
      <w:proofErr w:type="gramEnd"/>
      <w:r w:rsidR="00B71CB9">
        <w:rPr>
          <w:rFonts w:cstheme="minorHAnsi"/>
          <w:i/>
          <w:szCs w:val="22"/>
          <w:lang w:val="en-US"/>
        </w:rPr>
        <w:t xml:space="preserve"> if the TSR during the Measurement Period </w:t>
      </w:r>
      <w:r w:rsidR="007A21E4">
        <w:rPr>
          <w:rFonts w:cstheme="minorHAnsi"/>
          <w:i/>
          <w:szCs w:val="22"/>
          <w:lang w:val="en-US"/>
        </w:rPr>
        <w:t xml:space="preserve">amounts to or </w:t>
      </w:r>
      <w:r w:rsidR="00B71CB9">
        <w:rPr>
          <w:rFonts w:cstheme="minorHAnsi"/>
          <w:i/>
          <w:szCs w:val="22"/>
          <w:lang w:val="en-US"/>
        </w:rPr>
        <w:t xml:space="preserve">exceeds </w:t>
      </w:r>
      <w:r w:rsidR="00C26F7D">
        <w:rPr>
          <w:rFonts w:cstheme="minorHAnsi"/>
          <w:i/>
          <w:szCs w:val="22"/>
          <w:lang w:val="en-US"/>
        </w:rPr>
        <w:t>1</w:t>
      </w:r>
      <w:r w:rsidR="00B71CB9">
        <w:rPr>
          <w:rFonts w:cstheme="minorHAnsi"/>
          <w:i/>
          <w:szCs w:val="22"/>
          <w:lang w:val="en-US"/>
        </w:rPr>
        <w:t>20 percent.</w:t>
      </w:r>
    </w:p>
    <w:p w14:paraId="70A2C510" w14:textId="77777777" w:rsidR="005D5226" w:rsidRPr="00A71A00" w:rsidRDefault="005D5226" w:rsidP="005D5226">
      <w:pPr>
        <w:ind w:left="1412" w:hanging="1412"/>
        <w:rPr>
          <w:rFonts w:cstheme="minorHAnsi"/>
          <w:i/>
          <w:szCs w:val="22"/>
          <w:lang w:val="en-US"/>
        </w:rPr>
      </w:pPr>
    </w:p>
    <w:p w14:paraId="6C7965A0" w14:textId="24532C58" w:rsidR="00B71CB9" w:rsidRPr="005D5226" w:rsidRDefault="00B71CB9" w:rsidP="00B71CB9">
      <w:pPr>
        <w:ind w:left="1412" w:hanging="1412"/>
        <w:rPr>
          <w:rFonts w:cstheme="minorHAnsi"/>
          <w:szCs w:val="22"/>
        </w:rPr>
      </w:pPr>
      <w:r w:rsidRPr="00144DA4">
        <w:rPr>
          <w:rFonts w:cstheme="minorHAnsi"/>
          <w:szCs w:val="22"/>
        </w:rPr>
        <w:t xml:space="preserve">Serie </w:t>
      </w:r>
      <w:r w:rsidR="007A21E4">
        <w:rPr>
          <w:rFonts w:cstheme="minorHAnsi"/>
          <w:szCs w:val="22"/>
        </w:rPr>
        <w:t>2</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sidR="007A21E4">
        <w:rPr>
          <w:rFonts w:cstheme="minorHAnsi"/>
          <w:szCs w:val="22"/>
        </w:rPr>
        <w:t xml:space="preserve">uppgår till eller </w:t>
      </w:r>
      <w:r>
        <w:rPr>
          <w:rFonts w:cstheme="minorHAnsi"/>
          <w:szCs w:val="22"/>
        </w:rPr>
        <w:t>överstiger</w:t>
      </w:r>
      <w:r w:rsidRPr="00144DA4">
        <w:rPr>
          <w:rFonts w:cstheme="minorHAnsi"/>
          <w:szCs w:val="22"/>
        </w:rPr>
        <w:t xml:space="preserve"> </w:t>
      </w:r>
      <w:r w:rsidR="00C26F7D">
        <w:rPr>
          <w:rFonts w:cstheme="minorHAnsi"/>
          <w:szCs w:val="22"/>
        </w:rPr>
        <w:t>1</w:t>
      </w:r>
      <w:r>
        <w:rPr>
          <w:rFonts w:cstheme="minorHAnsi"/>
          <w:szCs w:val="22"/>
        </w:rPr>
        <w:t>50</w:t>
      </w:r>
      <w:r w:rsidRPr="00144DA4">
        <w:rPr>
          <w:rFonts w:cstheme="minorHAnsi"/>
          <w:szCs w:val="22"/>
        </w:rPr>
        <w:t xml:space="preserve"> procent</w:t>
      </w:r>
      <w:r>
        <w:rPr>
          <w:rFonts w:cstheme="minorHAnsi"/>
          <w:szCs w:val="22"/>
        </w:rPr>
        <w:t>.</w:t>
      </w:r>
    </w:p>
    <w:p w14:paraId="595C35DE" w14:textId="25D8FF5E" w:rsidR="005D5226" w:rsidRDefault="00B71CB9" w:rsidP="00B71CB9">
      <w:pPr>
        <w:ind w:left="1412" w:hanging="1412"/>
        <w:rPr>
          <w:rFonts w:cstheme="minorHAnsi"/>
          <w:i/>
          <w:szCs w:val="22"/>
          <w:lang w:val="en-US"/>
        </w:rPr>
      </w:pPr>
      <w:r w:rsidRPr="00A71A00">
        <w:rPr>
          <w:rFonts w:cstheme="minorHAnsi"/>
          <w:i/>
          <w:szCs w:val="22"/>
          <w:lang w:val="en-US"/>
        </w:rPr>
        <w:t xml:space="preserve">Series </w:t>
      </w:r>
      <w:r w:rsidR="007A21E4">
        <w:rPr>
          <w:rFonts w:cstheme="minorHAnsi"/>
          <w:i/>
          <w:szCs w:val="22"/>
          <w:lang w:val="en-US"/>
        </w:rPr>
        <w:t>2</w:t>
      </w:r>
      <w:proofErr w:type="gramStart"/>
      <w:r w:rsidRPr="00A71A00">
        <w:rPr>
          <w:rFonts w:cstheme="minorHAnsi"/>
          <w:i/>
          <w:szCs w:val="22"/>
          <w:lang w:val="en-US"/>
        </w:rPr>
        <w:t xml:space="preserve">: </w:t>
      </w:r>
      <w:r w:rsidRPr="00A71A00">
        <w:rPr>
          <w:rFonts w:cstheme="minorHAnsi"/>
          <w:i/>
          <w:szCs w:val="22"/>
          <w:lang w:val="en-US"/>
        </w:rPr>
        <w:tab/>
      </w:r>
      <w:r>
        <w:rPr>
          <w:rFonts w:cstheme="minorHAnsi"/>
          <w:i/>
          <w:szCs w:val="22"/>
          <w:lang w:val="en-US"/>
        </w:rPr>
        <w:t>Vested</w:t>
      </w:r>
      <w:proofErr w:type="gramEnd"/>
      <w:r>
        <w:rPr>
          <w:rFonts w:cstheme="minorHAnsi"/>
          <w:i/>
          <w:szCs w:val="22"/>
          <w:lang w:val="en-US"/>
        </w:rPr>
        <w:t xml:space="preserve"> if the TSR during the Measurement Period </w:t>
      </w:r>
      <w:r w:rsidR="007A21E4">
        <w:rPr>
          <w:rFonts w:cstheme="minorHAnsi"/>
          <w:i/>
          <w:szCs w:val="22"/>
          <w:lang w:val="en-US"/>
        </w:rPr>
        <w:t xml:space="preserve">amounts to or </w:t>
      </w:r>
      <w:r>
        <w:rPr>
          <w:rFonts w:cstheme="minorHAnsi"/>
          <w:i/>
          <w:szCs w:val="22"/>
          <w:lang w:val="en-US"/>
        </w:rPr>
        <w:t xml:space="preserve">exceeds </w:t>
      </w:r>
      <w:r w:rsidR="00C26F7D">
        <w:rPr>
          <w:rFonts w:cstheme="minorHAnsi"/>
          <w:i/>
          <w:szCs w:val="22"/>
          <w:lang w:val="en-US"/>
        </w:rPr>
        <w:t>1</w:t>
      </w:r>
      <w:r>
        <w:rPr>
          <w:rFonts w:cstheme="minorHAnsi"/>
          <w:i/>
          <w:szCs w:val="22"/>
          <w:lang w:val="en-US"/>
        </w:rPr>
        <w:t>50 percent.</w:t>
      </w:r>
    </w:p>
    <w:p w14:paraId="4CA2E1D2" w14:textId="77777777" w:rsidR="005D5226" w:rsidRPr="00A71A00" w:rsidRDefault="005D5226" w:rsidP="005D5226">
      <w:pPr>
        <w:ind w:left="1412" w:hanging="1412"/>
        <w:rPr>
          <w:rFonts w:cstheme="minorHAnsi"/>
          <w:i/>
          <w:szCs w:val="22"/>
          <w:lang w:val="en-US"/>
        </w:rPr>
      </w:pPr>
    </w:p>
    <w:p w14:paraId="13CB3547" w14:textId="10C972FF" w:rsidR="00B71CB9" w:rsidRPr="005D5226" w:rsidRDefault="00B71CB9" w:rsidP="00B71CB9">
      <w:pPr>
        <w:ind w:left="1412" w:hanging="1412"/>
        <w:rPr>
          <w:rFonts w:cstheme="minorHAnsi"/>
          <w:szCs w:val="22"/>
        </w:rPr>
      </w:pPr>
      <w:r w:rsidRPr="00144DA4">
        <w:rPr>
          <w:rFonts w:cstheme="minorHAnsi"/>
          <w:szCs w:val="22"/>
        </w:rPr>
        <w:t xml:space="preserve">Serie </w:t>
      </w:r>
      <w:r w:rsidR="007A21E4">
        <w:rPr>
          <w:rFonts w:cstheme="minorHAnsi"/>
          <w:szCs w:val="22"/>
        </w:rPr>
        <w:t>3</w:t>
      </w:r>
      <w:r w:rsidRPr="00144DA4">
        <w:rPr>
          <w:rFonts w:cstheme="minorHAnsi"/>
          <w:szCs w:val="22"/>
        </w:rPr>
        <w:t>:</w:t>
      </w:r>
      <w:r w:rsidRPr="00144DA4">
        <w:rPr>
          <w:rFonts w:cstheme="minorHAnsi"/>
          <w:szCs w:val="22"/>
        </w:rPr>
        <w:tab/>
      </w:r>
      <w:r>
        <w:rPr>
          <w:rFonts w:cstheme="minorHAnsi"/>
          <w:szCs w:val="22"/>
        </w:rPr>
        <w:t>Intjänas om TSR</w:t>
      </w:r>
      <w:r w:rsidRPr="00144DA4">
        <w:rPr>
          <w:rFonts w:cstheme="minorHAnsi"/>
          <w:szCs w:val="22"/>
        </w:rPr>
        <w:t xml:space="preserve"> under Mätperioden </w:t>
      </w:r>
      <w:r w:rsidR="007A21E4">
        <w:rPr>
          <w:rFonts w:cstheme="minorHAnsi"/>
          <w:szCs w:val="22"/>
        </w:rPr>
        <w:t xml:space="preserve">uppgår till eller </w:t>
      </w:r>
      <w:r>
        <w:rPr>
          <w:rFonts w:cstheme="minorHAnsi"/>
          <w:szCs w:val="22"/>
        </w:rPr>
        <w:t>överstiger</w:t>
      </w:r>
      <w:r w:rsidRPr="00144DA4">
        <w:rPr>
          <w:rFonts w:cstheme="minorHAnsi"/>
          <w:szCs w:val="22"/>
        </w:rPr>
        <w:t xml:space="preserve"> </w:t>
      </w:r>
      <w:r w:rsidR="00C26F7D">
        <w:rPr>
          <w:rFonts w:cstheme="minorHAnsi"/>
          <w:szCs w:val="22"/>
        </w:rPr>
        <w:t>1</w:t>
      </w:r>
      <w:r w:rsidR="001E568F">
        <w:rPr>
          <w:rFonts w:cstheme="minorHAnsi"/>
          <w:szCs w:val="22"/>
        </w:rPr>
        <w:t>7</w:t>
      </w:r>
      <w:r>
        <w:rPr>
          <w:rFonts w:cstheme="minorHAnsi"/>
          <w:szCs w:val="22"/>
        </w:rPr>
        <w:t>0</w:t>
      </w:r>
      <w:r w:rsidRPr="00144DA4">
        <w:rPr>
          <w:rFonts w:cstheme="minorHAnsi"/>
          <w:szCs w:val="22"/>
        </w:rPr>
        <w:t xml:space="preserve"> procent</w:t>
      </w:r>
      <w:r>
        <w:rPr>
          <w:rFonts w:cstheme="minorHAnsi"/>
          <w:szCs w:val="22"/>
        </w:rPr>
        <w:t>.</w:t>
      </w:r>
    </w:p>
    <w:p w14:paraId="6F0CB64C" w14:textId="1B4D5CCF" w:rsidR="00101F8B" w:rsidRPr="00101F8B" w:rsidRDefault="00B71CB9" w:rsidP="00101F8B">
      <w:pPr>
        <w:ind w:left="1412" w:hanging="1412"/>
        <w:rPr>
          <w:rFonts w:cstheme="minorHAnsi"/>
          <w:i/>
          <w:szCs w:val="22"/>
          <w:lang w:val="en-US"/>
        </w:rPr>
      </w:pPr>
      <w:r w:rsidRPr="00A71A00">
        <w:rPr>
          <w:rFonts w:cstheme="minorHAnsi"/>
          <w:i/>
          <w:szCs w:val="22"/>
          <w:lang w:val="en-US"/>
        </w:rPr>
        <w:t xml:space="preserve">Series </w:t>
      </w:r>
      <w:r w:rsidR="007A21E4">
        <w:rPr>
          <w:rFonts w:cstheme="minorHAnsi"/>
          <w:i/>
          <w:szCs w:val="22"/>
          <w:lang w:val="en-US"/>
        </w:rPr>
        <w:t>3</w:t>
      </w:r>
      <w:proofErr w:type="gramStart"/>
      <w:r w:rsidRPr="00A71A00">
        <w:rPr>
          <w:rFonts w:cstheme="minorHAnsi"/>
          <w:i/>
          <w:szCs w:val="22"/>
          <w:lang w:val="en-US"/>
        </w:rPr>
        <w:t xml:space="preserve">: </w:t>
      </w:r>
      <w:r w:rsidRPr="00A71A00">
        <w:rPr>
          <w:rFonts w:cstheme="minorHAnsi"/>
          <w:i/>
          <w:szCs w:val="22"/>
          <w:lang w:val="en-US"/>
        </w:rPr>
        <w:tab/>
      </w:r>
      <w:r>
        <w:rPr>
          <w:rFonts w:cstheme="minorHAnsi"/>
          <w:i/>
          <w:szCs w:val="22"/>
          <w:lang w:val="en-US"/>
        </w:rPr>
        <w:t>Vested</w:t>
      </w:r>
      <w:proofErr w:type="gramEnd"/>
      <w:r>
        <w:rPr>
          <w:rFonts w:cstheme="minorHAnsi"/>
          <w:i/>
          <w:szCs w:val="22"/>
          <w:lang w:val="en-US"/>
        </w:rPr>
        <w:t xml:space="preserve"> if the TSR during the Measurement Period </w:t>
      </w:r>
      <w:r w:rsidR="007A21E4">
        <w:rPr>
          <w:rFonts w:cstheme="minorHAnsi"/>
          <w:i/>
          <w:szCs w:val="22"/>
          <w:lang w:val="en-US"/>
        </w:rPr>
        <w:t xml:space="preserve">amounts to or </w:t>
      </w:r>
      <w:r>
        <w:rPr>
          <w:rFonts w:cstheme="minorHAnsi"/>
          <w:i/>
          <w:szCs w:val="22"/>
          <w:lang w:val="en-US"/>
        </w:rPr>
        <w:t xml:space="preserve">exceeds </w:t>
      </w:r>
      <w:r w:rsidR="00C26F7D">
        <w:rPr>
          <w:rFonts w:cstheme="minorHAnsi"/>
          <w:i/>
          <w:szCs w:val="22"/>
          <w:lang w:val="en-US"/>
        </w:rPr>
        <w:t>1</w:t>
      </w:r>
      <w:r w:rsidR="001E568F">
        <w:rPr>
          <w:rFonts w:cstheme="minorHAnsi"/>
          <w:i/>
          <w:szCs w:val="22"/>
          <w:lang w:val="en-US"/>
        </w:rPr>
        <w:t>7</w:t>
      </w:r>
      <w:r>
        <w:rPr>
          <w:rFonts w:cstheme="minorHAnsi"/>
          <w:i/>
          <w:szCs w:val="22"/>
          <w:lang w:val="en-US"/>
        </w:rPr>
        <w:t>0 percent.</w:t>
      </w:r>
      <w:bookmarkStart w:id="29" w:name="_Ref98777531"/>
      <w:bookmarkEnd w:id="28"/>
    </w:p>
    <w:p w14:paraId="6BC2E062" w14:textId="77777777" w:rsidR="00101F8B" w:rsidRPr="00EE396E" w:rsidRDefault="00101F8B" w:rsidP="001A1DEB">
      <w:pPr>
        <w:pStyle w:val="BodyText"/>
        <w:spacing w:after="0"/>
        <w:rPr>
          <w:szCs w:val="22"/>
          <w:lang w:val="en-US"/>
        </w:rPr>
      </w:pPr>
    </w:p>
    <w:p w14:paraId="5B4C9D84" w14:textId="1D3239D0" w:rsidR="001A1DEB" w:rsidRPr="0031785B" w:rsidRDefault="0015372C" w:rsidP="001A1DEB">
      <w:pPr>
        <w:pStyle w:val="BodyText"/>
        <w:spacing w:after="0"/>
        <w:rPr>
          <w:szCs w:val="22"/>
          <w:lang w:val="sv-SE"/>
        </w:rPr>
      </w:pPr>
      <w:bookmarkStart w:id="30" w:name="_Hlk206582843"/>
      <w:r>
        <w:rPr>
          <w:szCs w:val="22"/>
          <w:lang w:val="sv-SE"/>
        </w:rPr>
        <w:lastRenderedPageBreak/>
        <w:t xml:space="preserve">Varje intjänad </w:t>
      </w:r>
      <w:r w:rsidR="001A1DEB" w:rsidRPr="008E348A">
        <w:rPr>
          <w:szCs w:val="22"/>
          <w:lang w:val="sv-SE"/>
        </w:rPr>
        <w:t>Prestationsaktie berättigar innehavaren att antingen (a) förvärva en (1) B-aktie till ett pris motsvarande kvotvärdet på aktien eller (b) vederlagsfritt erhålla en teckningsoption som berättigar till teckning av en (1) B-aktie i Bolaget till en teckningskurs motsvarande kvotvärdet på aktien.</w:t>
      </w:r>
      <w:bookmarkEnd w:id="29"/>
      <w:r w:rsidR="00826666" w:rsidRPr="00826666">
        <w:rPr>
          <w:rFonts w:cstheme="minorHAnsi"/>
          <w:szCs w:val="22"/>
          <w:lang w:val="sv-SE"/>
        </w:rPr>
        <w:t xml:space="preserve"> </w:t>
      </w:r>
      <w:r w:rsidR="00826666">
        <w:rPr>
          <w:rFonts w:cstheme="minorHAnsi"/>
          <w:szCs w:val="22"/>
          <w:lang w:val="sv-SE"/>
        </w:rPr>
        <w:t>Teckning</w:t>
      </w:r>
      <w:r w:rsidR="00826666" w:rsidRPr="00A71A00">
        <w:rPr>
          <w:rFonts w:cstheme="minorHAnsi"/>
          <w:szCs w:val="22"/>
          <w:lang w:val="sv-SE"/>
        </w:rPr>
        <w:t xml:space="preserve"> av </w:t>
      </w:r>
      <w:r w:rsidR="00826666">
        <w:rPr>
          <w:rFonts w:cstheme="minorHAnsi"/>
          <w:szCs w:val="22"/>
          <w:lang w:val="sv-SE"/>
        </w:rPr>
        <w:t xml:space="preserve">och betalning för B-aktier genom utnyttjande av Prestationsaktier </w:t>
      </w:r>
      <w:r w:rsidR="00826666" w:rsidRPr="00A71A00">
        <w:rPr>
          <w:rFonts w:cstheme="minorHAnsi"/>
          <w:szCs w:val="22"/>
          <w:lang w:val="sv-SE"/>
        </w:rPr>
        <w:t xml:space="preserve">ska ske </w:t>
      </w:r>
      <w:r w:rsidR="00826666">
        <w:rPr>
          <w:rFonts w:cstheme="minorHAnsi"/>
          <w:szCs w:val="22"/>
          <w:lang w:val="sv-SE"/>
        </w:rPr>
        <w:t xml:space="preserve">senast en månad </w:t>
      </w:r>
      <w:r w:rsidR="00826666" w:rsidRPr="00A71A00">
        <w:rPr>
          <w:rFonts w:cstheme="minorHAnsi"/>
          <w:szCs w:val="22"/>
          <w:lang w:val="sv-SE"/>
        </w:rPr>
        <w:t>efter att årsstämman</w:t>
      </w:r>
      <w:r w:rsidR="00826666">
        <w:rPr>
          <w:rFonts w:cstheme="minorHAnsi"/>
          <w:szCs w:val="22"/>
          <w:lang w:val="sv-SE"/>
        </w:rPr>
        <w:t xml:space="preserve"> </w:t>
      </w:r>
      <w:r w:rsidR="00826666">
        <w:rPr>
          <w:bCs/>
          <w:szCs w:val="22"/>
          <w:lang w:val="sv-SE"/>
        </w:rPr>
        <w:t>2028</w:t>
      </w:r>
      <w:r w:rsidR="00826666" w:rsidRPr="00A71A00">
        <w:rPr>
          <w:rFonts w:cstheme="minorHAnsi"/>
          <w:szCs w:val="22"/>
          <w:lang w:val="sv-SE"/>
        </w:rPr>
        <w:t xml:space="preserve"> har hållits</w:t>
      </w:r>
      <w:r w:rsidR="00826666">
        <w:rPr>
          <w:rFonts w:cstheme="minorHAnsi"/>
          <w:szCs w:val="22"/>
          <w:lang w:val="sv-SE"/>
        </w:rPr>
        <w:t>, med rätt för styrelsen att förlänga denna tidsfrist</w:t>
      </w:r>
      <w:r w:rsidR="0094600D">
        <w:rPr>
          <w:rFonts w:cstheme="minorHAnsi"/>
          <w:szCs w:val="22"/>
          <w:lang w:val="sv-SE"/>
        </w:rPr>
        <w:t>.</w:t>
      </w:r>
      <w:r w:rsidR="00826666" w:rsidRPr="00253161">
        <w:rPr>
          <w:rFonts w:cstheme="minorHAnsi"/>
          <w:szCs w:val="22"/>
          <w:lang w:val="sv-SE"/>
        </w:rPr>
        <w:t xml:space="preserve"> </w:t>
      </w:r>
      <w:r w:rsidR="00826666" w:rsidRPr="00A71A00">
        <w:rPr>
          <w:rFonts w:cstheme="minorHAnsi"/>
          <w:szCs w:val="22"/>
          <w:lang w:val="sv-SE"/>
        </w:rPr>
        <w:t>Perioden som löper från datumet för incitamentsprogramavtalets ingående till</w:t>
      </w:r>
      <w:r w:rsidR="00826666">
        <w:rPr>
          <w:rFonts w:cstheme="minorHAnsi"/>
          <w:szCs w:val="22"/>
          <w:lang w:val="sv-SE"/>
        </w:rPr>
        <w:t xml:space="preserve"> och med</w:t>
      </w:r>
      <w:r w:rsidR="00826666" w:rsidRPr="00A71A00">
        <w:rPr>
          <w:rFonts w:cstheme="minorHAnsi"/>
          <w:szCs w:val="22"/>
          <w:lang w:val="sv-SE"/>
        </w:rPr>
        <w:t xml:space="preserve"> </w:t>
      </w:r>
      <w:r w:rsidR="00826666">
        <w:rPr>
          <w:rFonts w:cstheme="minorHAnsi"/>
          <w:szCs w:val="22"/>
          <w:lang w:val="sv-SE"/>
        </w:rPr>
        <w:t>slutet av dagen för årsstämman 2028</w:t>
      </w:r>
      <w:r w:rsidR="00826666" w:rsidRPr="00A71A00">
        <w:rPr>
          <w:rFonts w:cstheme="minorHAnsi"/>
          <w:szCs w:val="22"/>
          <w:lang w:val="sv-SE"/>
        </w:rPr>
        <w:t xml:space="preserve"> benämns "</w:t>
      </w:r>
      <w:r w:rsidR="00826666" w:rsidRPr="00A71A00">
        <w:rPr>
          <w:rFonts w:cstheme="minorHAnsi"/>
          <w:b/>
          <w:szCs w:val="22"/>
          <w:lang w:val="sv-SE"/>
        </w:rPr>
        <w:t>Intjänandeperioden</w:t>
      </w:r>
      <w:r w:rsidR="00826666" w:rsidRPr="00A71A00">
        <w:rPr>
          <w:rFonts w:cstheme="minorHAnsi"/>
          <w:szCs w:val="22"/>
          <w:lang w:val="sv-SE"/>
        </w:rPr>
        <w:t>".</w:t>
      </w:r>
      <w:r w:rsidR="0031785B">
        <w:rPr>
          <w:szCs w:val="22"/>
          <w:lang w:val="sv-SE"/>
        </w:rPr>
        <w:t xml:space="preserve"> Prestationsaktierna är föremål för omräkning i enlighet med omräkningsvillkoren i villkoren för teckningsoptioner av serie </w:t>
      </w:r>
      <w:r w:rsidR="00C26F7D">
        <w:rPr>
          <w:szCs w:val="22"/>
          <w:lang w:val="sv-SE"/>
        </w:rPr>
        <w:t>2025/2028:2</w:t>
      </w:r>
      <w:bookmarkEnd w:id="30"/>
      <w:r w:rsidR="0031785B">
        <w:rPr>
          <w:szCs w:val="22"/>
          <w:lang w:val="sv-SE"/>
        </w:rPr>
        <w:t xml:space="preserve">, </w:t>
      </w:r>
      <w:r w:rsidR="00C26F7D">
        <w:rPr>
          <w:szCs w:val="22"/>
          <w:u w:val="single"/>
          <w:lang w:val="sv-SE"/>
        </w:rPr>
        <w:t>Bilaga 4</w:t>
      </w:r>
      <w:r w:rsidR="0031785B">
        <w:rPr>
          <w:szCs w:val="22"/>
          <w:u w:val="single"/>
          <w:lang w:val="sv-SE"/>
        </w:rPr>
        <w:t>c</w:t>
      </w:r>
      <w:r w:rsidR="0031785B">
        <w:rPr>
          <w:szCs w:val="22"/>
          <w:lang w:val="sv-SE"/>
        </w:rPr>
        <w:t>.</w:t>
      </w:r>
    </w:p>
    <w:p w14:paraId="034CCB5C" w14:textId="71D2BF13" w:rsidR="00101F8B" w:rsidRDefault="001A1DEB" w:rsidP="00101F8B">
      <w:pPr>
        <w:pStyle w:val="BodyText"/>
        <w:spacing w:after="0"/>
        <w:rPr>
          <w:i/>
          <w:iCs/>
          <w:szCs w:val="22"/>
          <w:lang w:val="en-US"/>
        </w:rPr>
      </w:pPr>
      <w:bookmarkStart w:id="31" w:name="_Hlk206164412"/>
      <w:r w:rsidRPr="008E348A">
        <w:rPr>
          <w:i/>
          <w:iCs/>
          <w:szCs w:val="22"/>
          <w:lang w:val="en-US"/>
        </w:rPr>
        <w:t xml:space="preserve">Provided that Performance Shares have vested and that the performance target has been achieved, each Performance Share entitles the holder to either (a) acquire one (1) </w:t>
      </w:r>
      <w:r w:rsidR="007F108F">
        <w:rPr>
          <w:i/>
          <w:iCs/>
          <w:szCs w:val="22"/>
          <w:lang w:val="en-US"/>
        </w:rPr>
        <w:t xml:space="preserve">class </w:t>
      </w:r>
      <w:r w:rsidRPr="008E348A">
        <w:rPr>
          <w:i/>
          <w:iCs/>
          <w:szCs w:val="22"/>
          <w:lang w:val="en-US"/>
        </w:rPr>
        <w:t xml:space="preserve">B share at a </w:t>
      </w:r>
      <w:r w:rsidR="007F108F">
        <w:rPr>
          <w:i/>
          <w:iCs/>
          <w:szCs w:val="22"/>
          <w:lang w:val="en-US"/>
        </w:rPr>
        <w:t xml:space="preserve">subscription </w:t>
      </w:r>
      <w:r w:rsidRPr="008E348A">
        <w:rPr>
          <w:i/>
          <w:iCs/>
          <w:szCs w:val="22"/>
          <w:lang w:val="en-US"/>
        </w:rPr>
        <w:t xml:space="preserve">price corresponding to the quota value of the share or (b) obtain free of charge a warrant that entitles the subscription of one (1) </w:t>
      </w:r>
      <w:r w:rsidR="007F108F">
        <w:rPr>
          <w:i/>
          <w:iCs/>
          <w:szCs w:val="22"/>
          <w:lang w:val="en-US"/>
        </w:rPr>
        <w:t xml:space="preserve">class </w:t>
      </w:r>
      <w:r w:rsidRPr="008E348A">
        <w:rPr>
          <w:i/>
          <w:iCs/>
          <w:szCs w:val="22"/>
          <w:lang w:val="en-US"/>
        </w:rPr>
        <w:t xml:space="preserve">B share in the Company </w:t>
      </w:r>
      <w:r w:rsidR="007F108F">
        <w:rPr>
          <w:i/>
          <w:iCs/>
          <w:szCs w:val="22"/>
          <w:lang w:val="en-US"/>
        </w:rPr>
        <w:t xml:space="preserve">at </w:t>
      </w:r>
      <w:r w:rsidRPr="008E348A">
        <w:rPr>
          <w:i/>
          <w:iCs/>
          <w:szCs w:val="22"/>
          <w:lang w:val="en-US"/>
        </w:rPr>
        <w:t>a subscription price corresponding to the quota value of the share.</w:t>
      </w:r>
      <w:r w:rsidR="0031785B">
        <w:rPr>
          <w:i/>
          <w:iCs/>
          <w:szCs w:val="22"/>
          <w:lang w:val="en-US"/>
        </w:rPr>
        <w:t xml:space="preserve"> </w:t>
      </w:r>
      <w:r w:rsidR="00826666">
        <w:rPr>
          <w:rFonts w:cstheme="minorHAnsi"/>
          <w:i/>
          <w:szCs w:val="22"/>
          <w:lang w:val="en-US"/>
        </w:rPr>
        <w:t>Subscription and a</w:t>
      </w:r>
      <w:r w:rsidR="00826666" w:rsidRPr="00A71A00">
        <w:rPr>
          <w:rFonts w:cstheme="minorHAnsi"/>
          <w:i/>
          <w:szCs w:val="22"/>
          <w:lang w:val="en-US"/>
        </w:rPr>
        <w:t xml:space="preserve">llotment of </w:t>
      </w:r>
      <w:r w:rsidR="00826666">
        <w:rPr>
          <w:rFonts w:cstheme="minorHAnsi"/>
          <w:i/>
          <w:szCs w:val="22"/>
          <w:lang w:val="en-US"/>
        </w:rPr>
        <w:t xml:space="preserve">class B </w:t>
      </w:r>
      <w:r w:rsidR="00826666" w:rsidRPr="00A71A00">
        <w:rPr>
          <w:rFonts w:cstheme="minorHAnsi"/>
          <w:i/>
          <w:szCs w:val="22"/>
          <w:lang w:val="en-US"/>
        </w:rPr>
        <w:t xml:space="preserve">shares </w:t>
      </w:r>
      <w:r w:rsidR="00826666">
        <w:rPr>
          <w:rFonts w:cstheme="minorHAnsi"/>
          <w:i/>
          <w:szCs w:val="22"/>
          <w:lang w:val="en-US"/>
        </w:rPr>
        <w:t xml:space="preserve">through exercise of Performance Shares </w:t>
      </w:r>
      <w:r w:rsidR="00826666" w:rsidRPr="00A71A00">
        <w:rPr>
          <w:rFonts w:cstheme="minorHAnsi"/>
          <w:i/>
          <w:szCs w:val="22"/>
          <w:lang w:val="en-US"/>
        </w:rPr>
        <w:t xml:space="preserve">shall be made </w:t>
      </w:r>
      <w:r w:rsidR="00826666">
        <w:rPr>
          <w:rFonts w:cstheme="minorHAnsi"/>
          <w:i/>
          <w:szCs w:val="22"/>
          <w:lang w:val="en-US"/>
        </w:rPr>
        <w:t xml:space="preserve">no later than one month </w:t>
      </w:r>
      <w:r w:rsidR="00826666" w:rsidRPr="00A71A00">
        <w:rPr>
          <w:rFonts w:cstheme="minorHAnsi"/>
          <w:i/>
          <w:szCs w:val="22"/>
          <w:lang w:val="en-US"/>
        </w:rPr>
        <w:t xml:space="preserve">following the annual general meeting held in </w:t>
      </w:r>
      <w:r w:rsidR="00826666">
        <w:rPr>
          <w:i/>
          <w:szCs w:val="22"/>
          <w:lang w:val="en-US"/>
        </w:rPr>
        <w:t>2028</w:t>
      </w:r>
      <w:r w:rsidR="00826666">
        <w:rPr>
          <w:rFonts w:cstheme="minorHAnsi"/>
          <w:i/>
          <w:szCs w:val="22"/>
          <w:lang w:val="en-US"/>
        </w:rPr>
        <w:t xml:space="preserve">, with the right for the board of directors to extend the </w:t>
      </w:r>
      <w:r w:rsidR="00826666" w:rsidRPr="00A67E33">
        <w:rPr>
          <w:i/>
          <w:lang w:val="en-US"/>
        </w:rPr>
        <w:t>time limit.</w:t>
      </w:r>
      <w:r w:rsidR="00826666">
        <w:rPr>
          <w:i/>
          <w:lang w:val="en-US"/>
        </w:rPr>
        <w:t xml:space="preserve"> </w:t>
      </w:r>
      <w:r w:rsidR="00826666" w:rsidRPr="00A71A00">
        <w:rPr>
          <w:rFonts w:cstheme="minorHAnsi"/>
          <w:i/>
          <w:szCs w:val="22"/>
          <w:lang w:val="en-US"/>
        </w:rPr>
        <w:t xml:space="preserve">The </w:t>
      </w:r>
      <w:proofErr w:type="gramStart"/>
      <w:r w:rsidR="00826666" w:rsidRPr="00A71A00">
        <w:rPr>
          <w:rFonts w:cstheme="minorHAnsi"/>
          <w:i/>
          <w:szCs w:val="22"/>
          <w:lang w:val="en-US"/>
        </w:rPr>
        <w:t>time period</w:t>
      </w:r>
      <w:proofErr w:type="gramEnd"/>
      <w:r w:rsidR="00826666" w:rsidRPr="00A71A00">
        <w:rPr>
          <w:rFonts w:cstheme="minorHAnsi"/>
          <w:i/>
          <w:szCs w:val="22"/>
          <w:lang w:val="en-US"/>
        </w:rPr>
        <w:t xml:space="preserve"> that runs from the date the incentive plan agreement is entered into</w:t>
      </w:r>
      <w:r w:rsidR="00826666">
        <w:rPr>
          <w:rFonts w:cstheme="minorHAnsi"/>
          <w:i/>
          <w:szCs w:val="22"/>
          <w:lang w:val="en-US"/>
        </w:rPr>
        <w:t xml:space="preserve"> up to and including the end of the day of the annual general meeting 2028 </w:t>
      </w:r>
      <w:r w:rsidR="00826666" w:rsidRPr="00A71A00">
        <w:rPr>
          <w:rFonts w:cstheme="minorHAnsi"/>
          <w:i/>
          <w:szCs w:val="22"/>
          <w:lang w:val="en-US"/>
        </w:rPr>
        <w:t>is referred to as the "</w:t>
      </w:r>
      <w:r w:rsidR="00826666" w:rsidRPr="00A71A00">
        <w:rPr>
          <w:rFonts w:cstheme="minorHAnsi"/>
          <w:b/>
          <w:i/>
          <w:szCs w:val="22"/>
          <w:lang w:val="en-US"/>
        </w:rPr>
        <w:t>Vesting Period</w:t>
      </w:r>
      <w:r w:rsidR="00826666" w:rsidRPr="00A71A00">
        <w:rPr>
          <w:rFonts w:cstheme="minorHAnsi"/>
          <w:i/>
          <w:szCs w:val="22"/>
          <w:lang w:val="en-US"/>
        </w:rPr>
        <w:t>".</w:t>
      </w:r>
      <w:r w:rsidR="00826666">
        <w:rPr>
          <w:rFonts w:cstheme="minorHAnsi"/>
          <w:i/>
          <w:szCs w:val="22"/>
          <w:lang w:val="en-US"/>
        </w:rPr>
        <w:t xml:space="preserve"> </w:t>
      </w:r>
      <w:r w:rsidR="0031785B">
        <w:rPr>
          <w:i/>
          <w:iCs/>
          <w:szCs w:val="22"/>
          <w:lang w:val="en-US"/>
        </w:rPr>
        <w:t xml:space="preserve">The Performance Shares are subject to recalculation in accordance with the recalculation terms in the terms and conditions for the warrants </w:t>
      </w:r>
      <w:r w:rsidR="005915F1">
        <w:rPr>
          <w:i/>
          <w:iCs/>
          <w:szCs w:val="22"/>
          <w:lang w:val="en-US"/>
        </w:rPr>
        <w:t xml:space="preserve">of </w:t>
      </w:r>
      <w:r w:rsidR="0031785B">
        <w:rPr>
          <w:i/>
          <w:iCs/>
          <w:szCs w:val="22"/>
          <w:lang w:val="en-US"/>
        </w:rPr>
        <w:t xml:space="preserve">series </w:t>
      </w:r>
      <w:r w:rsidR="00C26F7D">
        <w:rPr>
          <w:i/>
          <w:iCs/>
          <w:szCs w:val="22"/>
          <w:lang w:val="en-US"/>
        </w:rPr>
        <w:t>2025/2028:2</w:t>
      </w:r>
      <w:r w:rsidR="0031785B">
        <w:rPr>
          <w:i/>
          <w:iCs/>
          <w:szCs w:val="22"/>
          <w:lang w:val="en-US"/>
        </w:rPr>
        <w:t xml:space="preserve">, </w:t>
      </w:r>
      <w:r w:rsidR="0031785B">
        <w:rPr>
          <w:i/>
          <w:iCs/>
          <w:szCs w:val="22"/>
          <w:u w:val="single"/>
          <w:lang w:val="en-US"/>
        </w:rPr>
        <w:t xml:space="preserve">Exhibit </w:t>
      </w:r>
      <w:r w:rsidR="006B1763">
        <w:rPr>
          <w:i/>
          <w:iCs/>
          <w:szCs w:val="22"/>
          <w:u w:val="single"/>
          <w:lang w:val="en-US"/>
        </w:rPr>
        <w:t>4</w:t>
      </w:r>
      <w:r w:rsidR="0031785B">
        <w:rPr>
          <w:i/>
          <w:iCs/>
          <w:szCs w:val="22"/>
          <w:u w:val="single"/>
          <w:lang w:val="en-US"/>
        </w:rPr>
        <w:t>c</w:t>
      </w:r>
      <w:r w:rsidR="0031785B">
        <w:rPr>
          <w:i/>
          <w:iCs/>
          <w:szCs w:val="22"/>
          <w:lang w:val="en-US"/>
        </w:rPr>
        <w:t>.</w:t>
      </w:r>
      <w:bookmarkEnd w:id="31"/>
    </w:p>
    <w:p w14:paraId="4C70B8F3" w14:textId="77777777" w:rsidR="001A1DEB" w:rsidRPr="008E348A" w:rsidRDefault="001A1DEB" w:rsidP="001A1DEB">
      <w:pPr>
        <w:pStyle w:val="BodyText"/>
        <w:spacing w:after="0"/>
        <w:rPr>
          <w:bCs/>
          <w:szCs w:val="22"/>
          <w:lang w:val="en-US"/>
        </w:rPr>
      </w:pPr>
    </w:p>
    <w:p w14:paraId="1B740F62" w14:textId="4320A834" w:rsidR="001A1DEB" w:rsidRPr="00253161" w:rsidRDefault="001A1DEB" w:rsidP="00253161">
      <w:r w:rsidRPr="008E348A">
        <w:rPr>
          <w:szCs w:val="22"/>
        </w:rPr>
        <w:t>Intjäning förutsätter att deltagaren är fortsatt aktiv inom koncernen och inte har sagt upp sin anställning eller sitt konsultavtal per dagen då intjäning sker.</w:t>
      </w:r>
      <w:r w:rsidR="00253161" w:rsidRPr="00253161">
        <w:t xml:space="preserve"> </w:t>
      </w:r>
      <w:r w:rsidR="00253161" w:rsidRPr="0079031F">
        <w:t xml:space="preserve">För det </w:t>
      </w:r>
      <w:proofErr w:type="gramStart"/>
      <w:r w:rsidR="00253161" w:rsidRPr="0079031F">
        <w:t>fall deltagare</w:t>
      </w:r>
      <w:proofErr w:type="gramEnd"/>
      <w:r w:rsidR="00253161" w:rsidRPr="0079031F">
        <w:t xml:space="preserve"> upphör att vara anställd i koncernen före</w:t>
      </w:r>
      <w:r w:rsidR="00253161">
        <w:t xml:space="preserve"> Intjänandeperiodens slut</w:t>
      </w:r>
      <w:r w:rsidR="00253161" w:rsidRPr="0079031F">
        <w:t xml:space="preserve">, förfaller </w:t>
      </w:r>
      <w:r w:rsidR="00253161">
        <w:t>rätten till tilldelning av B-aktier</w:t>
      </w:r>
      <w:r w:rsidR="00AA711C">
        <w:t>,</w:t>
      </w:r>
      <w:r w:rsidR="00253161">
        <w:t xml:space="preserve"> </w:t>
      </w:r>
      <w:r w:rsidR="00AA711C" w:rsidRPr="002F08AC">
        <w:t xml:space="preserve">med undantag för vissa sedvanliga </w:t>
      </w:r>
      <w:r w:rsidR="00AA711C">
        <w:t>"</w:t>
      </w:r>
      <w:proofErr w:type="spellStart"/>
      <w:r w:rsidR="00AA711C" w:rsidRPr="002F08AC">
        <w:t>good</w:t>
      </w:r>
      <w:proofErr w:type="spellEnd"/>
      <w:r w:rsidR="00AA711C" w:rsidRPr="002F08AC">
        <w:t xml:space="preserve"> </w:t>
      </w:r>
      <w:proofErr w:type="spellStart"/>
      <w:r w:rsidR="00AA711C" w:rsidRPr="002F08AC">
        <w:t>leaver</w:t>
      </w:r>
      <w:proofErr w:type="spellEnd"/>
      <w:r w:rsidR="00AA711C">
        <w:t>"</w:t>
      </w:r>
      <w:r w:rsidR="00AA711C" w:rsidRPr="002F08AC">
        <w:t>-situationer (dödsfall och bestående oförmåga att utföra uppdraget till följd av olyckshändelse eller sjukdom)</w:t>
      </w:r>
      <w:r w:rsidR="00AA711C" w:rsidRPr="0079031F">
        <w:t>.</w:t>
      </w:r>
    </w:p>
    <w:p w14:paraId="33015680" w14:textId="1A789C9F" w:rsidR="001A1DEB" w:rsidRDefault="001A1DEB" w:rsidP="00AA711C">
      <w:pPr>
        <w:rPr>
          <w:i/>
          <w:lang w:val="en-US"/>
        </w:rPr>
      </w:pPr>
      <w:bookmarkStart w:id="32" w:name="_Hlk206164427"/>
      <w:r w:rsidRPr="008E348A">
        <w:rPr>
          <w:i/>
          <w:iCs/>
          <w:szCs w:val="22"/>
          <w:lang w:val="en-US"/>
        </w:rPr>
        <w:t xml:space="preserve">Vesting requires that the participant is still active within the group and that the employment has not been terminated their employment or consulting agreement as of the date when the vesting occurs. </w:t>
      </w:r>
      <w:r w:rsidR="00253161" w:rsidRPr="0020572B">
        <w:rPr>
          <w:i/>
          <w:lang w:val="en-US"/>
        </w:rPr>
        <w:t xml:space="preserve">If a participant ceases to be an employee with the group </w:t>
      </w:r>
      <w:r w:rsidR="00253161">
        <w:rPr>
          <w:i/>
          <w:lang w:val="en-US"/>
        </w:rPr>
        <w:t>prior to the end of the Vesting Period</w:t>
      </w:r>
      <w:r w:rsidR="00253161" w:rsidRPr="0020572B">
        <w:rPr>
          <w:i/>
          <w:lang w:val="en-US"/>
        </w:rPr>
        <w:t xml:space="preserve">, </w:t>
      </w:r>
      <w:r w:rsidR="00253161">
        <w:rPr>
          <w:i/>
          <w:lang w:val="en-US"/>
        </w:rPr>
        <w:t xml:space="preserve">the right to allocation of class B shares expires, </w:t>
      </w:r>
      <w:bookmarkEnd w:id="32"/>
      <w:r w:rsidR="00AA711C" w:rsidRPr="002F08AC">
        <w:rPr>
          <w:i/>
          <w:lang w:val="en-US"/>
        </w:rPr>
        <w:t xml:space="preserve">except for certain customary </w:t>
      </w:r>
      <w:r w:rsidR="00AA711C">
        <w:rPr>
          <w:i/>
          <w:lang w:val="en-US"/>
        </w:rPr>
        <w:t>"</w:t>
      </w:r>
      <w:r w:rsidR="00AA711C" w:rsidRPr="002F08AC">
        <w:rPr>
          <w:i/>
          <w:lang w:val="en-US"/>
        </w:rPr>
        <w:t>good leaver</w:t>
      </w:r>
      <w:r w:rsidR="00AA711C">
        <w:rPr>
          <w:i/>
          <w:lang w:val="en-US"/>
        </w:rPr>
        <w:t>"</w:t>
      </w:r>
      <w:r w:rsidR="00AA711C" w:rsidRPr="002F08AC">
        <w:rPr>
          <w:i/>
          <w:lang w:val="en-US"/>
        </w:rPr>
        <w:t xml:space="preserve"> situations (death and permanent incapacity to fulfil the mission due to accident or illness)</w:t>
      </w:r>
      <w:r w:rsidR="00AA711C">
        <w:rPr>
          <w:i/>
          <w:lang w:val="en-US"/>
        </w:rPr>
        <w:t>.</w:t>
      </w:r>
    </w:p>
    <w:p w14:paraId="5E299CF5" w14:textId="77777777" w:rsidR="00AA711C" w:rsidRPr="008E348A" w:rsidRDefault="00AA711C" w:rsidP="001A1DEB">
      <w:pPr>
        <w:pStyle w:val="BodyText"/>
        <w:spacing w:after="0"/>
        <w:rPr>
          <w:i/>
          <w:iCs/>
          <w:szCs w:val="22"/>
          <w:lang w:val="en-US"/>
        </w:rPr>
      </w:pPr>
    </w:p>
    <w:p w14:paraId="55604092" w14:textId="77777777" w:rsidR="001A1DEB" w:rsidRPr="008E348A" w:rsidRDefault="001A1DEB" w:rsidP="001A1DEB">
      <w:pPr>
        <w:pStyle w:val="BodyText"/>
        <w:spacing w:after="0"/>
        <w:rPr>
          <w:szCs w:val="22"/>
          <w:lang w:val="sv-SE"/>
        </w:rPr>
      </w:pPr>
      <w:r w:rsidRPr="008E348A">
        <w:rPr>
          <w:szCs w:val="22"/>
          <w:lang w:val="sv-SE"/>
        </w:rPr>
        <w:t>Prestationsaktierna ska inte utgöra värdepapper och ska inte kunna överlåtas eller pantsättas. Dock gäller att rättigheterna enligt intjänade Prestationsaktier övergår på dödsboet i händelse av deltagarens dödsfall.</w:t>
      </w:r>
    </w:p>
    <w:p w14:paraId="6899F33C" w14:textId="503462B1" w:rsidR="001A1DEB" w:rsidRPr="008E348A" w:rsidRDefault="001A1DEB" w:rsidP="001A1DEB">
      <w:pPr>
        <w:pStyle w:val="BodyText"/>
        <w:spacing w:after="0"/>
        <w:rPr>
          <w:i/>
          <w:iCs/>
          <w:szCs w:val="22"/>
          <w:lang w:val="en-US"/>
        </w:rPr>
      </w:pPr>
      <w:bookmarkStart w:id="33" w:name="_Hlk206164436"/>
      <w:r w:rsidRPr="008E348A">
        <w:rPr>
          <w:i/>
          <w:iCs/>
          <w:szCs w:val="22"/>
          <w:lang w:val="en-US"/>
        </w:rPr>
        <w:t>The Performance Shares must not constitute securities and cannot be transferred or pledged. However, the rights according to vested Performance Shares may be transferred to the estate in the event of the participant</w:t>
      </w:r>
      <w:r w:rsidR="0031785B">
        <w:rPr>
          <w:i/>
          <w:iCs/>
          <w:szCs w:val="22"/>
          <w:lang w:val="en-US"/>
        </w:rPr>
        <w:t>'</w:t>
      </w:r>
      <w:r w:rsidRPr="008E348A">
        <w:rPr>
          <w:i/>
          <w:iCs/>
          <w:szCs w:val="22"/>
          <w:lang w:val="en-US"/>
        </w:rPr>
        <w:t>s death.</w:t>
      </w:r>
    </w:p>
    <w:bookmarkEnd w:id="33"/>
    <w:p w14:paraId="75152899" w14:textId="77777777" w:rsidR="001A1DEB" w:rsidRPr="008E348A" w:rsidRDefault="001A1DEB" w:rsidP="001A1DEB">
      <w:pPr>
        <w:pStyle w:val="BodyText"/>
        <w:spacing w:after="0"/>
        <w:rPr>
          <w:i/>
          <w:iCs/>
          <w:szCs w:val="22"/>
          <w:lang w:val="en-US"/>
        </w:rPr>
      </w:pPr>
    </w:p>
    <w:p w14:paraId="47C373B0" w14:textId="06B1F20F" w:rsidR="001A1DEB" w:rsidRPr="008E348A" w:rsidRDefault="001A1DEB" w:rsidP="001A1DEB">
      <w:pPr>
        <w:pStyle w:val="BodyText"/>
        <w:spacing w:after="0"/>
        <w:rPr>
          <w:szCs w:val="22"/>
          <w:lang w:val="sv-SE"/>
        </w:rPr>
      </w:pPr>
      <w:r w:rsidRPr="008E348A">
        <w:rPr>
          <w:szCs w:val="22"/>
          <w:lang w:val="sv-SE"/>
        </w:rPr>
        <w:t xml:space="preserve">Deltagande i Prestationsaktieprogram </w:t>
      </w:r>
      <w:r w:rsidR="00C26F7D">
        <w:rPr>
          <w:szCs w:val="22"/>
          <w:lang w:val="sv-SE"/>
        </w:rPr>
        <w:t>2025/2028:2</w:t>
      </w:r>
      <w:r w:rsidRPr="008E348A">
        <w:rPr>
          <w:szCs w:val="22"/>
          <w:lang w:val="sv-SE"/>
        </w:rPr>
        <w:t xml:space="preserve"> förutsätter dels att sådant deltagande lagligen kan ske, dels att sådant deltagande enligt Bolagets bedömning kan ske med rimliga administrativa kostnader och ekonomiska insatser.</w:t>
      </w:r>
    </w:p>
    <w:p w14:paraId="3039F564" w14:textId="57BFF833" w:rsidR="001A1DEB" w:rsidRPr="008E348A" w:rsidRDefault="001A1DEB" w:rsidP="001A1DEB">
      <w:pPr>
        <w:pStyle w:val="BodyText"/>
        <w:spacing w:after="0"/>
        <w:rPr>
          <w:i/>
          <w:iCs/>
          <w:szCs w:val="22"/>
          <w:lang w:val="en-US"/>
        </w:rPr>
      </w:pPr>
      <w:bookmarkStart w:id="34" w:name="_Hlk206164447"/>
      <w:r w:rsidRPr="008E348A">
        <w:rPr>
          <w:i/>
          <w:iCs/>
          <w:szCs w:val="22"/>
          <w:lang w:val="en-US"/>
        </w:rPr>
        <w:t xml:space="preserve">Participation in the Performance Share Program </w:t>
      </w:r>
      <w:r w:rsidR="00C26F7D">
        <w:rPr>
          <w:i/>
          <w:iCs/>
          <w:szCs w:val="22"/>
          <w:lang w:val="en-US"/>
        </w:rPr>
        <w:t>2025/2028:2</w:t>
      </w:r>
      <w:r w:rsidRPr="008E348A">
        <w:rPr>
          <w:i/>
          <w:iCs/>
          <w:szCs w:val="22"/>
          <w:lang w:val="en-US"/>
        </w:rPr>
        <w:t xml:space="preserve"> presupposes that such participation can </w:t>
      </w:r>
      <w:r w:rsidRPr="008E348A">
        <w:rPr>
          <w:bCs/>
          <w:i/>
          <w:iCs/>
          <w:szCs w:val="22"/>
          <w:lang w:val="en-US"/>
        </w:rPr>
        <w:t>legally</w:t>
      </w:r>
      <w:r w:rsidRPr="008E348A">
        <w:rPr>
          <w:i/>
          <w:iCs/>
          <w:szCs w:val="22"/>
          <w:lang w:val="en-US"/>
        </w:rPr>
        <w:t xml:space="preserve"> take place, and that, according to the Company's assessment, such participation can take place with reasonable administrative costs and financial contributions.</w:t>
      </w:r>
    </w:p>
    <w:bookmarkEnd w:id="34"/>
    <w:p w14:paraId="3A87B79F" w14:textId="77777777" w:rsidR="001A1DEB" w:rsidRPr="008E348A" w:rsidRDefault="001A1DEB" w:rsidP="001A1DEB">
      <w:pPr>
        <w:pStyle w:val="BodyText"/>
        <w:spacing w:after="0"/>
        <w:rPr>
          <w:i/>
          <w:iCs/>
          <w:szCs w:val="22"/>
          <w:lang w:val="en-US"/>
        </w:rPr>
      </w:pPr>
    </w:p>
    <w:p w14:paraId="3DCBB1F2" w14:textId="21B34219" w:rsidR="003F3015" w:rsidRPr="008E348A" w:rsidRDefault="003F3015" w:rsidP="003F3015">
      <w:pPr>
        <w:pStyle w:val="BodyText"/>
        <w:spacing w:after="0"/>
        <w:rPr>
          <w:szCs w:val="22"/>
          <w:lang w:val="sv-SE"/>
        </w:rPr>
      </w:pPr>
      <w:bookmarkStart w:id="35" w:name="_Hlk206583708"/>
      <w:r w:rsidRPr="008E348A">
        <w:rPr>
          <w:szCs w:val="22"/>
          <w:lang w:val="sv-SE"/>
        </w:rPr>
        <w:t xml:space="preserve">Prestationsaktierna ska regleras i särskilda avtal med respektive deltagare. Styrelsen ska ansvara för utformningen och hanteringen av Prestationsaktieprogram </w:t>
      </w:r>
      <w:r>
        <w:rPr>
          <w:szCs w:val="22"/>
          <w:lang w:val="sv-SE"/>
        </w:rPr>
        <w:t>2025/2028:2</w:t>
      </w:r>
      <w:r w:rsidRPr="008E348A">
        <w:rPr>
          <w:szCs w:val="22"/>
          <w:lang w:val="sv-SE"/>
        </w:rPr>
        <w:t xml:space="preserve"> inom ramen för ovan angivna huvudsakliga villkor och riktlinjer. Styrelsen äger rätt att, inom ramen för avtalet med respektive deltagare, göra de rimliga ändringar och anpassningar av villkoren för Prestationsaktierna som bedöms lämpliga eller ändamålsenliga till följd av lokala arbetsrättsliga eller skatterättsliga regler eller administrativa förhållanden. Det kan </w:t>
      </w:r>
      <w:proofErr w:type="gramStart"/>
      <w:r w:rsidRPr="008E348A">
        <w:rPr>
          <w:szCs w:val="22"/>
          <w:lang w:val="sv-SE"/>
        </w:rPr>
        <w:t>bl.a.</w:t>
      </w:r>
      <w:proofErr w:type="gramEnd"/>
      <w:r w:rsidRPr="008E348A">
        <w:rPr>
          <w:szCs w:val="22"/>
          <w:lang w:val="sv-SE"/>
        </w:rPr>
        <w:t xml:space="preserve"> innebära att fortsatt intjäning av Prestationsaktier kan komma att ske i vissa fall då så annars inte hade varit fallet. </w:t>
      </w:r>
      <w:r>
        <w:rPr>
          <w:szCs w:val="22"/>
          <w:lang w:val="sv-SE"/>
        </w:rPr>
        <w:t>Om styrelsen inte beslutar om annat ska</w:t>
      </w:r>
      <w:r w:rsidRPr="008E348A">
        <w:rPr>
          <w:szCs w:val="22"/>
          <w:lang w:val="sv-SE"/>
        </w:rPr>
        <w:t xml:space="preserve"> intjäning och tidpunkten för utnyttjande av Prestationsaktier </w:t>
      </w:r>
      <w:r>
        <w:rPr>
          <w:szCs w:val="22"/>
          <w:lang w:val="sv-SE"/>
        </w:rPr>
        <w:t>tidigareläggas vid händelse av</w:t>
      </w:r>
      <w:r w:rsidRPr="008E348A">
        <w:rPr>
          <w:szCs w:val="22"/>
          <w:lang w:val="sv-SE"/>
        </w:rPr>
        <w:t xml:space="preserve"> offentligt </w:t>
      </w:r>
      <w:r w:rsidRPr="008E348A">
        <w:rPr>
          <w:szCs w:val="22"/>
          <w:lang w:val="sv-SE"/>
        </w:rPr>
        <w:lastRenderedPageBreak/>
        <w:t xml:space="preserve">uppköpserbjudande, </w:t>
      </w:r>
      <w:r>
        <w:rPr>
          <w:szCs w:val="22"/>
          <w:lang w:val="sv-SE"/>
        </w:rPr>
        <w:t>försäljning av Bolagets verksamhet</w:t>
      </w:r>
      <w:r w:rsidRPr="008E348A">
        <w:rPr>
          <w:szCs w:val="22"/>
          <w:lang w:val="sv-SE"/>
        </w:rPr>
        <w:t xml:space="preserve">, likvidation, fusion och liknande åtgärder. Styrelsen äger avslutningsvis rätt att i extraordinära fall begränsa omfattningen av eller i förtid avsluta Prestationsaktieprogram </w:t>
      </w:r>
      <w:r>
        <w:rPr>
          <w:szCs w:val="22"/>
          <w:lang w:val="sv-SE"/>
        </w:rPr>
        <w:t>2025/2028:2</w:t>
      </w:r>
      <w:r w:rsidRPr="008E348A">
        <w:rPr>
          <w:szCs w:val="22"/>
          <w:lang w:val="sv-SE"/>
        </w:rPr>
        <w:t>, helt eller delvis.</w:t>
      </w:r>
      <w:bookmarkEnd w:id="35"/>
    </w:p>
    <w:p w14:paraId="2218A867" w14:textId="725868FB" w:rsidR="003F3015" w:rsidRDefault="003F3015" w:rsidP="001A1DEB">
      <w:pPr>
        <w:pStyle w:val="BodyText"/>
        <w:spacing w:after="0"/>
        <w:rPr>
          <w:bCs/>
          <w:i/>
          <w:iCs/>
          <w:szCs w:val="22"/>
          <w:lang w:val="en-US"/>
        </w:rPr>
      </w:pPr>
      <w:bookmarkStart w:id="36" w:name="_Hlk206583686"/>
      <w:r w:rsidRPr="008E348A">
        <w:rPr>
          <w:bCs/>
          <w:i/>
          <w:iCs/>
          <w:szCs w:val="22"/>
          <w:lang w:val="en-US"/>
        </w:rPr>
        <w:t xml:space="preserve">The Performance Shares shall be regulated in agreements with the respective participants. The board shall be responsible for the design and management of the Performance Share Program </w:t>
      </w:r>
      <w:r>
        <w:rPr>
          <w:bCs/>
          <w:i/>
          <w:iCs/>
          <w:szCs w:val="22"/>
          <w:lang w:val="en-US"/>
        </w:rPr>
        <w:t>2025/2028:2</w:t>
      </w:r>
      <w:r w:rsidRPr="008E348A">
        <w:rPr>
          <w:bCs/>
          <w:i/>
          <w:iCs/>
          <w:szCs w:val="22"/>
          <w:lang w:val="en-US"/>
        </w:rPr>
        <w:t xml:space="preserve"> within the framework of the main conditions and guidelines stated above. The board has the right, within the framework of the agreement with respective participants, to make the reasonable changes and adjustments to the terms of Performance Shares that are deemed appropriate or expedient </w:t>
      </w:r>
      <w:proofErr w:type="gramStart"/>
      <w:r w:rsidRPr="008E348A">
        <w:rPr>
          <w:bCs/>
          <w:i/>
          <w:iCs/>
          <w:szCs w:val="22"/>
          <w:lang w:val="en-US"/>
        </w:rPr>
        <w:t>as a result of</w:t>
      </w:r>
      <w:proofErr w:type="gramEnd"/>
      <w:r w:rsidRPr="008E348A">
        <w:rPr>
          <w:bCs/>
          <w:i/>
          <w:iCs/>
          <w:szCs w:val="22"/>
          <w:lang w:val="en-US"/>
        </w:rPr>
        <w:t xml:space="preserve"> local labor law or tax law rules or administrative conditions. It </w:t>
      </w:r>
      <w:proofErr w:type="gramStart"/>
      <w:r w:rsidRPr="008E348A">
        <w:rPr>
          <w:bCs/>
          <w:i/>
          <w:iCs/>
          <w:szCs w:val="22"/>
          <w:lang w:val="en-US"/>
        </w:rPr>
        <w:t>can</w:t>
      </w:r>
      <w:proofErr w:type="gramEnd"/>
      <w:r w:rsidRPr="008E348A">
        <w:rPr>
          <w:bCs/>
          <w:i/>
          <w:iCs/>
          <w:szCs w:val="22"/>
          <w:lang w:val="en-US"/>
        </w:rPr>
        <w:t xml:space="preserve"> i.e., mean that continued </w:t>
      </w:r>
      <w:proofErr w:type="gramStart"/>
      <w:r w:rsidRPr="008E348A">
        <w:rPr>
          <w:bCs/>
          <w:i/>
          <w:iCs/>
          <w:szCs w:val="22"/>
          <w:lang w:val="en-US"/>
        </w:rPr>
        <w:t>earning</w:t>
      </w:r>
      <w:proofErr w:type="gramEnd"/>
      <w:r w:rsidRPr="008E348A">
        <w:rPr>
          <w:bCs/>
          <w:i/>
          <w:iCs/>
          <w:szCs w:val="22"/>
          <w:lang w:val="en-US"/>
        </w:rPr>
        <w:t xml:space="preserve"> of Performance Shares may take place in certain cases where this would not otherwise have been the case. </w:t>
      </w:r>
      <w:r>
        <w:rPr>
          <w:bCs/>
          <w:i/>
          <w:iCs/>
          <w:szCs w:val="22"/>
          <w:lang w:val="en-US"/>
        </w:rPr>
        <w:t>Unless otherwise decided by the board, the</w:t>
      </w:r>
      <w:r w:rsidRPr="008E348A">
        <w:rPr>
          <w:bCs/>
          <w:i/>
          <w:iCs/>
          <w:szCs w:val="22"/>
          <w:lang w:val="en-US"/>
        </w:rPr>
        <w:t xml:space="preserve"> vesting and the timing of exercise of Performance Shares </w:t>
      </w:r>
      <w:r>
        <w:rPr>
          <w:bCs/>
          <w:i/>
          <w:iCs/>
          <w:szCs w:val="22"/>
          <w:lang w:val="en-US"/>
        </w:rPr>
        <w:t>shall be accelerated in the event of</w:t>
      </w:r>
      <w:r w:rsidRPr="008E348A">
        <w:rPr>
          <w:bCs/>
          <w:i/>
          <w:iCs/>
          <w:szCs w:val="22"/>
          <w:lang w:val="en-US"/>
        </w:rPr>
        <w:t xml:space="preserve"> a public takeover offer, </w:t>
      </w:r>
      <w:r>
        <w:rPr>
          <w:bCs/>
          <w:i/>
          <w:iCs/>
          <w:szCs w:val="22"/>
          <w:lang w:val="en-US"/>
        </w:rPr>
        <w:t xml:space="preserve">sale of the Company's business, </w:t>
      </w:r>
      <w:r w:rsidRPr="008E348A">
        <w:rPr>
          <w:bCs/>
          <w:i/>
          <w:iCs/>
          <w:szCs w:val="22"/>
          <w:lang w:val="en-US"/>
        </w:rPr>
        <w:t xml:space="preserve">liquidation, merger and similar measures. Finally, the board has the right to, in extraordinary cases, limit the scope of or prematurely terminate Performance Share Program </w:t>
      </w:r>
      <w:r>
        <w:rPr>
          <w:bCs/>
          <w:i/>
          <w:iCs/>
          <w:szCs w:val="22"/>
          <w:lang w:val="en-US"/>
        </w:rPr>
        <w:t>2025/2028:2</w:t>
      </w:r>
      <w:r w:rsidRPr="008E348A">
        <w:rPr>
          <w:bCs/>
          <w:i/>
          <w:iCs/>
          <w:szCs w:val="22"/>
          <w:lang w:val="en-US"/>
        </w:rPr>
        <w:t xml:space="preserve"> in whole or in part.</w:t>
      </w:r>
      <w:bookmarkEnd w:id="10"/>
      <w:bookmarkEnd w:id="36"/>
    </w:p>
    <w:p w14:paraId="6A8182E3" w14:textId="77777777" w:rsidR="003F3015" w:rsidRPr="008E348A" w:rsidRDefault="003F3015" w:rsidP="001A1DEB">
      <w:pPr>
        <w:pStyle w:val="BodyText"/>
        <w:spacing w:after="0"/>
        <w:rPr>
          <w:bCs/>
          <w:i/>
          <w:iCs/>
          <w:szCs w:val="22"/>
          <w:lang w:val="en-US"/>
        </w:rPr>
      </w:pPr>
    </w:p>
    <w:bookmarkEnd w:id="11"/>
    <w:bookmarkEnd w:id="15"/>
    <w:p w14:paraId="2D2B1775" w14:textId="77777777" w:rsidR="001A1DEB" w:rsidRPr="008E348A" w:rsidRDefault="001A1DEB" w:rsidP="001A1DEB">
      <w:pPr>
        <w:pStyle w:val="BodyText"/>
        <w:jc w:val="center"/>
        <w:rPr>
          <w:bCs/>
          <w:szCs w:val="22"/>
          <w:lang w:val="en-US"/>
        </w:rPr>
      </w:pPr>
      <w:r w:rsidRPr="008E348A">
        <w:rPr>
          <w:bCs/>
          <w:szCs w:val="22"/>
          <w:lang w:val="en-US"/>
        </w:rPr>
        <w:t>* * * * *</w:t>
      </w:r>
    </w:p>
    <w:p w14:paraId="692FB433" w14:textId="77777777" w:rsidR="001A1DEB" w:rsidRPr="008E348A" w:rsidRDefault="001A1DEB" w:rsidP="001A1DEB">
      <w:pPr>
        <w:pStyle w:val="BodyText"/>
        <w:rPr>
          <w:b/>
          <w:szCs w:val="22"/>
          <w:lang w:val="en-US"/>
        </w:rPr>
      </w:pPr>
      <w:r w:rsidRPr="008E348A">
        <w:rPr>
          <w:b/>
          <w:szCs w:val="22"/>
          <w:lang w:val="en-US"/>
        </w:rPr>
        <w:br w:type="page"/>
      </w:r>
    </w:p>
    <w:p w14:paraId="6620FA6B" w14:textId="77777777" w:rsidR="001A1DEB" w:rsidRPr="008E348A" w:rsidRDefault="001A1DEB" w:rsidP="001A1DEB">
      <w:pPr>
        <w:pStyle w:val="BodyText"/>
        <w:jc w:val="right"/>
        <w:rPr>
          <w:b/>
          <w:szCs w:val="22"/>
          <w:lang w:val="sv-SE"/>
        </w:rPr>
      </w:pPr>
      <w:r w:rsidRPr="008E348A">
        <w:rPr>
          <w:b/>
          <w:szCs w:val="22"/>
          <w:lang w:val="sv-SE"/>
        </w:rPr>
        <w:lastRenderedPageBreak/>
        <w:t>Bilaga 4b/</w:t>
      </w:r>
      <w:proofErr w:type="spellStart"/>
      <w:r w:rsidRPr="008E348A">
        <w:rPr>
          <w:b/>
          <w:i/>
          <w:szCs w:val="22"/>
          <w:lang w:val="sv-SE"/>
        </w:rPr>
        <w:t>Exhibit</w:t>
      </w:r>
      <w:proofErr w:type="spellEnd"/>
      <w:r w:rsidRPr="008E348A">
        <w:rPr>
          <w:b/>
          <w:i/>
          <w:szCs w:val="22"/>
          <w:lang w:val="sv-SE"/>
        </w:rPr>
        <w:t xml:space="preserve"> 4b</w:t>
      </w:r>
    </w:p>
    <w:p w14:paraId="1A33B84F" w14:textId="35947907" w:rsidR="001A1DEB" w:rsidRPr="008E348A" w:rsidRDefault="00211621" w:rsidP="00211621">
      <w:pPr>
        <w:pStyle w:val="Heading1"/>
        <w:pBdr>
          <w:bottom w:val="single" w:sz="12" w:space="1" w:color="auto"/>
        </w:pBdr>
        <w:spacing w:after="0" w:line="240" w:lineRule="auto"/>
        <w:rPr>
          <w:rFonts w:ascii="Times New Roman" w:hAnsi="Times New Roman"/>
          <w:szCs w:val="22"/>
          <w:lang w:val="sv-SE"/>
        </w:rPr>
      </w:pPr>
      <w:r>
        <w:rPr>
          <w:rFonts w:ascii="Times New Roman" w:hAnsi="Times New Roman"/>
          <w:szCs w:val="22"/>
          <w:lang w:val="sv-SE"/>
        </w:rPr>
        <w:t>Förslag till b</w:t>
      </w:r>
      <w:r w:rsidR="001A1DEB" w:rsidRPr="008E348A">
        <w:rPr>
          <w:rFonts w:ascii="Times New Roman" w:hAnsi="Times New Roman"/>
          <w:szCs w:val="22"/>
          <w:lang w:val="sv-SE"/>
        </w:rPr>
        <w:t xml:space="preserve">eslut om emission </w:t>
      </w:r>
      <w:r>
        <w:rPr>
          <w:rFonts w:ascii="Times New Roman" w:hAnsi="Times New Roman"/>
          <w:szCs w:val="22"/>
          <w:lang w:val="sv-SE"/>
        </w:rPr>
        <w:t xml:space="preserve">samt </w:t>
      </w:r>
      <w:r w:rsidR="001A1DEB" w:rsidRPr="008E348A">
        <w:rPr>
          <w:rFonts w:ascii="Times New Roman" w:hAnsi="Times New Roman"/>
          <w:szCs w:val="22"/>
          <w:lang w:val="sv-SE"/>
        </w:rPr>
        <w:t>godkännande av överlåtelse av teckningsoptioner</w:t>
      </w:r>
    </w:p>
    <w:p w14:paraId="4D327595" w14:textId="77777777" w:rsidR="001A1DEB" w:rsidRPr="008E348A" w:rsidRDefault="001A1DEB" w:rsidP="00211621">
      <w:pPr>
        <w:pStyle w:val="Heading1"/>
        <w:pBdr>
          <w:bottom w:val="single" w:sz="12" w:space="1" w:color="auto"/>
        </w:pBdr>
        <w:spacing w:after="0" w:line="240" w:lineRule="auto"/>
        <w:rPr>
          <w:rFonts w:ascii="Times New Roman" w:hAnsi="Times New Roman"/>
          <w:i/>
          <w:szCs w:val="22"/>
        </w:rPr>
      </w:pPr>
      <w:r w:rsidRPr="008E348A">
        <w:rPr>
          <w:rFonts w:ascii="Times New Roman" w:hAnsi="Times New Roman"/>
          <w:i/>
          <w:szCs w:val="22"/>
        </w:rPr>
        <w:t>Proposal for resolution regarding issue and approval of transfer of warrants</w:t>
      </w:r>
    </w:p>
    <w:p w14:paraId="23D5A887" w14:textId="4B72719A" w:rsidR="001A1DEB" w:rsidRPr="008E348A" w:rsidRDefault="001A1DEB" w:rsidP="00211621">
      <w:pPr>
        <w:spacing w:before="100" w:beforeAutospacing="1"/>
        <w:rPr>
          <w:szCs w:val="22"/>
        </w:rPr>
      </w:pPr>
      <w:bookmarkStart w:id="37" w:name="_Hlk170326451"/>
      <w:bookmarkStart w:id="38" w:name="_Hlk133489720"/>
      <w:r w:rsidRPr="008E348A">
        <w:rPr>
          <w:szCs w:val="22"/>
        </w:rPr>
        <w:t xml:space="preserve">För att möjliggöra leverans av B-aktier </w:t>
      </w:r>
      <w:r w:rsidR="00211621">
        <w:rPr>
          <w:szCs w:val="22"/>
        </w:rPr>
        <w:t xml:space="preserve">under </w:t>
      </w:r>
      <w:r w:rsidRPr="008E348A">
        <w:rPr>
          <w:szCs w:val="22"/>
        </w:rPr>
        <w:t xml:space="preserve">Prestationsaktieprogram </w:t>
      </w:r>
      <w:r w:rsidR="00C26F7D">
        <w:rPr>
          <w:szCs w:val="22"/>
        </w:rPr>
        <w:t>2025/2028:2</w:t>
      </w:r>
      <w:r w:rsidRPr="008E348A">
        <w:rPr>
          <w:szCs w:val="22"/>
        </w:rPr>
        <w:t xml:space="preserve"> föreslår styrelsen för </w:t>
      </w:r>
      <w:r w:rsidRPr="008E348A">
        <w:rPr>
          <w:bCs/>
          <w:iCs/>
          <w:szCs w:val="22"/>
        </w:rPr>
        <w:t xml:space="preserve">Biovica International AB, org.nr </w:t>
      </w:r>
      <w:proofErr w:type="gramStart"/>
      <w:r w:rsidRPr="008E348A">
        <w:rPr>
          <w:bCs/>
          <w:iCs/>
          <w:szCs w:val="22"/>
        </w:rPr>
        <w:t>556774-6150</w:t>
      </w:r>
      <w:proofErr w:type="gramEnd"/>
      <w:r w:rsidRPr="008E348A">
        <w:rPr>
          <w:bCs/>
          <w:iCs/>
          <w:szCs w:val="22"/>
        </w:rPr>
        <w:t xml:space="preserve"> ("</w:t>
      </w:r>
      <w:r w:rsidRPr="008E348A">
        <w:rPr>
          <w:b/>
          <w:bCs/>
          <w:iCs/>
          <w:szCs w:val="22"/>
        </w:rPr>
        <w:t>Bolaget</w:t>
      </w:r>
      <w:r w:rsidRPr="008E348A">
        <w:rPr>
          <w:bCs/>
          <w:iCs/>
          <w:szCs w:val="22"/>
        </w:rPr>
        <w:t>")</w:t>
      </w:r>
      <w:r w:rsidR="00211621">
        <w:rPr>
          <w:bCs/>
          <w:iCs/>
          <w:szCs w:val="22"/>
        </w:rPr>
        <w:t>,</w:t>
      </w:r>
      <w:r w:rsidRPr="008E348A">
        <w:rPr>
          <w:szCs w:val="22"/>
        </w:rPr>
        <w:t xml:space="preserve"> att </w:t>
      </w:r>
      <w:bookmarkStart w:id="39" w:name="_Hlk206170037"/>
      <w:r w:rsidR="00211621">
        <w:rPr>
          <w:szCs w:val="22"/>
        </w:rPr>
        <w:t>årsstämman</w:t>
      </w:r>
      <w:r w:rsidRPr="008E348A">
        <w:rPr>
          <w:szCs w:val="22"/>
        </w:rPr>
        <w:t xml:space="preserve"> beslutar om en emission av teckningsoptioner av serie </w:t>
      </w:r>
      <w:r w:rsidR="00C26F7D">
        <w:rPr>
          <w:szCs w:val="22"/>
        </w:rPr>
        <w:t>2025/2028:2</w:t>
      </w:r>
      <w:r w:rsidRPr="008E348A">
        <w:rPr>
          <w:szCs w:val="22"/>
        </w:rPr>
        <w:t xml:space="preserve"> samt godkännande av överlåtelse av teckningsoptioner av serie </w:t>
      </w:r>
      <w:r w:rsidR="00211621">
        <w:rPr>
          <w:szCs w:val="22"/>
        </w:rPr>
        <w:t>2025/2028</w:t>
      </w:r>
      <w:r w:rsidR="006B1763">
        <w:rPr>
          <w:szCs w:val="22"/>
        </w:rPr>
        <w:t>:2</w:t>
      </w:r>
      <w:r w:rsidR="00211621">
        <w:rPr>
          <w:szCs w:val="22"/>
        </w:rPr>
        <w:t xml:space="preserve"> i enlighet med nedan</w:t>
      </w:r>
      <w:r w:rsidRPr="008E348A">
        <w:rPr>
          <w:szCs w:val="22"/>
        </w:rPr>
        <w:t>.</w:t>
      </w:r>
    </w:p>
    <w:bookmarkEnd w:id="39"/>
    <w:p w14:paraId="56AEFCE3" w14:textId="540CF571" w:rsidR="001A1DEB" w:rsidRPr="008E348A" w:rsidRDefault="001A1DEB" w:rsidP="001A1DEB">
      <w:pPr>
        <w:autoSpaceDE w:val="0"/>
        <w:autoSpaceDN w:val="0"/>
        <w:adjustRightInd w:val="0"/>
        <w:rPr>
          <w:bCs/>
          <w:i/>
          <w:iCs/>
          <w:szCs w:val="22"/>
          <w:lang w:val="en-US"/>
        </w:rPr>
      </w:pPr>
      <w:proofErr w:type="gramStart"/>
      <w:r w:rsidRPr="008E348A">
        <w:rPr>
          <w:bCs/>
          <w:i/>
          <w:iCs/>
          <w:szCs w:val="22"/>
          <w:lang w:val="en-US"/>
        </w:rPr>
        <w:t>In order to</w:t>
      </w:r>
      <w:proofErr w:type="gramEnd"/>
      <w:r w:rsidRPr="008E348A">
        <w:rPr>
          <w:bCs/>
          <w:i/>
          <w:iCs/>
          <w:szCs w:val="22"/>
          <w:lang w:val="en-US"/>
        </w:rPr>
        <w:t xml:space="preserve"> enable the delivery of </w:t>
      </w:r>
      <w:r w:rsidR="00211621">
        <w:rPr>
          <w:bCs/>
          <w:i/>
          <w:iCs/>
          <w:szCs w:val="22"/>
          <w:lang w:val="en-US"/>
        </w:rPr>
        <w:t xml:space="preserve">class </w:t>
      </w:r>
      <w:r w:rsidRPr="008E348A">
        <w:rPr>
          <w:bCs/>
          <w:i/>
          <w:iCs/>
          <w:szCs w:val="22"/>
          <w:lang w:val="en-US"/>
        </w:rPr>
        <w:t xml:space="preserve">B shares </w:t>
      </w:r>
      <w:r w:rsidR="00211621">
        <w:rPr>
          <w:bCs/>
          <w:i/>
          <w:iCs/>
          <w:szCs w:val="22"/>
          <w:lang w:val="en-US"/>
        </w:rPr>
        <w:t xml:space="preserve">under </w:t>
      </w:r>
      <w:r w:rsidRPr="008E348A">
        <w:rPr>
          <w:bCs/>
          <w:i/>
          <w:iCs/>
          <w:szCs w:val="22"/>
          <w:lang w:val="en-US"/>
        </w:rPr>
        <w:t xml:space="preserve">the Performance Share Program </w:t>
      </w:r>
      <w:r w:rsidR="00C26F7D">
        <w:rPr>
          <w:bCs/>
          <w:i/>
          <w:iCs/>
          <w:szCs w:val="22"/>
          <w:lang w:val="en-US"/>
        </w:rPr>
        <w:t>2025/2028:2</w:t>
      </w:r>
      <w:r w:rsidR="00211621">
        <w:rPr>
          <w:bCs/>
          <w:i/>
          <w:iCs/>
          <w:szCs w:val="22"/>
          <w:lang w:val="en-US"/>
        </w:rPr>
        <w:t>,</w:t>
      </w:r>
      <w:r w:rsidRPr="008E348A">
        <w:rPr>
          <w:bCs/>
          <w:i/>
          <w:iCs/>
          <w:szCs w:val="22"/>
          <w:lang w:val="en-US"/>
        </w:rPr>
        <w:t xml:space="preserve"> the board of directors for Biovica International AB (the “</w:t>
      </w:r>
      <w:r w:rsidRPr="008E348A">
        <w:rPr>
          <w:b/>
          <w:i/>
          <w:iCs/>
          <w:szCs w:val="22"/>
          <w:lang w:val="en-US"/>
        </w:rPr>
        <w:t>Company</w:t>
      </w:r>
      <w:r w:rsidRPr="008E348A">
        <w:rPr>
          <w:bCs/>
          <w:i/>
          <w:iCs/>
          <w:szCs w:val="22"/>
          <w:lang w:val="en-US"/>
        </w:rPr>
        <w:t xml:space="preserve">”) proposes </w:t>
      </w:r>
      <w:bookmarkStart w:id="40" w:name="_Hlk206164483"/>
      <w:r w:rsidRPr="008E348A">
        <w:rPr>
          <w:bCs/>
          <w:i/>
          <w:iCs/>
          <w:szCs w:val="22"/>
          <w:lang w:val="en-US"/>
        </w:rPr>
        <w:t xml:space="preserve">that the </w:t>
      </w:r>
      <w:r w:rsidR="00EA349E">
        <w:rPr>
          <w:bCs/>
          <w:i/>
          <w:iCs/>
          <w:szCs w:val="22"/>
          <w:lang w:val="en-US"/>
        </w:rPr>
        <w:t>annual general</w:t>
      </w:r>
      <w:r w:rsidRPr="008E348A">
        <w:rPr>
          <w:bCs/>
          <w:i/>
          <w:iCs/>
          <w:szCs w:val="22"/>
          <w:lang w:val="en-US"/>
        </w:rPr>
        <w:t xml:space="preserve"> meeting resolves on a directed issue of warrants of series 202</w:t>
      </w:r>
      <w:r w:rsidR="00211621">
        <w:rPr>
          <w:bCs/>
          <w:i/>
          <w:iCs/>
          <w:szCs w:val="22"/>
          <w:lang w:val="en-US"/>
        </w:rPr>
        <w:t>5</w:t>
      </w:r>
      <w:r w:rsidRPr="008E348A">
        <w:rPr>
          <w:bCs/>
          <w:i/>
          <w:iCs/>
          <w:szCs w:val="22"/>
          <w:lang w:val="en-US"/>
        </w:rPr>
        <w:t>/202</w:t>
      </w:r>
      <w:r w:rsidR="00211621">
        <w:rPr>
          <w:bCs/>
          <w:i/>
          <w:iCs/>
          <w:szCs w:val="22"/>
          <w:lang w:val="en-US"/>
        </w:rPr>
        <w:t>8</w:t>
      </w:r>
      <w:r w:rsidR="006B1763">
        <w:rPr>
          <w:bCs/>
          <w:i/>
          <w:iCs/>
          <w:szCs w:val="22"/>
          <w:lang w:val="en-US"/>
        </w:rPr>
        <w:t>:2</w:t>
      </w:r>
      <w:r w:rsidRPr="008E348A">
        <w:rPr>
          <w:bCs/>
          <w:i/>
          <w:iCs/>
          <w:szCs w:val="22"/>
          <w:lang w:val="en-US"/>
        </w:rPr>
        <w:t xml:space="preserve"> and </w:t>
      </w:r>
      <w:r w:rsidR="00211621">
        <w:rPr>
          <w:bCs/>
          <w:i/>
          <w:iCs/>
          <w:szCs w:val="22"/>
          <w:lang w:val="en-US"/>
        </w:rPr>
        <w:t>to approve</w:t>
      </w:r>
      <w:r w:rsidRPr="008E348A">
        <w:rPr>
          <w:bCs/>
          <w:i/>
          <w:iCs/>
          <w:szCs w:val="22"/>
          <w:lang w:val="en-US"/>
        </w:rPr>
        <w:t xml:space="preserve"> the transfer of warrants of series </w:t>
      </w:r>
      <w:r w:rsidR="00C26F7D">
        <w:rPr>
          <w:bCs/>
          <w:i/>
          <w:iCs/>
          <w:szCs w:val="22"/>
          <w:lang w:val="en-US"/>
        </w:rPr>
        <w:t>2025/2028:2</w:t>
      </w:r>
      <w:r w:rsidR="00211621">
        <w:rPr>
          <w:bCs/>
          <w:i/>
          <w:iCs/>
          <w:szCs w:val="22"/>
          <w:lang w:val="en-US"/>
        </w:rPr>
        <w:t xml:space="preserve"> in accordance with the following</w:t>
      </w:r>
      <w:r w:rsidRPr="008E348A">
        <w:rPr>
          <w:bCs/>
          <w:i/>
          <w:iCs/>
          <w:szCs w:val="22"/>
          <w:lang w:val="en-US"/>
        </w:rPr>
        <w:t>.</w:t>
      </w:r>
      <w:bookmarkEnd w:id="40"/>
    </w:p>
    <w:p w14:paraId="12287300" w14:textId="77777777" w:rsidR="001A1DEB" w:rsidRPr="008E348A" w:rsidRDefault="001A1DEB" w:rsidP="001A1DEB">
      <w:pPr>
        <w:rPr>
          <w:szCs w:val="22"/>
          <w:lang w:val="en-US"/>
        </w:rPr>
      </w:pPr>
    </w:p>
    <w:p w14:paraId="34D07502" w14:textId="0A90A78E" w:rsidR="001A1DEB" w:rsidRPr="008E348A" w:rsidRDefault="001A1DEB" w:rsidP="001A1DEB">
      <w:pPr>
        <w:rPr>
          <w:szCs w:val="22"/>
        </w:rPr>
      </w:pPr>
      <w:bookmarkStart w:id="41" w:name="_Hlk206170066"/>
      <w:r w:rsidRPr="008E348A">
        <w:rPr>
          <w:szCs w:val="22"/>
        </w:rPr>
        <w:t xml:space="preserve">Styrelsen föreslår att </w:t>
      </w:r>
      <w:r w:rsidR="00EA349E">
        <w:rPr>
          <w:szCs w:val="22"/>
        </w:rPr>
        <w:t>årsstämman</w:t>
      </w:r>
      <w:r w:rsidRPr="008E348A">
        <w:rPr>
          <w:szCs w:val="22"/>
        </w:rPr>
        <w:t xml:space="preserve"> beslutar om emission av högst </w:t>
      </w:r>
      <w:bookmarkStart w:id="42" w:name="_Hlk206152090"/>
      <w:r w:rsidR="0039134E" w:rsidRPr="0039134E">
        <w:rPr>
          <w:szCs w:val="22"/>
        </w:rPr>
        <w:t>1 980 900</w:t>
      </w:r>
      <w:bookmarkEnd w:id="42"/>
      <w:r w:rsidRPr="008E348A">
        <w:rPr>
          <w:szCs w:val="22"/>
        </w:rPr>
        <w:t xml:space="preserve"> teckningsoptioner, till följd varav Bolagets aktiekapital kan komma att öka med högst </w:t>
      </w:r>
      <w:r w:rsidR="0039134E" w:rsidRPr="0039134E">
        <w:rPr>
          <w:szCs w:val="22"/>
        </w:rPr>
        <w:t>132 060,000092</w:t>
      </w:r>
      <w:r w:rsidRPr="008E348A">
        <w:rPr>
          <w:szCs w:val="22"/>
        </w:rPr>
        <w:t> kronor.</w:t>
      </w:r>
      <w:r w:rsidR="00211621" w:rsidRPr="00211621">
        <w:rPr>
          <w:szCs w:val="22"/>
        </w:rPr>
        <w:t xml:space="preserve"> </w:t>
      </w:r>
      <w:r w:rsidR="00211621" w:rsidRPr="008E348A">
        <w:rPr>
          <w:szCs w:val="22"/>
        </w:rPr>
        <w:t>Teckningsoptionerna ska medföra rätt till nyteckning av B-aktier Bolaget.</w:t>
      </w:r>
    </w:p>
    <w:p w14:paraId="3831F85D" w14:textId="522079C0" w:rsidR="001A1DEB" w:rsidRPr="008E348A" w:rsidRDefault="001A1DEB" w:rsidP="00211621">
      <w:pPr>
        <w:rPr>
          <w:bCs/>
          <w:i/>
          <w:iCs/>
          <w:szCs w:val="22"/>
          <w:lang w:val="en-US"/>
        </w:rPr>
      </w:pPr>
      <w:bookmarkStart w:id="43" w:name="_Hlk206164491"/>
      <w:r w:rsidRPr="008E348A">
        <w:rPr>
          <w:i/>
          <w:iCs/>
          <w:szCs w:val="22"/>
          <w:lang w:val="en-US"/>
        </w:rPr>
        <w:t xml:space="preserve">The board of directors proposes that the </w:t>
      </w:r>
      <w:r w:rsidR="00EA349E">
        <w:rPr>
          <w:i/>
          <w:iCs/>
          <w:szCs w:val="22"/>
          <w:lang w:val="en-US"/>
        </w:rPr>
        <w:t>annual general</w:t>
      </w:r>
      <w:r w:rsidRPr="008E348A">
        <w:rPr>
          <w:i/>
          <w:iCs/>
          <w:szCs w:val="22"/>
          <w:lang w:val="en-US"/>
        </w:rPr>
        <w:t xml:space="preserve"> meeting resolves to issue a maximum of </w:t>
      </w:r>
      <w:r w:rsidR="0039134E" w:rsidRPr="0039134E">
        <w:rPr>
          <w:i/>
          <w:iCs/>
          <w:szCs w:val="22"/>
          <w:lang w:val="en-US"/>
        </w:rPr>
        <w:t>1</w:t>
      </w:r>
      <w:r w:rsidR="0039134E">
        <w:rPr>
          <w:i/>
          <w:iCs/>
          <w:szCs w:val="22"/>
          <w:lang w:val="en-US"/>
        </w:rPr>
        <w:t>,</w:t>
      </w:r>
      <w:r w:rsidR="0039134E" w:rsidRPr="0039134E">
        <w:rPr>
          <w:i/>
          <w:iCs/>
          <w:szCs w:val="22"/>
          <w:lang w:val="en-US"/>
        </w:rPr>
        <w:t>980</w:t>
      </w:r>
      <w:r w:rsidR="0039134E">
        <w:rPr>
          <w:i/>
          <w:iCs/>
          <w:szCs w:val="22"/>
          <w:lang w:val="en-US"/>
        </w:rPr>
        <w:t>,</w:t>
      </w:r>
      <w:r w:rsidR="0039134E" w:rsidRPr="0039134E">
        <w:rPr>
          <w:i/>
          <w:iCs/>
          <w:szCs w:val="22"/>
          <w:lang w:val="en-US"/>
        </w:rPr>
        <w:t>900</w:t>
      </w:r>
      <w:r w:rsidRPr="008E348A">
        <w:rPr>
          <w:i/>
          <w:iCs/>
          <w:szCs w:val="22"/>
          <w:lang w:val="en-US"/>
        </w:rPr>
        <w:t xml:space="preserve"> warrants, </w:t>
      </w:r>
      <w:proofErr w:type="gramStart"/>
      <w:r w:rsidRPr="008E348A">
        <w:rPr>
          <w:i/>
          <w:iCs/>
          <w:szCs w:val="22"/>
          <w:lang w:val="en-US"/>
        </w:rPr>
        <w:t>as a result of</w:t>
      </w:r>
      <w:proofErr w:type="gramEnd"/>
      <w:r w:rsidRPr="008E348A">
        <w:rPr>
          <w:i/>
          <w:iCs/>
          <w:szCs w:val="22"/>
          <w:lang w:val="en-US"/>
        </w:rPr>
        <w:t xml:space="preserve"> which the </w:t>
      </w:r>
      <w:r w:rsidR="0039134E">
        <w:rPr>
          <w:i/>
          <w:iCs/>
          <w:szCs w:val="22"/>
          <w:lang w:val="en-US"/>
        </w:rPr>
        <w:t>C</w:t>
      </w:r>
      <w:r w:rsidRPr="008E348A">
        <w:rPr>
          <w:i/>
          <w:iCs/>
          <w:szCs w:val="22"/>
          <w:lang w:val="en-US"/>
        </w:rPr>
        <w:t xml:space="preserve">ompany's share capital may increase by a maximum of SEK </w:t>
      </w:r>
      <w:proofErr w:type="gramStart"/>
      <w:r w:rsidR="0039134E" w:rsidRPr="0039134E">
        <w:rPr>
          <w:i/>
          <w:iCs/>
          <w:szCs w:val="22"/>
          <w:lang w:val="en-US"/>
        </w:rPr>
        <w:t>132</w:t>
      </w:r>
      <w:r w:rsidR="0039134E">
        <w:rPr>
          <w:i/>
          <w:iCs/>
          <w:szCs w:val="22"/>
          <w:lang w:val="en-US"/>
        </w:rPr>
        <w:t>,</w:t>
      </w:r>
      <w:r w:rsidR="0039134E" w:rsidRPr="0039134E">
        <w:rPr>
          <w:i/>
          <w:iCs/>
          <w:szCs w:val="22"/>
          <w:lang w:val="en-US"/>
        </w:rPr>
        <w:t>060</w:t>
      </w:r>
      <w:r w:rsidR="0039134E">
        <w:rPr>
          <w:i/>
          <w:iCs/>
          <w:szCs w:val="22"/>
          <w:lang w:val="en-US"/>
        </w:rPr>
        <w:t>.</w:t>
      </w:r>
      <w:r w:rsidR="0039134E" w:rsidRPr="0039134E">
        <w:rPr>
          <w:i/>
          <w:iCs/>
          <w:szCs w:val="22"/>
          <w:lang w:val="en-US"/>
        </w:rPr>
        <w:t>000092</w:t>
      </w:r>
      <w:r w:rsidRPr="008E348A">
        <w:rPr>
          <w:i/>
          <w:iCs/>
          <w:szCs w:val="22"/>
          <w:lang w:val="en-US"/>
        </w:rPr>
        <w:t>.</w:t>
      </w:r>
      <w:r w:rsidRPr="008E348A">
        <w:rPr>
          <w:bCs/>
          <w:i/>
          <w:iCs/>
          <w:szCs w:val="22"/>
          <w:lang w:val="en-US"/>
        </w:rPr>
        <w:t>The</w:t>
      </w:r>
      <w:proofErr w:type="gramEnd"/>
      <w:r w:rsidRPr="008E348A">
        <w:rPr>
          <w:bCs/>
          <w:i/>
          <w:iCs/>
          <w:szCs w:val="22"/>
          <w:lang w:val="en-US"/>
        </w:rPr>
        <w:t xml:space="preserve"> warrants shall entail the right to subscribe for new </w:t>
      </w:r>
      <w:r w:rsidR="00211621">
        <w:rPr>
          <w:bCs/>
          <w:i/>
          <w:iCs/>
          <w:szCs w:val="22"/>
          <w:lang w:val="en-US"/>
        </w:rPr>
        <w:t xml:space="preserve">class </w:t>
      </w:r>
      <w:r w:rsidRPr="008E348A">
        <w:rPr>
          <w:bCs/>
          <w:i/>
          <w:iCs/>
          <w:szCs w:val="22"/>
          <w:lang w:val="en-US"/>
        </w:rPr>
        <w:t xml:space="preserve">B shares in the </w:t>
      </w:r>
      <w:r w:rsidR="00211621">
        <w:rPr>
          <w:bCs/>
          <w:i/>
          <w:iCs/>
          <w:szCs w:val="22"/>
          <w:lang w:val="en-US"/>
        </w:rPr>
        <w:t>C</w:t>
      </w:r>
      <w:r w:rsidRPr="008E348A">
        <w:rPr>
          <w:bCs/>
          <w:i/>
          <w:iCs/>
          <w:szCs w:val="22"/>
          <w:lang w:val="en-US"/>
        </w:rPr>
        <w:t>ompany.</w:t>
      </w:r>
      <w:bookmarkEnd w:id="43"/>
    </w:p>
    <w:p w14:paraId="7011DBED" w14:textId="77777777" w:rsidR="001A1DEB" w:rsidRPr="008E348A" w:rsidRDefault="001A1DEB" w:rsidP="001A1DEB">
      <w:pPr>
        <w:rPr>
          <w:szCs w:val="22"/>
          <w:lang w:val="en-US"/>
        </w:rPr>
      </w:pPr>
    </w:p>
    <w:p w14:paraId="782F129F" w14:textId="77777777" w:rsidR="001A1DEB" w:rsidRPr="008E348A" w:rsidRDefault="001A1DEB" w:rsidP="001A1DEB">
      <w:pPr>
        <w:rPr>
          <w:szCs w:val="22"/>
        </w:rPr>
      </w:pPr>
      <w:r w:rsidRPr="008E348A">
        <w:rPr>
          <w:szCs w:val="22"/>
        </w:rPr>
        <w:t>För emissionen ska följande villkor gälla:</w:t>
      </w:r>
    </w:p>
    <w:p w14:paraId="40EA63F5" w14:textId="77777777" w:rsidR="001A1DEB" w:rsidRPr="008E348A" w:rsidRDefault="001A1DEB" w:rsidP="001A1DEB">
      <w:pPr>
        <w:autoSpaceDE w:val="0"/>
        <w:autoSpaceDN w:val="0"/>
        <w:adjustRightInd w:val="0"/>
        <w:rPr>
          <w:bCs/>
          <w:i/>
          <w:iCs/>
          <w:szCs w:val="22"/>
          <w:lang w:val="en-US"/>
        </w:rPr>
      </w:pPr>
      <w:bookmarkStart w:id="44" w:name="_Hlk206164500"/>
      <w:r w:rsidRPr="008E348A">
        <w:rPr>
          <w:bCs/>
          <w:i/>
          <w:iCs/>
          <w:szCs w:val="22"/>
          <w:lang w:val="en-US"/>
        </w:rPr>
        <w:t>For the issue, the following conditions shall apply:</w:t>
      </w:r>
    </w:p>
    <w:bookmarkEnd w:id="44"/>
    <w:p w14:paraId="7B099421" w14:textId="77777777" w:rsidR="001A1DEB" w:rsidRPr="008E348A" w:rsidRDefault="001A1DEB" w:rsidP="001A1DEB">
      <w:pPr>
        <w:rPr>
          <w:szCs w:val="22"/>
          <w:lang w:val="en-US"/>
        </w:rPr>
      </w:pPr>
    </w:p>
    <w:p w14:paraId="3984A5EF" w14:textId="77777777" w:rsidR="001A1DEB" w:rsidRPr="008E348A" w:rsidRDefault="001A1DEB" w:rsidP="00F3012E">
      <w:pPr>
        <w:pStyle w:val="ListParagraph"/>
        <w:widowControl w:val="0"/>
        <w:numPr>
          <w:ilvl w:val="0"/>
          <w:numId w:val="36"/>
        </w:numPr>
        <w:ind w:hanging="720"/>
        <w:contextualSpacing w:val="0"/>
        <w:rPr>
          <w:i/>
          <w:iCs/>
          <w:szCs w:val="22"/>
          <w:lang w:val="sv-SE"/>
        </w:rPr>
      </w:pPr>
      <w:bookmarkStart w:id="45" w:name="_Hlk206164518"/>
      <w:r w:rsidRPr="008E348A">
        <w:rPr>
          <w:szCs w:val="22"/>
          <w:lang w:val="sv-SE"/>
        </w:rPr>
        <w:t>Rätt att teckna teckningsoptionerna ska, med avvikelse från aktieägarnas företrädesrätt, tillkomma Bolaget och annat koncernbolag.</w:t>
      </w:r>
    </w:p>
    <w:p w14:paraId="30DE83B0" w14:textId="77777777" w:rsidR="001A1DEB" w:rsidRPr="008E348A" w:rsidRDefault="001A1DEB" w:rsidP="001A1DEB">
      <w:pPr>
        <w:pStyle w:val="ListParagraph"/>
        <w:widowControl w:val="0"/>
        <w:contextualSpacing w:val="0"/>
        <w:rPr>
          <w:i/>
          <w:iCs/>
          <w:szCs w:val="22"/>
          <w:lang w:val="en-US"/>
        </w:rPr>
      </w:pPr>
      <w:r w:rsidRPr="008E348A">
        <w:rPr>
          <w:bCs/>
          <w:i/>
          <w:iCs/>
          <w:szCs w:val="22"/>
          <w:lang w:val="en-US"/>
        </w:rPr>
        <w:t xml:space="preserve">The right to subscribe </w:t>
      </w:r>
      <w:proofErr w:type="gramStart"/>
      <w:r w:rsidRPr="008E348A">
        <w:rPr>
          <w:bCs/>
          <w:i/>
          <w:iCs/>
          <w:szCs w:val="22"/>
          <w:lang w:val="en-US"/>
        </w:rPr>
        <w:t>for</w:t>
      </w:r>
      <w:proofErr w:type="gramEnd"/>
      <w:r w:rsidRPr="008E348A">
        <w:rPr>
          <w:bCs/>
          <w:i/>
          <w:iCs/>
          <w:szCs w:val="22"/>
          <w:lang w:val="en-US"/>
        </w:rPr>
        <w:t xml:space="preserve"> the warrants shall, with deviation from the shareholders' preferential right, accrue to the Company and other group companies.</w:t>
      </w:r>
    </w:p>
    <w:p w14:paraId="636EC3D0" w14:textId="77777777" w:rsidR="001A1DEB" w:rsidRPr="008E348A" w:rsidRDefault="001A1DEB" w:rsidP="001A1DEB">
      <w:pPr>
        <w:pStyle w:val="ListParagraph"/>
        <w:widowControl w:val="0"/>
        <w:contextualSpacing w:val="0"/>
        <w:rPr>
          <w:szCs w:val="22"/>
          <w:lang w:val="en-US"/>
        </w:rPr>
      </w:pPr>
    </w:p>
    <w:p w14:paraId="2B5AEA57" w14:textId="0047E7FF" w:rsidR="001A1DEB" w:rsidRPr="008E348A" w:rsidRDefault="001A1DEB" w:rsidP="00F3012E">
      <w:pPr>
        <w:pStyle w:val="ListParagraph"/>
        <w:widowControl w:val="0"/>
        <w:numPr>
          <w:ilvl w:val="0"/>
          <w:numId w:val="36"/>
        </w:numPr>
        <w:ind w:hanging="720"/>
        <w:contextualSpacing w:val="0"/>
        <w:rPr>
          <w:i/>
          <w:iCs/>
          <w:szCs w:val="22"/>
          <w:lang w:val="sv-SE"/>
        </w:rPr>
      </w:pPr>
      <w:r w:rsidRPr="008E348A">
        <w:rPr>
          <w:szCs w:val="22"/>
          <w:lang w:val="sv-SE"/>
        </w:rPr>
        <w:t xml:space="preserve">Teckningsoptionerna emitteras vederlagsfritt och ska tecknas på särskild teckningslista senast den </w:t>
      </w:r>
      <w:bookmarkStart w:id="46" w:name="_Hlk140755066"/>
      <w:r w:rsidRPr="008E348A">
        <w:rPr>
          <w:iCs/>
          <w:szCs w:val="22"/>
          <w:lang w:val="sv-SE"/>
        </w:rPr>
        <w:t>1 </w:t>
      </w:r>
      <w:r w:rsidR="00211621">
        <w:rPr>
          <w:iCs/>
          <w:szCs w:val="22"/>
          <w:lang w:val="sv-SE"/>
        </w:rPr>
        <w:t>november</w:t>
      </w:r>
      <w:r w:rsidRPr="008E348A">
        <w:rPr>
          <w:iCs/>
          <w:szCs w:val="22"/>
          <w:lang w:val="sv-SE"/>
        </w:rPr>
        <w:t xml:space="preserve"> 202</w:t>
      </w:r>
      <w:bookmarkEnd w:id="46"/>
      <w:r w:rsidR="00211621">
        <w:rPr>
          <w:iCs/>
          <w:szCs w:val="22"/>
          <w:lang w:val="sv-SE"/>
        </w:rPr>
        <w:t>5</w:t>
      </w:r>
      <w:r w:rsidRPr="008E348A">
        <w:rPr>
          <w:szCs w:val="22"/>
          <w:lang w:val="sv-SE"/>
        </w:rPr>
        <w:t>. Styrelsen ska äga rätt att förlänga tiden för teckning.</w:t>
      </w:r>
    </w:p>
    <w:p w14:paraId="59DCD509" w14:textId="69F4576F" w:rsidR="001A1DEB" w:rsidRPr="008E348A" w:rsidRDefault="001A1DEB" w:rsidP="001A1DEB">
      <w:pPr>
        <w:pStyle w:val="ListParagraph"/>
        <w:widowControl w:val="0"/>
        <w:contextualSpacing w:val="0"/>
        <w:rPr>
          <w:i/>
          <w:iCs/>
          <w:szCs w:val="22"/>
          <w:lang w:val="en-US"/>
        </w:rPr>
      </w:pPr>
      <w:r w:rsidRPr="008E348A">
        <w:rPr>
          <w:bCs/>
          <w:i/>
          <w:iCs/>
          <w:szCs w:val="22"/>
          <w:lang w:val="en-US"/>
        </w:rPr>
        <w:t xml:space="preserve">The warrants are issued free of charge and must be subscribed </w:t>
      </w:r>
      <w:proofErr w:type="gramStart"/>
      <w:r w:rsidRPr="008E348A">
        <w:rPr>
          <w:bCs/>
          <w:i/>
          <w:iCs/>
          <w:szCs w:val="22"/>
          <w:lang w:val="en-US"/>
        </w:rPr>
        <w:t>on</w:t>
      </w:r>
      <w:proofErr w:type="gramEnd"/>
      <w:r w:rsidRPr="008E348A">
        <w:rPr>
          <w:bCs/>
          <w:i/>
          <w:iCs/>
          <w:szCs w:val="22"/>
          <w:lang w:val="en-US"/>
        </w:rPr>
        <w:t xml:space="preserve"> a special subscription list no later than on </w:t>
      </w:r>
      <w:r w:rsidRPr="008E348A">
        <w:rPr>
          <w:i/>
          <w:iCs/>
          <w:szCs w:val="22"/>
          <w:lang w:val="en-US"/>
        </w:rPr>
        <w:t>1 </w:t>
      </w:r>
      <w:r w:rsidR="00211621">
        <w:rPr>
          <w:i/>
          <w:iCs/>
          <w:szCs w:val="22"/>
          <w:lang w:val="en-US"/>
        </w:rPr>
        <w:t>November</w:t>
      </w:r>
      <w:r w:rsidRPr="008E348A">
        <w:rPr>
          <w:i/>
          <w:iCs/>
          <w:szCs w:val="22"/>
          <w:lang w:val="en-US"/>
        </w:rPr>
        <w:t xml:space="preserve"> 202</w:t>
      </w:r>
      <w:r w:rsidR="00211621">
        <w:rPr>
          <w:i/>
          <w:iCs/>
          <w:szCs w:val="22"/>
          <w:lang w:val="en-US"/>
        </w:rPr>
        <w:t>5</w:t>
      </w:r>
      <w:r w:rsidRPr="008E348A">
        <w:rPr>
          <w:bCs/>
          <w:i/>
          <w:iCs/>
          <w:szCs w:val="22"/>
          <w:lang w:val="en-US"/>
        </w:rPr>
        <w:t xml:space="preserve">. The </w:t>
      </w:r>
      <w:proofErr w:type="gramStart"/>
      <w:r w:rsidRPr="008E348A">
        <w:rPr>
          <w:bCs/>
          <w:i/>
          <w:iCs/>
          <w:szCs w:val="22"/>
          <w:lang w:val="en-US"/>
        </w:rPr>
        <w:t xml:space="preserve">board </w:t>
      </w:r>
      <w:r w:rsidR="00FD2843">
        <w:rPr>
          <w:bCs/>
          <w:i/>
          <w:iCs/>
          <w:szCs w:val="22"/>
          <w:lang w:val="en-US"/>
        </w:rPr>
        <w:t>shall</w:t>
      </w:r>
      <w:proofErr w:type="gramEnd"/>
      <w:r w:rsidR="00FD2843">
        <w:rPr>
          <w:bCs/>
          <w:i/>
          <w:iCs/>
          <w:szCs w:val="22"/>
          <w:lang w:val="en-US"/>
        </w:rPr>
        <w:t xml:space="preserve"> have</w:t>
      </w:r>
      <w:r w:rsidRPr="008E348A">
        <w:rPr>
          <w:bCs/>
          <w:i/>
          <w:iCs/>
          <w:szCs w:val="22"/>
          <w:lang w:val="en-US"/>
        </w:rPr>
        <w:t xml:space="preserve"> the right to extend the subscription period.</w:t>
      </w:r>
      <w:r w:rsidRPr="008E348A">
        <w:rPr>
          <w:i/>
          <w:iCs/>
          <w:szCs w:val="22"/>
          <w:lang w:val="en-US"/>
        </w:rPr>
        <w:t xml:space="preserve"> </w:t>
      </w:r>
    </w:p>
    <w:p w14:paraId="07E59469" w14:textId="77777777" w:rsidR="001A1DEB" w:rsidRPr="008E348A" w:rsidRDefault="001A1DEB" w:rsidP="001A1DEB">
      <w:pPr>
        <w:pStyle w:val="ListParagraph"/>
        <w:widowControl w:val="0"/>
        <w:contextualSpacing w:val="0"/>
        <w:rPr>
          <w:szCs w:val="22"/>
          <w:lang w:val="en-US"/>
        </w:rPr>
      </w:pPr>
    </w:p>
    <w:p w14:paraId="0D7B4754" w14:textId="63A3EB72" w:rsidR="001A1DEB" w:rsidRPr="008E348A" w:rsidRDefault="001A1DEB" w:rsidP="00F3012E">
      <w:pPr>
        <w:pStyle w:val="ListParagraph"/>
        <w:widowControl w:val="0"/>
        <w:numPr>
          <w:ilvl w:val="0"/>
          <w:numId w:val="36"/>
        </w:numPr>
        <w:ind w:hanging="720"/>
        <w:contextualSpacing w:val="0"/>
        <w:rPr>
          <w:i/>
          <w:iCs/>
          <w:szCs w:val="22"/>
          <w:lang w:val="sv-SE"/>
        </w:rPr>
      </w:pPr>
      <w:r w:rsidRPr="008E348A">
        <w:rPr>
          <w:szCs w:val="22"/>
          <w:lang w:val="sv-SE"/>
        </w:rPr>
        <w:t xml:space="preserve">Varje teckningsoption berättigar till teckning av en ny B-aktie i Bolaget under perioden från och med registrering hos Bolagsverket till och med den </w:t>
      </w:r>
      <w:bookmarkStart w:id="47" w:name="_Hlk140755080"/>
      <w:r w:rsidR="00211621">
        <w:rPr>
          <w:iCs/>
          <w:szCs w:val="22"/>
          <w:lang w:val="sv-SE"/>
        </w:rPr>
        <w:t>30</w:t>
      </w:r>
      <w:r w:rsidRPr="008E348A">
        <w:rPr>
          <w:iCs/>
          <w:szCs w:val="22"/>
          <w:lang w:val="sv-SE"/>
        </w:rPr>
        <w:t xml:space="preserve"> november 202</w:t>
      </w:r>
      <w:bookmarkEnd w:id="47"/>
      <w:r w:rsidR="00211621">
        <w:rPr>
          <w:iCs/>
          <w:szCs w:val="22"/>
          <w:lang w:val="sv-SE"/>
        </w:rPr>
        <w:t>8</w:t>
      </w:r>
      <w:r w:rsidRPr="008E348A">
        <w:rPr>
          <w:szCs w:val="22"/>
          <w:lang w:val="sv-SE"/>
        </w:rPr>
        <w:t xml:space="preserve"> eller den tidigare dag som följer av villkoren för teckningsoptionerna. Styrelsen ska äga rätt att förlänga tiden för aktieteckning för det fall att deltagare är förhindrade att teckna aktier i slutet av teckningsperioden på grund av EU:s marknadsmissbruksförordning.</w:t>
      </w:r>
    </w:p>
    <w:p w14:paraId="4D6C2A6C" w14:textId="26EE0986" w:rsidR="001A1DEB" w:rsidRPr="008E348A" w:rsidRDefault="001A1DEB" w:rsidP="001A1DEB">
      <w:pPr>
        <w:pStyle w:val="ListParagraph"/>
        <w:widowControl w:val="0"/>
        <w:contextualSpacing w:val="0"/>
        <w:rPr>
          <w:i/>
          <w:iCs/>
          <w:szCs w:val="22"/>
          <w:lang w:val="en-US"/>
        </w:rPr>
      </w:pPr>
      <w:r w:rsidRPr="008E348A">
        <w:rPr>
          <w:bCs/>
          <w:i/>
          <w:iCs/>
          <w:szCs w:val="22"/>
          <w:lang w:val="en-US"/>
        </w:rPr>
        <w:t xml:space="preserve">Each warrant entitles the holder to subscribe for one new class B share in the Company during the period from registration with the Swedish Companies Registration Office up to and including </w:t>
      </w:r>
      <w:r w:rsidR="00211621">
        <w:rPr>
          <w:i/>
          <w:iCs/>
          <w:szCs w:val="22"/>
          <w:lang w:val="en-US"/>
        </w:rPr>
        <w:t>30</w:t>
      </w:r>
      <w:r w:rsidRPr="008E348A">
        <w:rPr>
          <w:i/>
          <w:iCs/>
          <w:szCs w:val="22"/>
          <w:lang w:val="en-US"/>
        </w:rPr>
        <w:t> November 202</w:t>
      </w:r>
      <w:r w:rsidR="00211621">
        <w:rPr>
          <w:i/>
          <w:iCs/>
          <w:szCs w:val="22"/>
          <w:lang w:val="en-US"/>
        </w:rPr>
        <w:t>8</w:t>
      </w:r>
      <w:r w:rsidRPr="008E348A">
        <w:rPr>
          <w:bCs/>
          <w:i/>
          <w:iCs/>
          <w:szCs w:val="22"/>
          <w:lang w:val="en-US"/>
        </w:rPr>
        <w:t xml:space="preserve">, or the earlier day that follows from the terms of the warrants. The board </w:t>
      </w:r>
      <w:r w:rsidR="00FD2843">
        <w:rPr>
          <w:bCs/>
          <w:i/>
          <w:iCs/>
          <w:szCs w:val="22"/>
          <w:lang w:val="en-US"/>
        </w:rPr>
        <w:t xml:space="preserve">shall </w:t>
      </w:r>
      <w:r w:rsidRPr="008E348A">
        <w:rPr>
          <w:bCs/>
          <w:i/>
          <w:iCs/>
          <w:szCs w:val="22"/>
          <w:lang w:val="en-US"/>
        </w:rPr>
        <w:t xml:space="preserve">have the right to </w:t>
      </w:r>
      <w:r w:rsidRPr="008E348A">
        <w:rPr>
          <w:i/>
          <w:iCs/>
          <w:szCs w:val="22"/>
          <w:lang w:val="en-US"/>
        </w:rPr>
        <w:t>extend</w:t>
      </w:r>
      <w:r w:rsidRPr="008E348A">
        <w:rPr>
          <w:bCs/>
          <w:i/>
          <w:iCs/>
          <w:szCs w:val="22"/>
          <w:lang w:val="en-US"/>
        </w:rPr>
        <w:t xml:space="preserve"> the time for share subscription if participants are prevented from subscribing for shares at the end of the subscription period due to the EU's Market Abuse Regulation.</w:t>
      </w:r>
    </w:p>
    <w:p w14:paraId="49A440F5" w14:textId="77777777" w:rsidR="001A1DEB" w:rsidRPr="008E348A" w:rsidRDefault="001A1DEB" w:rsidP="001A1DEB">
      <w:pPr>
        <w:pStyle w:val="ListParagraph"/>
        <w:widowControl w:val="0"/>
        <w:contextualSpacing w:val="0"/>
        <w:rPr>
          <w:szCs w:val="22"/>
          <w:lang w:val="en-US"/>
        </w:rPr>
      </w:pPr>
    </w:p>
    <w:p w14:paraId="3D5CDB09" w14:textId="77777777" w:rsidR="001A1DEB" w:rsidRPr="008E348A" w:rsidRDefault="001A1DEB" w:rsidP="00F3012E">
      <w:pPr>
        <w:pStyle w:val="ListParagraph"/>
        <w:widowControl w:val="0"/>
        <w:numPr>
          <w:ilvl w:val="0"/>
          <w:numId w:val="36"/>
        </w:numPr>
        <w:ind w:hanging="720"/>
        <w:contextualSpacing w:val="0"/>
        <w:rPr>
          <w:i/>
          <w:iCs/>
          <w:szCs w:val="22"/>
          <w:lang w:val="sv-SE"/>
        </w:rPr>
      </w:pPr>
      <w:r w:rsidRPr="008E348A">
        <w:rPr>
          <w:szCs w:val="22"/>
          <w:lang w:val="sv-SE"/>
        </w:rPr>
        <w:t>Varje teckningsoption ger rätt att teckna en ny B-aktie i Bolaget mot kontant betalning enligt en teckningskurs som motsvarar aktiens kvotvärde.</w:t>
      </w:r>
    </w:p>
    <w:p w14:paraId="2E4BAE8E" w14:textId="7839AE8F" w:rsidR="001A1DEB" w:rsidRPr="008E348A" w:rsidRDefault="001A1DEB" w:rsidP="001A1DEB">
      <w:pPr>
        <w:pStyle w:val="ListParagraph"/>
        <w:widowControl w:val="0"/>
        <w:contextualSpacing w:val="0"/>
        <w:rPr>
          <w:i/>
          <w:iCs/>
          <w:szCs w:val="22"/>
          <w:lang w:val="en-US"/>
        </w:rPr>
      </w:pPr>
      <w:r w:rsidRPr="008E348A">
        <w:rPr>
          <w:bCs/>
          <w:i/>
          <w:iCs/>
          <w:szCs w:val="22"/>
          <w:lang w:val="en-US"/>
        </w:rPr>
        <w:t xml:space="preserve">Each warrant gives the right to subscribe for </w:t>
      </w:r>
      <w:r w:rsidR="003C343D">
        <w:rPr>
          <w:bCs/>
          <w:i/>
          <w:iCs/>
          <w:szCs w:val="22"/>
          <w:lang w:val="en-US"/>
        </w:rPr>
        <w:t>one</w:t>
      </w:r>
      <w:r w:rsidR="003C343D" w:rsidRPr="008E348A">
        <w:rPr>
          <w:bCs/>
          <w:i/>
          <w:iCs/>
          <w:szCs w:val="22"/>
          <w:lang w:val="en-US"/>
        </w:rPr>
        <w:t xml:space="preserve"> new </w:t>
      </w:r>
      <w:r w:rsidR="003C343D">
        <w:rPr>
          <w:bCs/>
          <w:i/>
          <w:iCs/>
          <w:szCs w:val="22"/>
          <w:lang w:val="en-US"/>
        </w:rPr>
        <w:t xml:space="preserve">class </w:t>
      </w:r>
      <w:r w:rsidR="003C343D" w:rsidRPr="008E348A">
        <w:rPr>
          <w:bCs/>
          <w:i/>
          <w:iCs/>
          <w:szCs w:val="22"/>
          <w:lang w:val="en-US"/>
        </w:rPr>
        <w:t>B share</w:t>
      </w:r>
      <w:r w:rsidRPr="008E348A">
        <w:rPr>
          <w:bCs/>
          <w:i/>
          <w:iCs/>
          <w:szCs w:val="22"/>
          <w:lang w:val="en-US"/>
        </w:rPr>
        <w:t xml:space="preserve"> in the Company against cash payment according to a subscription price that corresponds to the share's quota value.</w:t>
      </w:r>
    </w:p>
    <w:p w14:paraId="28743F99" w14:textId="77777777" w:rsidR="001A1DEB" w:rsidRPr="008E348A" w:rsidRDefault="001A1DEB" w:rsidP="001A1DEB">
      <w:pPr>
        <w:pStyle w:val="ListParagraph"/>
        <w:widowControl w:val="0"/>
        <w:contextualSpacing w:val="0"/>
        <w:rPr>
          <w:szCs w:val="22"/>
          <w:lang w:val="en-US"/>
        </w:rPr>
      </w:pPr>
    </w:p>
    <w:p w14:paraId="0EB8AB66" w14:textId="77777777" w:rsidR="001A1DEB" w:rsidRPr="008E348A" w:rsidRDefault="001A1DEB" w:rsidP="00F3012E">
      <w:pPr>
        <w:pStyle w:val="ListParagraph"/>
        <w:widowControl w:val="0"/>
        <w:numPr>
          <w:ilvl w:val="0"/>
          <w:numId w:val="36"/>
        </w:numPr>
        <w:ind w:hanging="720"/>
        <w:contextualSpacing w:val="0"/>
        <w:rPr>
          <w:szCs w:val="22"/>
          <w:lang w:val="sv-SE"/>
        </w:rPr>
      </w:pPr>
      <w:r w:rsidRPr="008E348A">
        <w:rPr>
          <w:szCs w:val="22"/>
          <w:lang w:val="sv-SE"/>
        </w:rPr>
        <w:t xml:space="preserve">Ny aktie som tecknats genom utnyttjande av teckningsoption medför rätt till vinstutdelning första gången på den avstämningsdag för utdelning som infaller närmast efter det att de nya </w:t>
      </w:r>
      <w:r w:rsidRPr="008E348A">
        <w:rPr>
          <w:szCs w:val="22"/>
          <w:lang w:val="sv-SE"/>
        </w:rPr>
        <w:lastRenderedPageBreak/>
        <w:t>aktierna registrerats vid Bolagsverket och aktierna införts i den av Euroclear Sweden AB förda aktieboken.</w:t>
      </w:r>
    </w:p>
    <w:p w14:paraId="5D942139" w14:textId="77777777" w:rsidR="001A1DEB" w:rsidRPr="008E348A" w:rsidRDefault="001A1DEB" w:rsidP="001A1DEB">
      <w:pPr>
        <w:pStyle w:val="ListParagraph"/>
        <w:widowControl w:val="0"/>
        <w:contextualSpacing w:val="0"/>
        <w:rPr>
          <w:i/>
          <w:iCs/>
          <w:szCs w:val="22"/>
          <w:lang w:val="en-US"/>
        </w:rPr>
      </w:pPr>
      <w:r w:rsidRPr="008E348A">
        <w:rPr>
          <w:bCs/>
          <w:i/>
          <w:iCs/>
          <w:szCs w:val="22"/>
          <w:lang w:val="en-US"/>
        </w:rPr>
        <w:t>A new share subscribed for by exercising a warrant carries the right to a dividend for the first time on the record date for the dividend that falls closest after the new shares have been registered with the Swedish Companies Registration Office and the shares have been entered in the share register maintained by Euroclear Sweden AB.</w:t>
      </w:r>
    </w:p>
    <w:p w14:paraId="16CB7841" w14:textId="77777777" w:rsidR="001A1DEB" w:rsidRPr="008E348A" w:rsidRDefault="001A1DEB" w:rsidP="001A1DEB">
      <w:pPr>
        <w:pStyle w:val="ListParagraph"/>
        <w:widowControl w:val="0"/>
        <w:contextualSpacing w:val="0"/>
        <w:rPr>
          <w:szCs w:val="22"/>
          <w:lang w:val="en-US"/>
        </w:rPr>
      </w:pPr>
    </w:p>
    <w:p w14:paraId="16D10259" w14:textId="2A6BE62F" w:rsidR="001A1DEB" w:rsidRPr="008E348A" w:rsidRDefault="001A1DEB" w:rsidP="00F3012E">
      <w:pPr>
        <w:pStyle w:val="ListParagraph"/>
        <w:widowControl w:val="0"/>
        <w:numPr>
          <w:ilvl w:val="0"/>
          <w:numId w:val="36"/>
        </w:numPr>
        <w:ind w:hanging="720"/>
        <w:contextualSpacing w:val="0"/>
        <w:rPr>
          <w:szCs w:val="22"/>
          <w:lang w:val="sv-SE"/>
        </w:rPr>
      </w:pPr>
      <w:r w:rsidRPr="008E348A">
        <w:rPr>
          <w:szCs w:val="22"/>
          <w:lang w:val="sv-SE"/>
        </w:rPr>
        <w:t xml:space="preserve">Syftet med emissionen och avvikelsen från aktieägarnas företrädesrätt är att inom ramen för Prestationsaktieprogram </w:t>
      </w:r>
      <w:r w:rsidR="00C26F7D">
        <w:rPr>
          <w:szCs w:val="22"/>
          <w:lang w:val="sv-SE"/>
        </w:rPr>
        <w:t>2025/2028:2</w:t>
      </w:r>
      <w:r w:rsidRPr="008E348A">
        <w:rPr>
          <w:szCs w:val="22"/>
          <w:lang w:val="sv-SE"/>
        </w:rPr>
        <w:t xml:space="preserve"> säkerställa leverans av aktier till deltagare i programmet.</w:t>
      </w:r>
    </w:p>
    <w:p w14:paraId="6B53D4AA" w14:textId="745788BE" w:rsidR="001A1DEB" w:rsidRPr="008E348A" w:rsidRDefault="001A1DEB" w:rsidP="001A1DEB">
      <w:pPr>
        <w:pStyle w:val="ListParagraph"/>
        <w:widowControl w:val="0"/>
        <w:contextualSpacing w:val="0"/>
        <w:rPr>
          <w:szCs w:val="22"/>
          <w:lang w:val="en-US"/>
        </w:rPr>
      </w:pPr>
      <w:r w:rsidRPr="008E348A">
        <w:rPr>
          <w:bCs/>
          <w:i/>
          <w:iCs/>
          <w:szCs w:val="22"/>
          <w:lang w:val="en-US"/>
        </w:rPr>
        <w:t xml:space="preserve">The purpose of the issue and the deviation from the shareholders' preferential right is to ensure delivery of shares to participants in the program within the framework of the Performance Share Program </w:t>
      </w:r>
      <w:r w:rsidR="00C26F7D">
        <w:rPr>
          <w:bCs/>
          <w:i/>
          <w:iCs/>
          <w:szCs w:val="22"/>
          <w:lang w:val="en-US"/>
        </w:rPr>
        <w:t>2025/2028:2</w:t>
      </w:r>
      <w:r w:rsidRPr="008E348A">
        <w:rPr>
          <w:bCs/>
          <w:i/>
          <w:iCs/>
          <w:szCs w:val="22"/>
          <w:lang w:val="en-US"/>
        </w:rPr>
        <w:t>.</w:t>
      </w:r>
    </w:p>
    <w:p w14:paraId="0A1270C7" w14:textId="77777777" w:rsidR="001A1DEB" w:rsidRPr="008E348A" w:rsidRDefault="001A1DEB" w:rsidP="001A1DEB">
      <w:pPr>
        <w:pStyle w:val="ListParagraph"/>
        <w:widowControl w:val="0"/>
        <w:contextualSpacing w:val="0"/>
        <w:rPr>
          <w:szCs w:val="22"/>
          <w:lang w:val="en-US"/>
        </w:rPr>
      </w:pPr>
    </w:p>
    <w:p w14:paraId="007D2EE1" w14:textId="77777777" w:rsidR="001A1DEB" w:rsidRPr="008E348A" w:rsidRDefault="001A1DEB" w:rsidP="00F3012E">
      <w:pPr>
        <w:pStyle w:val="ListParagraph"/>
        <w:widowControl w:val="0"/>
        <w:numPr>
          <w:ilvl w:val="0"/>
          <w:numId w:val="36"/>
        </w:numPr>
        <w:ind w:hanging="720"/>
        <w:contextualSpacing w:val="0"/>
        <w:rPr>
          <w:szCs w:val="22"/>
          <w:lang w:val="sv-SE"/>
        </w:rPr>
      </w:pPr>
      <w:r w:rsidRPr="008E348A">
        <w:rPr>
          <w:szCs w:val="22"/>
          <w:lang w:val="sv-SE"/>
        </w:rPr>
        <w:t xml:space="preserve">De fullständiga villkoren för teckningsoptionerna framgår av </w:t>
      </w:r>
      <w:r w:rsidRPr="008E348A">
        <w:rPr>
          <w:szCs w:val="22"/>
          <w:u w:val="single"/>
          <w:lang w:val="sv-SE"/>
        </w:rPr>
        <w:t>Bilaga 4c</w:t>
      </w:r>
      <w:r w:rsidRPr="008E348A">
        <w:rPr>
          <w:szCs w:val="22"/>
          <w:lang w:val="sv-SE"/>
        </w:rPr>
        <w:t xml:space="preserve"> som bland annat innebär att teckningskursen liksom antalet aktier som teckningsoption berättigar till teckning av komma att omräknas i vissa fall.</w:t>
      </w:r>
    </w:p>
    <w:p w14:paraId="5D7C2422" w14:textId="53FFC2E6" w:rsidR="001A1DEB" w:rsidRPr="008E348A" w:rsidRDefault="001A1DEB" w:rsidP="001A1DEB">
      <w:pPr>
        <w:pStyle w:val="ListParagraph"/>
        <w:widowControl w:val="0"/>
        <w:contextualSpacing w:val="0"/>
        <w:rPr>
          <w:szCs w:val="22"/>
          <w:lang w:val="en-US"/>
        </w:rPr>
      </w:pPr>
      <w:r w:rsidRPr="008E348A">
        <w:rPr>
          <w:bCs/>
          <w:i/>
          <w:iCs/>
          <w:szCs w:val="22"/>
          <w:lang w:val="en-US"/>
        </w:rPr>
        <w:t xml:space="preserve">The full terms and conditions for the warrants are available in </w:t>
      </w:r>
      <w:r w:rsidRPr="008E348A">
        <w:rPr>
          <w:bCs/>
          <w:i/>
          <w:iCs/>
          <w:szCs w:val="22"/>
          <w:u w:val="single"/>
          <w:lang w:val="en-US"/>
        </w:rPr>
        <w:t>Exhibit 4c</w:t>
      </w:r>
      <w:r w:rsidRPr="008E348A">
        <w:rPr>
          <w:bCs/>
          <w:i/>
          <w:iCs/>
          <w:szCs w:val="22"/>
          <w:lang w:val="en-US"/>
        </w:rPr>
        <w:t xml:space="preserve"> </w:t>
      </w:r>
      <w:r w:rsidR="003C343D" w:rsidRPr="008E348A">
        <w:rPr>
          <w:bCs/>
          <w:i/>
          <w:iCs/>
          <w:szCs w:val="22"/>
          <w:lang w:val="en-US"/>
        </w:rPr>
        <w:t>including</w:t>
      </w:r>
      <w:r w:rsidR="003C343D">
        <w:rPr>
          <w:bCs/>
          <w:i/>
          <w:iCs/>
          <w:szCs w:val="22"/>
          <w:lang w:val="en-US"/>
        </w:rPr>
        <w:t xml:space="preserve"> </w:t>
      </w:r>
      <w:r w:rsidR="003C343D" w:rsidRPr="008E348A">
        <w:rPr>
          <w:bCs/>
          <w:i/>
          <w:iCs/>
          <w:szCs w:val="22"/>
          <w:lang w:val="en-US"/>
        </w:rPr>
        <w:t>conditions regarding re-calculation, in certain cases, of the subscription price and the number of shares that the warrant entitles to</w:t>
      </w:r>
      <w:r w:rsidRPr="008E348A">
        <w:rPr>
          <w:bCs/>
          <w:i/>
          <w:iCs/>
          <w:szCs w:val="22"/>
          <w:lang w:val="en-US"/>
        </w:rPr>
        <w:t>.</w:t>
      </w:r>
    </w:p>
    <w:p w14:paraId="7E83279B" w14:textId="77777777" w:rsidR="001A1DEB" w:rsidRPr="008E348A" w:rsidRDefault="001A1DEB" w:rsidP="001A1DEB">
      <w:pPr>
        <w:pStyle w:val="ListParagraph"/>
        <w:widowControl w:val="0"/>
        <w:contextualSpacing w:val="0"/>
        <w:rPr>
          <w:szCs w:val="22"/>
          <w:lang w:val="en-US"/>
        </w:rPr>
      </w:pPr>
    </w:p>
    <w:p w14:paraId="08936943" w14:textId="77777777" w:rsidR="001A1DEB" w:rsidRPr="008E348A" w:rsidRDefault="001A1DEB" w:rsidP="00F3012E">
      <w:pPr>
        <w:pStyle w:val="ListParagraph"/>
        <w:widowControl w:val="0"/>
        <w:numPr>
          <w:ilvl w:val="0"/>
          <w:numId w:val="36"/>
        </w:numPr>
        <w:ind w:hanging="720"/>
        <w:contextualSpacing w:val="0"/>
        <w:rPr>
          <w:szCs w:val="22"/>
          <w:lang w:val="sv-SE"/>
        </w:rPr>
      </w:pPr>
      <w:r w:rsidRPr="008E348A">
        <w:rPr>
          <w:szCs w:val="22"/>
          <w:lang w:val="sv-SE"/>
        </w:rPr>
        <w:t>Styrelsen eller den styrelsen förordnar ska ha rätt att vidta de smärre justeringar i beslutet som kan visas erforderliga i samband med registrering av beslutet hos Bolagsverket och eventuellt Euroclear Sweden AB.</w:t>
      </w:r>
    </w:p>
    <w:p w14:paraId="1A39DDDF" w14:textId="77777777" w:rsidR="001A1DEB" w:rsidRPr="008E348A" w:rsidRDefault="001A1DEB" w:rsidP="001A1DEB">
      <w:pPr>
        <w:pStyle w:val="ListParagraph"/>
        <w:widowControl w:val="0"/>
        <w:contextualSpacing w:val="0"/>
        <w:rPr>
          <w:szCs w:val="22"/>
          <w:lang w:val="en-US"/>
        </w:rPr>
      </w:pPr>
      <w:r w:rsidRPr="008E348A">
        <w:rPr>
          <w:bCs/>
          <w:i/>
          <w:iCs/>
          <w:szCs w:val="22"/>
          <w:lang w:val="en-US"/>
        </w:rPr>
        <w:t>The board of directors, or the person that the board of directors may appoint, shall be authorized to make minor adjustment necessary in connection with the registration of the resolution with the Swedish Companies Registration Office or, where applicable, Euroclear Sweden AB.</w:t>
      </w:r>
    </w:p>
    <w:p w14:paraId="39018622" w14:textId="77777777" w:rsidR="001A1DEB" w:rsidRPr="008E348A" w:rsidRDefault="001A1DEB" w:rsidP="001A1DEB">
      <w:pPr>
        <w:pStyle w:val="ListParagraph"/>
        <w:widowControl w:val="0"/>
        <w:contextualSpacing w:val="0"/>
        <w:rPr>
          <w:szCs w:val="22"/>
          <w:lang w:val="en-US"/>
        </w:rPr>
      </w:pPr>
    </w:p>
    <w:p w14:paraId="0A83A331" w14:textId="7AA978F0" w:rsidR="001A1DEB" w:rsidRPr="008E348A" w:rsidRDefault="001A1DEB" w:rsidP="00F3012E">
      <w:pPr>
        <w:pStyle w:val="ListParagraph"/>
        <w:widowControl w:val="0"/>
        <w:numPr>
          <w:ilvl w:val="0"/>
          <w:numId w:val="36"/>
        </w:numPr>
        <w:ind w:hanging="720"/>
        <w:contextualSpacing w:val="0"/>
        <w:rPr>
          <w:szCs w:val="22"/>
          <w:lang w:val="sv-SE"/>
        </w:rPr>
      </w:pPr>
      <w:r w:rsidRPr="008E348A">
        <w:rPr>
          <w:szCs w:val="22"/>
          <w:lang w:val="sv-SE"/>
        </w:rPr>
        <w:t xml:space="preserve">Styrelsen föreslår vidare att bolagsstämman ska besluta om att godkänna att Bolaget eller annat koncernbolag får överlåta teckningsoptioner till deltagare i Prestationsaktieprogram </w:t>
      </w:r>
      <w:r w:rsidR="00C26F7D">
        <w:rPr>
          <w:szCs w:val="22"/>
          <w:lang w:val="sv-SE"/>
        </w:rPr>
        <w:t>2025/2028:2</w:t>
      </w:r>
      <w:r w:rsidRPr="008E348A">
        <w:rPr>
          <w:szCs w:val="22"/>
          <w:lang w:val="sv-SE"/>
        </w:rPr>
        <w:t xml:space="preserve"> utan vederlag i samband med att Prestationsaktier utnyttjas i enlighet med villkoren enligt </w:t>
      </w:r>
      <w:r w:rsidRPr="008E348A">
        <w:rPr>
          <w:szCs w:val="22"/>
          <w:u w:val="single"/>
          <w:lang w:val="sv-SE"/>
        </w:rPr>
        <w:t xml:space="preserve">Bilaga 4a </w:t>
      </w:r>
      <w:r w:rsidRPr="008E348A">
        <w:rPr>
          <w:szCs w:val="22"/>
          <w:lang w:val="sv-SE"/>
        </w:rPr>
        <w:t xml:space="preserve">eller på annat sätt förfoga över teckningsoptionerna för att säkerställa Bolagets åtaganden i anledning av Prestationsaktieprogram </w:t>
      </w:r>
      <w:r w:rsidR="00C26F7D">
        <w:rPr>
          <w:szCs w:val="22"/>
          <w:lang w:val="sv-SE"/>
        </w:rPr>
        <w:t>2025/2028:2</w:t>
      </w:r>
      <w:r w:rsidRPr="008E348A">
        <w:rPr>
          <w:szCs w:val="22"/>
          <w:lang w:val="sv-SE"/>
        </w:rPr>
        <w:t>.</w:t>
      </w:r>
    </w:p>
    <w:p w14:paraId="7718444C" w14:textId="4423C7DD" w:rsidR="001A1DEB" w:rsidRPr="008E348A" w:rsidRDefault="001A1DEB" w:rsidP="001A1DEB">
      <w:pPr>
        <w:pStyle w:val="ListParagraph"/>
        <w:widowControl w:val="0"/>
        <w:contextualSpacing w:val="0"/>
        <w:rPr>
          <w:szCs w:val="22"/>
          <w:lang w:val="en-US"/>
        </w:rPr>
      </w:pPr>
      <w:r w:rsidRPr="008E348A">
        <w:rPr>
          <w:bCs/>
          <w:i/>
          <w:iCs/>
          <w:szCs w:val="22"/>
          <w:lang w:val="en-US"/>
        </w:rPr>
        <w:t xml:space="preserve">The board of directors further proposes that the </w:t>
      </w:r>
      <w:r w:rsidR="00EA349E">
        <w:rPr>
          <w:bCs/>
          <w:i/>
          <w:iCs/>
          <w:szCs w:val="22"/>
          <w:lang w:val="en-US"/>
        </w:rPr>
        <w:t>annual general</w:t>
      </w:r>
      <w:r w:rsidRPr="008E348A">
        <w:rPr>
          <w:bCs/>
          <w:i/>
          <w:iCs/>
          <w:szCs w:val="22"/>
          <w:lang w:val="en-US"/>
        </w:rPr>
        <w:t xml:space="preserve"> meeting resolves to approve that the Company or another group company may transfer warrants to participants in the Performance Share Program </w:t>
      </w:r>
      <w:r w:rsidR="00C26F7D">
        <w:rPr>
          <w:bCs/>
          <w:i/>
          <w:iCs/>
          <w:szCs w:val="22"/>
          <w:lang w:val="en-US"/>
        </w:rPr>
        <w:t>2025/2028:2</w:t>
      </w:r>
      <w:r w:rsidRPr="008E348A">
        <w:rPr>
          <w:bCs/>
          <w:i/>
          <w:iCs/>
          <w:szCs w:val="22"/>
          <w:lang w:val="en-US"/>
        </w:rPr>
        <w:t xml:space="preserve"> free of charge in connection with the exercise of Performance Shares in accordance with the conditions in </w:t>
      </w:r>
      <w:r w:rsidRPr="008E348A">
        <w:rPr>
          <w:bCs/>
          <w:i/>
          <w:iCs/>
          <w:szCs w:val="22"/>
          <w:u w:val="single"/>
          <w:lang w:val="en-US"/>
        </w:rPr>
        <w:t>Exhibit 4a</w:t>
      </w:r>
      <w:r w:rsidRPr="008E348A">
        <w:rPr>
          <w:bCs/>
          <w:i/>
          <w:iCs/>
          <w:szCs w:val="22"/>
          <w:lang w:val="en-US"/>
        </w:rPr>
        <w:t xml:space="preserve"> or otherwise dispose of the warrants to secure the Company's commitments due to the Performance Share Program </w:t>
      </w:r>
      <w:r w:rsidR="00C26F7D">
        <w:rPr>
          <w:bCs/>
          <w:i/>
          <w:iCs/>
          <w:szCs w:val="22"/>
          <w:lang w:val="en-US"/>
        </w:rPr>
        <w:t>2025/2028:2</w:t>
      </w:r>
      <w:r w:rsidRPr="008E348A">
        <w:rPr>
          <w:bCs/>
          <w:i/>
          <w:iCs/>
          <w:szCs w:val="22"/>
          <w:lang w:val="en-US"/>
        </w:rPr>
        <w:t>.</w:t>
      </w:r>
    </w:p>
    <w:p w14:paraId="79010BF8" w14:textId="77777777" w:rsidR="001A1DEB" w:rsidRPr="008E348A" w:rsidRDefault="001A1DEB" w:rsidP="001A1DEB">
      <w:pPr>
        <w:pStyle w:val="ListParagraph"/>
        <w:widowControl w:val="0"/>
        <w:contextualSpacing w:val="0"/>
        <w:rPr>
          <w:szCs w:val="22"/>
          <w:lang w:val="en-US"/>
        </w:rPr>
      </w:pPr>
    </w:p>
    <w:p w14:paraId="38352CBE" w14:textId="3021199A" w:rsidR="001A1DEB" w:rsidRPr="008E348A" w:rsidRDefault="001A1DEB" w:rsidP="00F3012E">
      <w:pPr>
        <w:pStyle w:val="ListParagraph"/>
        <w:widowControl w:val="0"/>
        <w:numPr>
          <w:ilvl w:val="0"/>
          <w:numId w:val="36"/>
        </w:numPr>
        <w:ind w:hanging="720"/>
        <w:contextualSpacing w:val="0"/>
        <w:rPr>
          <w:szCs w:val="22"/>
          <w:lang w:val="sv-SE"/>
        </w:rPr>
      </w:pPr>
      <w:r w:rsidRPr="008E348A">
        <w:rPr>
          <w:szCs w:val="22"/>
          <w:lang w:val="sv-SE"/>
        </w:rPr>
        <w:t xml:space="preserve">Styrelsen ska inte äga rätt att förfoga över teckningsoptionerna för något annat ändamål än för att säkerställa Bolagets åtaganden i anledning av Prestationsaktieprogram </w:t>
      </w:r>
      <w:r w:rsidR="00C26F7D">
        <w:rPr>
          <w:szCs w:val="22"/>
          <w:lang w:val="sv-SE"/>
        </w:rPr>
        <w:t>2025/2028:2</w:t>
      </w:r>
      <w:r w:rsidRPr="008E348A">
        <w:rPr>
          <w:szCs w:val="22"/>
          <w:lang w:val="sv-SE"/>
        </w:rPr>
        <w:t>.</w:t>
      </w:r>
    </w:p>
    <w:p w14:paraId="6B025468" w14:textId="2959B2EA" w:rsidR="001A1DEB" w:rsidRPr="008E348A" w:rsidRDefault="001A1DEB" w:rsidP="001A1DEB">
      <w:pPr>
        <w:pStyle w:val="ListParagraph"/>
        <w:widowControl w:val="0"/>
        <w:contextualSpacing w:val="0"/>
        <w:rPr>
          <w:bCs/>
          <w:i/>
          <w:iCs/>
          <w:szCs w:val="22"/>
          <w:lang w:val="en-US"/>
        </w:rPr>
      </w:pPr>
      <w:r w:rsidRPr="008E348A">
        <w:rPr>
          <w:bCs/>
          <w:i/>
          <w:iCs/>
          <w:szCs w:val="22"/>
          <w:lang w:val="en-US"/>
        </w:rPr>
        <w:t xml:space="preserve">The board of directors shall not have the right to </w:t>
      </w:r>
      <w:proofErr w:type="gramStart"/>
      <w:r w:rsidRPr="008E348A">
        <w:rPr>
          <w:bCs/>
          <w:i/>
          <w:iCs/>
          <w:szCs w:val="22"/>
          <w:lang w:val="en-US"/>
        </w:rPr>
        <w:t>dispose</w:t>
      </w:r>
      <w:proofErr w:type="gramEnd"/>
      <w:r w:rsidRPr="008E348A">
        <w:rPr>
          <w:bCs/>
          <w:i/>
          <w:iCs/>
          <w:szCs w:val="22"/>
          <w:lang w:val="en-US"/>
        </w:rPr>
        <w:t xml:space="preserve"> the warrants for any other purpose than to secure the Company's commitments in connection with the Performance Share Program </w:t>
      </w:r>
      <w:r w:rsidR="00C26F7D">
        <w:rPr>
          <w:bCs/>
          <w:i/>
          <w:iCs/>
          <w:szCs w:val="22"/>
          <w:lang w:val="en-US"/>
        </w:rPr>
        <w:t>2025/2028:2</w:t>
      </w:r>
      <w:r w:rsidRPr="008E348A">
        <w:rPr>
          <w:bCs/>
          <w:i/>
          <w:iCs/>
          <w:szCs w:val="22"/>
          <w:lang w:val="en-US"/>
        </w:rPr>
        <w:t>.</w:t>
      </w:r>
      <w:bookmarkEnd w:id="37"/>
    </w:p>
    <w:bookmarkEnd w:id="41"/>
    <w:bookmarkEnd w:id="45"/>
    <w:p w14:paraId="536CFC63" w14:textId="77777777" w:rsidR="001A1DEB" w:rsidRPr="008E348A" w:rsidRDefault="001A1DEB" w:rsidP="001A1DEB">
      <w:pPr>
        <w:pStyle w:val="ListParagraph"/>
        <w:widowControl w:val="0"/>
        <w:contextualSpacing w:val="0"/>
        <w:rPr>
          <w:bCs/>
          <w:i/>
          <w:iCs/>
          <w:szCs w:val="22"/>
          <w:lang w:val="en-US"/>
        </w:rPr>
      </w:pPr>
    </w:p>
    <w:bookmarkEnd w:id="38"/>
    <w:p w14:paraId="00957178" w14:textId="2736A0FD" w:rsidR="005C6344" w:rsidRDefault="005C6344" w:rsidP="005C6344">
      <w:pPr>
        <w:jc w:val="center"/>
        <w:rPr>
          <w:szCs w:val="22"/>
          <w:lang w:val="en-GB"/>
        </w:rPr>
      </w:pPr>
      <w:r w:rsidRPr="00545E05">
        <w:rPr>
          <w:szCs w:val="22"/>
          <w:lang w:val="en-GB"/>
        </w:rPr>
        <w:t>* * * * *</w:t>
      </w:r>
    </w:p>
    <w:p w14:paraId="3D3A4B48" w14:textId="0066E3E6" w:rsidR="00285BE4" w:rsidRDefault="00285BE4">
      <w:pPr>
        <w:rPr>
          <w:szCs w:val="22"/>
          <w:lang w:val="en-GB"/>
        </w:rPr>
      </w:pPr>
      <w:r>
        <w:rPr>
          <w:szCs w:val="22"/>
          <w:lang w:val="en-GB"/>
        </w:rPr>
        <w:br w:type="page"/>
      </w:r>
    </w:p>
    <w:p w14:paraId="05A534CA" w14:textId="4850B3AC" w:rsidR="006350FE" w:rsidRPr="00437F01" w:rsidRDefault="006350FE" w:rsidP="006350FE">
      <w:pPr>
        <w:pStyle w:val="BodyText"/>
        <w:jc w:val="right"/>
        <w:rPr>
          <w:b/>
        </w:rPr>
      </w:pPr>
      <w:bookmarkStart w:id="48" w:name="_Hlk206155522"/>
      <w:proofErr w:type="spellStart"/>
      <w:r w:rsidRPr="00EE396E">
        <w:rPr>
          <w:b/>
          <w:lang w:val="en-US"/>
        </w:rPr>
        <w:lastRenderedPageBreak/>
        <w:t>Bilaga</w:t>
      </w:r>
      <w:proofErr w:type="spellEnd"/>
      <w:r w:rsidRPr="00F86D77">
        <w:rPr>
          <w:b/>
        </w:rPr>
        <w:t xml:space="preserve"> </w:t>
      </w:r>
      <w:r>
        <w:rPr>
          <w:b/>
        </w:rPr>
        <w:t>4c</w:t>
      </w:r>
      <w:r w:rsidRPr="00F86D77">
        <w:rPr>
          <w:b/>
        </w:rPr>
        <w:t>/</w:t>
      </w:r>
      <w:r w:rsidRPr="00F86D77">
        <w:rPr>
          <w:b/>
          <w:i/>
        </w:rPr>
        <w:t xml:space="preserve">Exhibit </w:t>
      </w:r>
      <w:r>
        <w:rPr>
          <w:b/>
          <w:i/>
        </w:rPr>
        <w:t>4c</w:t>
      </w:r>
    </w:p>
    <w:p w14:paraId="2DE6E03B" w14:textId="042B16D9" w:rsidR="006350FE" w:rsidRPr="008570D1" w:rsidRDefault="006350FE" w:rsidP="006350FE">
      <w:pPr>
        <w:pStyle w:val="BodyText"/>
        <w:jc w:val="center"/>
        <w:rPr>
          <w:b/>
        </w:rPr>
      </w:pPr>
      <w:proofErr w:type="spellStart"/>
      <w:r w:rsidRPr="008570D1">
        <w:rPr>
          <w:b/>
          <w:lang w:val="en-US"/>
        </w:rPr>
        <w:t>Villkor</w:t>
      </w:r>
      <w:proofErr w:type="spellEnd"/>
      <w:r w:rsidRPr="008570D1">
        <w:rPr>
          <w:b/>
          <w:lang w:val="en-US"/>
        </w:rPr>
        <w:t xml:space="preserve"> för </w:t>
      </w:r>
      <w:proofErr w:type="spellStart"/>
      <w:r w:rsidRPr="008570D1">
        <w:rPr>
          <w:b/>
          <w:lang w:val="en-US"/>
        </w:rPr>
        <w:t>teckningsoptioner</w:t>
      </w:r>
      <w:proofErr w:type="spellEnd"/>
      <w:r w:rsidRPr="008570D1">
        <w:rPr>
          <w:b/>
          <w:lang w:val="en-US"/>
        </w:rPr>
        <w:t xml:space="preserve"> </w:t>
      </w:r>
      <w:proofErr w:type="spellStart"/>
      <w:r w:rsidRPr="008570D1">
        <w:rPr>
          <w:b/>
          <w:lang w:val="en-US"/>
        </w:rPr>
        <w:t>i</w:t>
      </w:r>
      <w:proofErr w:type="spellEnd"/>
      <w:r w:rsidRPr="008570D1">
        <w:rPr>
          <w:b/>
          <w:lang w:val="en-US"/>
        </w:rPr>
        <w:t xml:space="preserve"> </w:t>
      </w:r>
      <w:r w:rsidRPr="008570D1">
        <w:rPr>
          <w:b/>
          <w:szCs w:val="22"/>
        </w:rPr>
        <w:t>Biovica International AB</w:t>
      </w:r>
      <w:r w:rsidRPr="008570D1">
        <w:rPr>
          <w:b/>
          <w:lang w:val="en-US"/>
        </w:rPr>
        <w:t xml:space="preserve">, </w:t>
      </w:r>
      <w:proofErr w:type="spellStart"/>
      <w:r w:rsidRPr="008570D1">
        <w:rPr>
          <w:b/>
          <w:lang w:val="en-US"/>
        </w:rPr>
        <w:t>serie</w:t>
      </w:r>
      <w:proofErr w:type="spellEnd"/>
      <w:r w:rsidRPr="008570D1">
        <w:rPr>
          <w:b/>
          <w:lang w:val="en-US"/>
        </w:rPr>
        <w:t xml:space="preserve"> </w:t>
      </w:r>
      <w:r>
        <w:rPr>
          <w:b/>
          <w:lang w:val="en-US"/>
        </w:rPr>
        <w:t>2025/2028:2</w:t>
      </w:r>
      <w:r w:rsidRPr="008570D1">
        <w:rPr>
          <w:b/>
        </w:rPr>
        <w:br/>
      </w:r>
      <w:r w:rsidRPr="008570D1">
        <w:rPr>
          <w:b/>
          <w:i/>
        </w:rPr>
        <w:t xml:space="preserve">Terms and conditions for Warrants in Biovica International AB, series </w:t>
      </w:r>
      <w:r>
        <w:rPr>
          <w:b/>
          <w:i/>
        </w:rPr>
        <w:t>2025/2028:2</w:t>
      </w:r>
    </w:p>
    <w:p w14:paraId="0D350FC7" w14:textId="77777777" w:rsidR="006350FE" w:rsidRPr="00207A3F" w:rsidRDefault="006350FE" w:rsidP="007C4B62">
      <w:pPr>
        <w:pStyle w:val="BodyText"/>
        <w:numPr>
          <w:ilvl w:val="0"/>
          <w:numId w:val="57"/>
        </w:numPr>
        <w:spacing w:after="0"/>
        <w:rPr>
          <w:b/>
          <w:bCs/>
        </w:rPr>
      </w:pPr>
      <w:r w:rsidRPr="00F00BEF">
        <w:rPr>
          <w:b/>
          <w:bCs/>
          <w:lang w:val="sv-SE"/>
        </w:rPr>
        <w:t>Definitioner</w:t>
      </w:r>
      <w:r w:rsidRPr="00463D40">
        <w:rPr>
          <w:b/>
          <w:bCs/>
        </w:rPr>
        <w:t>/</w:t>
      </w:r>
      <w:r w:rsidRPr="00463D40">
        <w:rPr>
          <w:b/>
          <w:bCs/>
          <w:i/>
        </w:rPr>
        <w:t>Definitions</w:t>
      </w:r>
    </w:p>
    <w:p w14:paraId="47AAFEB0" w14:textId="77777777" w:rsidR="006350FE" w:rsidRPr="00437F01" w:rsidRDefault="006350FE" w:rsidP="006350FE">
      <w:pPr>
        <w:pStyle w:val="BodyText"/>
        <w:ind w:left="720"/>
      </w:pPr>
      <w:r w:rsidRPr="00437F01">
        <w:rPr>
          <w:lang w:val="sv-SE"/>
        </w:rPr>
        <w:t xml:space="preserve">I dessa villkor </w:t>
      </w:r>
      <w:r>
        <w:rPr>
          <w:lang w:val="sv-SE"/>
        </w:rPr>
        <w:t>ska</w:t>
      </w:r>
      <w:r w:rsidRPr="00437F01">
        <w:rPr>
          <w:lang w:val="sv-SE"/>
        </w:rPr>
        <w:t xml:space="preserve"> följande benämningar ha den innebörd som anges nedan.</w:t>
      </w:r>
      <w:r w:rsidRPr="00437F01">
        <w:rPr>
          <w:lang w:val="sv-SE"/>
        </w:rPr>
        <w:br/>
      </w:r>
      <w:r w:rsidRPr="00437F01">
        <w:rPr>
          <w:i/>
        </w:rPr>
        <w:t>The following terms</w:t>
      </w:r>
      <w:r>
        <w:rPr>
          <w:i/>
        </w:rPr>
        <w:t xml:space="preserve"> and conditions</w:t>
      </w:r>
      <w:r w:rsidRPr="00437F01">
        <w:rPr>
          <w:i/>
        </w:rPr>
        <w:t xml:space="preserve"> shall have the following meaning when used herein.</w:t>
      </w:r>
    </w:p>
    <w:tbl>
      <w:tblPr>
        <w:tblW w:w="8388" w:type="dxa"/>
        <w:tblInd w:w="612" w:type="dxa"/>
        <w:tblLayout w:type="fixed"/>
        <w:tblLook w:val="0000" w:firstRow="0" w:lastRow="0" w:firstColumn="0" w:lastColumn="0" w:noHBand="0" w:noVBand="0"/>
      </w:tblPr>
      <w:tblGrid>
        <w:gridCol w:w="2520"/>
        <w:gridCol w:w="5868"/>
      </w:tblGrid>
      <w:tr w:rsidR="006350FE" w:rsidRPr="001A6E6C" w14:paraId="6BC320AE" w14:textId="77777777" w:rsidTr="00695A7D">
        <w:tc>
          <w:tcPr>
            <w:tcW w:w="2520" w:type="dxa"/>
          </w:tcPr>
          <w:p w14:paraId="05F98506" w14:textId="77777777" w:rsidR="006350FE" w:rsidRPr="00437F01" w:rsidRDefault="006350FE" w:rsidP="00695A7D">
            <w:pPr>
              <w:pStyle w:val="TableText"/>
            </w:pPr>
            <w:r w:rsidRPr="00437F01">
              <w:t>"</w:t>
            </w:r>
            <w:r w:rsidRPr="00F00BEF">
              <w:rPr>
                <w:b/>
                <w:lang w:val="sv-SE"/>
              </w:rPr>
              <w:t>Aktie</w:t>
            </w:r>
            <w:r w:rsidRPr="00437F01">
              <w:t>"/</w:t>
            </w:r>
            <w:r>
              <w:br/>
            </w:r>
            <w:r w:rsidRPr="00437F01">
              <w:t>"</w:t>
            </w:r>
            <w:r w:rsidRPr="00437F01">
              <w:rPr>
                <w:b/>
                <w:i/>
              </w:rPr>
              <w:t>Share</w:t>
            </w:r>
            <w:r w:rsidRPr="00437F01">
              <w:t>"</w:t>
            </w:r>
          </w:p>
        </w:tc>
        <w:tc>
          <w:tcPr>
            <w:tcW w:w="5868" w:type="dxa"/>
          </w:tcPr>
          <w:p w14:paraId="5070FDE9" w14:textId="77777777" w:rsidR="006350FE" w:rsidRPr="005B7A0E" w:rsidRDefault="006350FE" w:rsidP="00695A7D">
            <w:pPr>
              <w:pStyle w:val="TableText"/>
              <w:spacing w:after="0"/>
              <w:rPr>
                <w:lang w:val="sv-SE"/>
              </w:rPr>
            </w:pPr>
            <w:r w:rsidRPr="001C3291">
              <w:rPr>
                <w:lang w:val="sv-SE"/>
              </w:rPr>
              <w:t>avser samtliga</w:t>
            </w:r>
            <w:r>
              <w:rPr>
                <w:lang w:val="sv-SE"/>
              </w:rPr>
              <w:t xml:space="preserve"> vid var tid </w:t>
            </w:r>
            <w:r w:rsidRPr="001C3291">
              <w:rPr>
                <w:lang w:val="sv-SE"/>
              </w:rPr>
              <w:t>utgivna aktier i Bolaget,</w:t>
            </w:r>
          </w:p>
          <w:p w14:paraId="19C9BF78" w14:textId="77777777" w:rsidR="006350FE" w:rsidRPr="00437F01" w:rsidRDefault="006350FE" w:rsidP="00695A7D">
            <w:pPr>
              <w:pStyle w:val="TableText"/>
            </w:pPr>
            <w:r w:rsidRPr="00437F01">
              <w:rPr>
                <w:i/>
              </w:rPr>
              <w:t>mean</w:t>
            </w:r>
            <w:r>
              <w:rPr>
                <w:i/>
              </w:rPr>
              <w:t>s</w:t>
            </w:r>
            <w:r w:rsidRPr="00437F01">
              <w:rPr>
                <w:i/>
              </w:rPr>
              <w:t xml:space="preserve"> each </w:t>
            </w:r>
            <w:r w:rsidRPr="005C501C">
              <w:rPr>
                <w:i/>
              </w:rPr>
              <w:t>share</w:t>
            </w:r>
            <w:r w:rsidRPr="00437F01">
              <w:rPr>
                <w:i/>
              </w:rPr>
              <w:t xml:space="preserve"> in the Company issued and outstanding from time to time;</w:t>
            </w:r>
          </w:p>
        </w:tc>
      </w:tr>
      <w:tr w:rsidR="006350FE" w:rsidRPr="001A6E6C" w14:paraId="0CE5C43E" w14:textId="77777777" w:rsidTr="00695A7D">
        <w:tc>
          <w:tcPr>
            <w:tcW w:w="2520" w:type="dxa"/>
          </w:tcPr>
          <w:p w14:paraId="37C994FE" w14:textId="77777777" w:rsidR="006350FE" w:rsidRPr="00437F01" w:rsidRDefault="006350FE" w:rsidP="00695A7D">
            <w:pPr>
              <w:pStyle w:val="TableText"/>
            </w:pPr>
            <w:r w:rsidRPr="00437F01">
              <w:t>"</w:t>
            </w:r>
            <w:r w:rsidRPr="00F00BEF">
              <w:rPr>
                <w:b/>
                <w:lang w:val="sv-SE"/>
              </w:rPr>
              <w:t>Aktiebolagslagen</w:t>
            </w:r>
            <w:r w:rsidRPr="00437F01">
              <w:t>"/</w:t>
            </w:r>
            <w:r>
              <w:br/>
            </w:r>
            <w:r w:rsidRPr="00437F01">
              <w:t>"</w:t>
            </w:r>
            <w:r w:rsidRPr="00437F01">
              <w:rPr>
                <w:b/>
                <w:i/>
              </w:rPr>
              <w:t>Swedish Companies Ac</w:t>
            </w:r>
            <w:r w:rsidRPr="00437F01">
              <w:t>t"</w:t>
            </w:r>
          </w:p>
        </w:tc>
        <w:tc>
          <w:tcPr>
            <w:tcW w:w="5868" w:type="dxa"/>
          </w:tcPr>
          <w:p w14:paraId="4B65AFC3" w14:textId="77777777" w:rsidR="006350FE" w:rsidRPr="006B6AC0" w:rsidRDefault="006350FE" w:rsidP="00695A7D">
            <w:pPr>
              <w:pStyle w:val="TableText"/>
              <w:spacing w:after="0"/>
              <w:rPr>
                <w:lang w:val="sv-SE"/>
              </w:rPr>
            </w:pPr>
            <w:r w:rsidRPr="00F00BEF">
              <w:rPr>
                <w:lang w:val="sv-SE"/>
              </w:rPr>
              <w:t>avser aktiebolagslagen (2005:551), i vid var tid gällande lydelse</w:t>
            </w:r>
            <w:r>
              <w:rPr>
                <w:lang w:val="sv-SE"/>
              </w:rPr>
              <w:t>,</w:t>
            </w:r>
          </w:p>
          <w:p w14:paraId="17149D5D" w14:textId="77777777" w:rsidR="006350FE" w:rsidRPr="00437F01" w:rsidRDefault="006350FE" w:rsidP="00695A7D">
            <w:pPr>
              <w:pStyle w:val="TableText"/>
            </w:pPr>
            <w:r w:rsidRPr="00437F01">
              <w:rPr>
                <w:i/>
              </w:rPr>
              <w:t>means the Swedish Companies Act (2005:551), as amended from time to time;</w:t>
            </w:r>
          </w:p>
        </w:tc>
      </w:tr>
      <w:tr w:rsidR="006350FE" w:rsidRPr="001A6E6C" w14:paraId="4B121C7A" w14:textId="77777777" w:rsidTr="00695A7D">
        <w:tc>
          <w:tcPr>
            <w:tcW w:w="2520" w:type="dxa"/>
          </w:tcPr>
          <w:p w14:paraId="65A62EA0" w14:textId="77777777" w:rsidR="006350FE" w:rsidRPr="00437F01" w:rsidRDefault="006350FE" w:rsidP="00695A7D">
            <w:pPr>
              <w:pStyle w:val="TableText"/>
            </w:pPr>
            <w:r w:rsidRPr="00437F01">
              <w:t>"</w:t>
            </w:r>
            <w:r w:rsidRPr="00437F01">
              <w:rPr>
                <w:b/>
              </w:rPr>
              <w:t>Bank</w:t>
            </w:r>
            <w:r w:rsidRPr="00437F01">
              <w:t>"/</w:t>
            </w:r>
            <w:r>
              <w:t xml:space="preserve"> </w:t>
            </w:r>
            <w:r>
              <w:br/>
            </w:r>
            <w:r w:rsidRPr="00437F01">
              <w:t>"</w:t>
            </w:r>
            <w:r w:rsidRPr="00437F01">
              <w:rPr>
                <w:b/>
                <w:i/>
              </w:rPr>
              <w:t>Bank</w:t>
            </w:r>
            <w:r w:rsidRPr="00437F01">
              <w:t>"</w:t>
            </w:r>
          </w:p>
        </w:tc>
        <w:tc>
          <w:tcPr>
            <w:tcW w:w="5868" w:type="dxa"/>
          </w:tcPr>
          <w:p w14:paraId="3357A17E" w14:textId="77777777" w:rsidR="006350FE" w:rsidRPr="005B7A0E" w:rsidRDefault="006350FE" w:rsidP="00695A7D">
            <w:pPr>
              <w:pStyle w:val="TableText"/>
              <w:spacing w:after="0"/>
              <w:rPr>
                <w:lang w:val="sv-SE"/>
              </w:rPr>
            </w:pPr>
            <w:r w:rsidRPr="005B7A0E">
              <w:rPr>
                <w:lang w:val="sv-SE"/>
              </w:rPr>
              <w:t>avser den bank eller kontoförande institut som Bolaget använder för åtgärder relaterade till Teckningsoptionerna,</w:t>
            </w:r>
          </w:p>
          <w:p w14:paraId="43DB31CB" w14:textId="77777777" w:rsidR="006350FE" w:rsidRPr="00437F01" w:rsidRDefault="006350FE" w:rsidP="00695A7D">
            <w:pPr>
              <w:pStyle w:val="TableText"/>
            </w:pPr>
            <w:r w:rsidRPr="00437F01">
              <w:rPr>
                <w:i/>
              </w:rPr>
              <w:t xml:space="preserve">means the bank or account operator that the </w:t>
            </w:r>
            <w:r>
              <w:rPr>
                <w:i/>
              </w:rPr>
              <w:t>C</w:t>
            </w:r>
            <w:r w:rsidRPr="00437F01">
              <w:rPr>
                <w:i/>
              </w:rPr>
              <w:t>ompany uses for actions related to the Warrants</w:t>
            </w:r>
            <w:r w:rsidRPr="00437F01">
              <w:t>;</w:t>
            </w:r>
          </w:p>
        </w:tc>
      </w:tr>
      <w:tr w:rsidR="006350FE" w:rsidRPr="001A6E6C" w14:paraId="483EE1DE" w14:textId="77777777" w:rsidTr="00695A7D">
        <w:trPr>
          <w:trHeight w:val="1025"/>
        </w:trPr>
        <w:tc>
          <w:tcPr>
            <w:tcW w:w="2520" w:type="dxa"/>
          </w:tcPr>
          <w:p w14:paraId="10DB4519" w14:textId="77777777" w:rsidR="006350FE" w:rsidRPr="00437F01" w:rsidRDefault="006350FE" w:rsidP="00695A7D">
            <w:pPr>
              <w:pStyle w:val="TableText"/>
            </w:pPr>
            <w:r w:rsidRPr="00437F01">
              <w:t>"</w:t>
            </w:r>
            <w:r w:rsidRPr="00F00BEF">
              <w:rPr>
                <w:b/>
                <w:lang w:val="sv-SE"/>
              </w:rPr>
              <w:t>Bankdag</w:t>
            </w:r>
            <w:r w:rsidRPr="00437F01">
              <w:t>"/</w:t>
            </w:r>
            <w:r>
              <w:br/>
            </w:r>
            <w:r w:rsidRPr="00437F01">
              <w:t>"</w:t>
            </w:r>
            <w:r w:rsidRPr="00437F01">
              <w:rPr>
                <w:b/>
                <w:i/>
              </w:rPr>
              <w:t>Business Day</w:t>
            </w:r>
            <w:r w:rsidRPr="00437F01">
              <w:t>"</w:t>
            </w:r>
          </w:p>
        </w:tc>
        <w:tc>
          <w:tcPr>
            <w:tcW w:w="5868" w:type="dxa"/>
          </w:tcPr>
          <w:p w14:paraId="46F67C37" w14:textId="77777777" w:rsidR="006350FE" w:rsidRPr="005B7A0E" w:rsidRDefault="006350FE" w:rsidP="00695A7D">
            <w:pPr>
              <w:pStyle w:val="TableText"/>
              <w:spacing w:after="0"/>
              <w:rPr>
                <w:lang w:val="sv-SE"/>
              </w:rPr>
            </w:pPr>
            <w:r w:rsidRPr="005B7A0E">
              <w:rPr>
                <w:lang w:val="sv-SE"/>
              </w:rPr>
              <w:t>avser dag som inte är söndag eller annan allmän helgdag och på vilken svenska banker är öppna för allmänheten,</w:t>
            </w:r>
          </w:p>
          <w:p w14:paraId="7908234B" w14:textId="77777777" w:rsidR="006350FE" w:rsidRPr="005B7A0E" w:rsidRDefault="006350FE" w:rsidP="00695A7D">
            <w:pPr>
              <w:pStyle w:val="TableText"/>
            </w:pPr>
            <w:r w:rsidRPr="00437F01">
              <w:rPr>
                <w:i/>
              </w:rPr>
              <w:t xml:space="preserve">means a day that is not a Sunday or other public holiday and on which Swedish banks are open to the </w:t>
            </w:r>
            <w:proofErr w:type="gramStart"/>
            <w:r w:rsidRPr="00437F01">
              <w:rPr>
                <w:i/>
              </w:rPr>
              <w:t>general public</w:t>
            </w:r>
            <w:proofErr w:type="gramEnd"/>
            <w:r w:rsidRPr="00437F01">
              <w:rPr>
                <w:i/>
              </w:rPr>
              <w:t>;</w:t>
            </w:r>
          </w:p>
        </w:tc>
      </w:tr>
      <w:tr w:rsidR="006350FE" w:rsidRPr="001A6E6C" w14:paraId="176FD247" w14:textId="77777777" w:rsidTr="00695A7D">
        <w:tc>
          <w:tcPr>
            <w:tcW w:w="2520" w:type="dxa"/>
          </w:tcPr>
          <w:p w14:paraId="2F6BD199" w14:textId="77777777" w:rsidR="006350FE" w:rsidRPr="00437F01" w:rsidRDefault="006350FE" w:rsidP="00695A7D">
            <w:pPr>
              <w:pStyle w:val="TableText"/>
            </w:pPr>
            <w:r w:rsidRPr="00437F01">
              <w:t>"</w:t>
            </w:r>
            <w:r w:rsidRPr="00F00BEF">
              <w:rPr>
                <w:b/>
                <w:lang w:val="sv-SE"/>
              </w:rPr>
              <w:t>Bolaget</w:t>
            </w:r>
            <w:r w:rsidRPr="00437F01">
              <w:t>"/</w:t>
            </w:r>
            <w:r>
              <w:br/>
            </w:r>
            <w:r w:rsidRPr="00437F01">
              <w:t>"</w:t>
            </w:r>
            <w:r w:rsidRPr="00437F01">
              <w:rPr>
                <w:b/>
                <w:i/>
              </w:rPr>
              <w:t>Company</w:t>
            </w:r>
            <w:r w:rsidRPr="00437F01">
              <w:t>"</w:t>
            </w:r>
          </w:p>
        </w:tc>
        <w:tc>
          <w:tcPr>
            <w:tcW w:w="5868" w:type="dxa"/>
          </w:tcPr>
          <w:p w14:paraId="5654AD27" w14:textId="77777777" w:rsidR="006350FE" w:rsidRPr="00EE396E" w:rsidRDefault="006350FE" w:rsidP="00695A7D">
            <w:pPr>
              <w:pStyle w:val="TableText"/>
              <w:spacing w:after="0"/>
              <w:rPr>
                <w:lang w:val="sv-SE"/>
              </w:rPr>
            </w:pPr>
            <w:r w:rsidRPr="00EE396E">
              <w:rPr>
                <w:lang w:val="sv-SE"/>
              </w:rPr>
              <w:t xml:space="preserve">avser </w:t>
            </w:r>
            <w:r w:rsidRPr="00EE396E">
              <w:rPr>
                <w:szCs w:val="22"/>
                <w:lang w:val="sv-SE"/>
              </w:rPr>
              <w:t xml:space="preserve">Biovica International AB, org.nr </w:t>
            </w:r>
            <w:proofErr w:type="gramStart"/>
            <w:r w:rsidRPr="00EE396E">
              <w:rPr>
                <w:szCs w:val="22"/>
                <w:lang w:val="sv-SE"/>
              </w:rPr>
              <w:t>556774-6150</w:t>
            </w:r>
            <w:proofErr w:type="gramEnd"/>
            <w:r w:rsidRPr="00EE396E">
              <w:rPr>
                <w:lang w:val="sv-SE"/>
              </w:rPr>
              <w:t>,</w:t>
            </w:r>
          </w:p>
          <w:p w14:paraId="09839174" w14:textId="77777777" w:rsidR="006350FE" w:rsidRPr="00437F01" w:rsidRDefault="006350FE" w:rsidP="00695A7D">
            <w:pPr>
              <w:pStyle w:val="TableText"/>
            </w:pPr>
            <w:r w:rsidRPr="00437F01">
              <w:rPr>
                <w:i/>
              </w:rPr>
              <w:t xml:space="preserve">means </w:t>
            </w:r>
            <w:r w:rsidRPr="008570D1">
              <w:rPr>
                <w:i/>
              </w:rPr>
              <w:t xml:space="preserve">Biovica International AB, </w:t>
            </w:r>
            <w:r>
              <w:rPr>
                <w:i/>
              </w:rPr>
              <w:t>reg</w:t>
            </w:r>
            <w:r w:rsidRPr="008570D1">
              <w:rPr>
                <w:i/>
              </w:rPr>
              <w:t>.</w:t>
            </w:r>
            <w:r>
              <w:rPr>
                <w:i/>
              </w:rPr>
              <w:t xml:space="preserve"> no</w:t>
            </w:r>
            <w:r w:rsidRPr="008570D1">
              <w:rPr>
                <w:i/>
              </w:rPr>
              <w:t xml:space="preserve"> 556774-6150</w:t>
            </w:r>
            <w:r w:rsidRPr="00437F01">
              <w:rPr>
                <w:i/>
              </w:rPr>
              <w:t>;</w:t>
            </w:r>
          </w:p>
        </w:tc>
      </w:tr>
      <w:tr w:rsidR="006350FE" w:rsidRPr="001A6E6C" w14:paraId="15EF97D0" w14:textId="77777777" w:rsidTr="00695A7D">
        <w:tc>
          <w:tcPr>
            <w:tcW w:w="2520" w:type="dxa"/>
          </w:tcPr>
          <w:p w14:paraId="37E2BE0B" w14:textId="77777777" w:rsidR="006350FE" w:rsidRPr="00437F01" w:rsidRDefault="006350FE" w:rsidP="00695A7D">
            <w:pPr>
              <w:pStyle w:val="TableText"/>
            </w:pPr>
            <w:r w:rsidRPr="00437F01">
              <w:t>"</w:t>
            </w:r>
            <w:r w:rsidRPr="00437F01">
              <w:rPr>
                <w:b/>
              </w:rPr>
              <w:t>Euroclear</w:t>
            </w:r>
            <w:r w:rsidRPr="00437F01">
              <w:t>"</w:t>
            </w:r>
            <w:r>
              <w:t>/</w:t>
            </w:r>
            <w:r>
              <w:br/>
              <w:t>"</w:t>
            </w:r>
            <w:r w:rsidRPr="006B6AC0">
              <w:rPr>
                <w:b/>
                <w:bCs/>
                <w:i/>
                <w:iCs/>
              </w:rPr>
              <w:t>Euroclear</w:t>
            </w:r>
            <w:r>
              <w:t>"</w:t>
            </w:r>
          </w:p>
        </w:tc>
        <w:tc>
          <w:tcPr>
            <w:tcW w:w="5868" w:type="dxa"/>
          </w:tcPr>
          <w:p w14:paraId="10A17415" w14:textId="77777777" w:rsidR="006350FE" w:rsidRPr="005B7A0E" w:rsidRDefault="006350FE" w:rsidP="00695A7D">
            <w:pPr>
              <w:pStyle w:val="TableText"/>
              <w:spacing w:after="0"/>
              <w:rPr>
                <w:lang w:val="sv-SE"/>
              </w:rPr>
            </w:pPr>
            <w:r w:rsidRPr="005B7A0E">
              <w:rPr>
                <w:lang w:val="sv-SE"/>
              </w:rPr>
              <w:t>avser Euroclear Sweden AB eller annan värdepapperscentral enligt lagen (1998:1479) om värdepapperscentraler och kontoföring av finansiella instrument,</w:t>
            </w:r>
          </w:p>
          <w:p w14:paraId="1CEEF311" w14:textId="77777777" w:rsidR="006350FE" w:rsidRPr="004A63E5" w:rsidRDefault="006350FE" w:rsidP="00695A7D">
            <w:pPr>
              <w:pStyle w:val="TableText"/>
            </w:pPr>
            <w:r w:rsidRPr="00437F01">
              <w:rPr>
                <w:i/>
              </w:rPr>
              <w:t xml:space="preserve">means Euroclear Sweden AB or other central securities depository (Sw. </w:t>
            </w:r>
            <w:proofErr w:type="spellStart"/>
            <w:r w:rsidRPr="00437F01">
              <w:rPr>
                <w:i/>
              </w:rPr>
              <w:t>värdepapperscentral</w:t>
            </w:r>
            <w:proofErr w:type="spellEnd"/>
            <w:r w:rsidRPr="00437F01">
              <w:rPr>
                <w:i/>
              </w:rPr>
              <w:t xml:space="preserve">) in accordance with the </w:t>
            </w:r>
            <w:r>
              <w:rPr>
                <w:i/>
              </w:rPr>
              <w:t xml:space="preserve">Swedish </w:t>
            </w:r>
            <w:r w:rsidRPr="00437F01">
              <w:rPr>
                <w:i/>
              </w:rPr>
              <w:t>Central Securities Deposit</w:t>
            </w:r>
            <w:r>
              <w:rPr>
                <w:i/>
              </w:rPr>
              <w:t>ories</w:t>
            </w:r>
            <w:r w:rsidRPr="00437F01">
              <w:rPr>
                <w:i/>
              </w:rPr>
              <w:t xml:space="preserve"> and Financial Instrument Accounts Act (1998:1479).</w:t>
            </w:r>
          </w:p>
        </w:tc>
      </w:tr>
      <w:tr w:rsidR="006350FE" w:rsidRPr="00437F01" w14:paraId="264F158A" w14:textId="77777777" w:rsidTr="00695A7D">
        <w:tc>
          <w:tcPr>
            <w:tcW w:w="2520" w:type="dxa"/>
          </w:tcPr>
          <w:p w14:paraId="239FC8BA" w14:textId="77777777" w:rsidR="006350FE" w:rsidRPr="00437F01" w:rsidRDefault="006350FE" w:rsidP="00695A7D">
            <w:pPr>
              <w:pStyle w:val="TableText"/>
            </w:pPr>
            <w:r w:rsidRPr="00437F01">
              <w:t>"</w:t>
            </w:r>
            <w:r>
              <w:rPr>
                <w:b/>
                <w:lang w:val="sv-SE"/>
              </w:rPr>
              <w:t>Optionsinnehavare</w:t>
            </w:r>
            <w:r w:rsidRPr="00437F01">
              <w:t>"/</w:t>
            </w:r>
            <w:r>
              <w:br/>
            </w:r>
            <w:r w:rsidRPr="00437F01">
              <w:t>"</w:t>
            </w:r>
            <w:r w:rsidRPr="00437F01">
              <w:rPr>
                <w:b/>
                <w:i/>
              </w:rPr>
              <w:t xml:space="preserve">Warrant </w:t>
            </w:r>
            <w:r>
              <w:rPr>
                <w:b/>
                <w:i/>
              </w:rPr>
              <w:t>H</w:t>
            </w:r>
            <w:r w:rsidRPr="00437F01">
              <w:rPr>
                <w:b/>
                <w:i/>
              </w:rPr>
              <w:t>older</w:t>
            </w:r>
            <w:r w:rsidRPr="00437F01">
              <w:t>"</w:t>
            </w:r>
          </w:p>
        </w:tc>
        <w:tc>
          <w:tcPr>
            <w:tcW w:w="5868" w:type="dxa"/>
          </w:tcPr>
          <w:p w14:paraId="43E449F5" w14:textId="77777777" w:rsidR="006350FE" w:rsidRPr="006B6AC0" w:rsidRDefault="006350FE" w:rsidP="00695A7D">
            <w:pPr>
              <w:pStyle w:val="TableText"/>
              <w:spacing w:after="0"/>
              <w:rPr>
                <w:lang w:val="sv-SE"/>
              </w:rPr>
            </w:pPr>
            <w:r w:rsidRPr="00F00BEF">
              <w:rPr>
                <w:lang w:val="sv-SE"/>
              </w:rPr>
              <w:t>avser innehavare av Teckningsoption</w:t>
            </w:r>
            <w:r>
              <w:rPr>
                <w:lang w:val="sv-SE"/>
              </w:rPr>
              <w:t>er</w:t>
            </w:r>
            <w:r w:rsidRPr="006B6AC0">
              <w:rPr>
                <w:lang w:val="sv-SE"/>
              </w:rPr>
              <w:t>,</w:t>
            </w:r>
          </w:p>
          <w:p w14:paraId="27F6134C" w14:textId="77777777" w:rsidR="006350FE" w:rsidRPr="00437F01" w:rsidRDefault="006350FE" w:rsidP="00695A7D">
            <w:pPr>
              <w:pStyle w:val="TableText"/>
            </w:pPr>
            <w:r w:rsidRPr="00437F01">
              <w:rPr>
                <w:i/>
              </w:rPr>
              <w:t xml:space="preserve">means </w:t>
            </w:r>
            <w:r>
              <w:rPr>
                <w:i/>
              </w:rPr>
              <w:t>a</w:t>
            </w:r>
            <w:r w:rsidRPr="00437F01">
              <w:rPr>
                <w:i/>
              </w:rPr>
              <w:t xml:space="preserve"> holder of Warrant</w:t>
            </w:r>
            <w:r>
              <w:rPr>
                <w:i/>
              </w:rPr>
              <w:t>s</w:t>
            </w:r>
            <w:r w:rsidRPr="00437F01">
              <w:rPr>
                <w:i/>
              </w:rPr>
              <w:t>;</w:t>
            </w:r>
          </w:p>
        </w:tc>
      </w:tr>
      <w:tr w:rsidR="006350FE" w:rsidRPr="001A6E6C" w14:paraId="2773EB28" w14:textId="77777777" w:rsidTr="00695A7D">
        <w:tc>
          <w:tcPr>
            <w:tcW w:w="2520" w:type="dxa"/>
          </w:tcPr>
          <w:p w14:paraId="42FA1B2F" w14:textId="77777777" w:rsidR="006350FE" w:rsidRPr="00437F01" w:rsidRDefault="006350FE" w:rsidP="00695A7D">
            <w:pPr>
              <w:pStyle w:val="TableText"/>
            </w:pPr>
            <w:r w:rsidRPr="00437F01">
              <w:t>"</w:t>
            </w:r>
            <w:r w:rsidRPr="00F00BEF">
              <w:rPr>
                <w:b/>
                <w:lang w:val="sv-SE"/>
              </w:rPr>
              <w:t>Teckning</w:t>
            </w:r>
            <w:r w:rsidRPr="00437F01">
              <w:t>"/</w:t>
            </w:r>
            <w:r>
              <w:br/>
            </w:r>
            <w:r w:rsidRPr="00437F01">
              <w:t>"</w:t>
            </w:r>
            <w:r w:rsidRPr="00437F01">
              <w:rPr>
                <w:b/>
                <w:i/>
              </w:rPr>
              <w:t>Subscription</w:t>
            </w:r>
            <w:r w:rsidRPr="00437F01">
              <w:t>"</w:t>
            </w:r>
          </w:p>
        </w:tc>
        <w:tc>
          <w:tcPr>
            <w:tcW w:w="5868" w:type="dxa"/>
          </w:tcPr>
          <w:p w14:paraId="0FF1C1EE" w14:textId="77777777" w:rsidR="006350FE" w:rsidRDefault="006350FE" w:rsidP="00695A7D">
            <w:pPr>
              <w:pStyle w:val="TableText"/>
              <w:spacing w:after="0"/>
            </w:pPr>
            <w:r w:rsidRPr="00CD6D9C">
              <w:rPr>
                <w:lang w:val="sv-SE"/>
              </w:rPr>
              <w:t>avser teckning av Aktie</w:t>
            </w:r>
            <w:r>
              <w:rPr>
                <w:lang w:val="sv-SE"/>
              </w:rPr>
              <w:t>r genom</w:t>
            </w:r>
            <w:r w:rsidRPr="00CD6D9C">
              <w:rPr>
                <w:lang w:val="sv-SE"/>
              </w:rPr>
              <w:t xml:space="preserve"> utnyttjande av Teckningsoption</w:t>
            </w:r>
            <w:r>
              <w:rPr>
                <w:lang w:val="sv-SE"/>
              </w:rPr>
              <w:t>er</w:t>
            </w:r>
            <w:r w:rsidRPr="00CD6D9C">
              <w:rPr>
                <w:lang w:val="sv-SE"/>
              </w:rPr>
              <w:t xml:space="preserve"> enligt 14 kap</w:t>
            </w:r>
            <w:r>
              <w:rPr>
                <w:lang w:val="sv-SE"/>
              </w:rPr>
              <w:t>.</w:t>
            </w:r>
            <w:r w:rsidRPr="00CD6D9C">
              <w:rPr>
                <w:lang w:val="sv-SE"/>
              </w:rPr>
              <w:t xml:space="preserve"> </w:t>
            </w:r>
            <w:proofErr w:type="spellStart"/>
            <w:r w:rsidRPr="006B6AC0">
              <w:rPr>
                <w:lang w:val="en-US"/>
              </w:rPr>
              <w:t>Aktiebolagslagen</w:t>
            </w:r>
            <w:proofErr w:type="spellEnd"/>
            <w:r w:rsidRPr="006B6AC0">
              <w:rPr>
                <w:lang w:val="en-US"/>
              </w:rPr>
              <w:t>,</w:t>
            </w:r>
          </w:p>
          <w:p w14:paraId="48A9717F" w14:textId="77777777" w:rsidR="006350FE" w:rsidRPr="00437F01" w:rsidRDefault="006350FE" w:rsidP="00695A7D">
            <w:pPr>
              <w:pStyle w:val="TableText"/>
            </w:pPr>
            <w:r w:rsidRPr="00437F01">
              <w:rPr>
                <w:i/>
              </w:rPr>
              <w:t xml:space="preserve">means subscription for </w:t>
            </w:r>
            <w:r>
              <w:rPr>
                <w:i/>
              </w:rPr>
              <w:t>S</w:t>
            </w:r>
            <w:r w:rsidRPr="00437F01">
              <w:rPr>
                <w:i/>
              </w:rPr>
              <w:t xml:space="preserve">hares by </w:t>
            </w:r>
            <w:r>
              <w:rPr>
                <w:i/>
              </w:rPr>
              <w:t>exercising</w:t>
            </w:r>
            <w:r w:rsidRPr="00437F01">
              <w:rPr>
                <w:i/>
              </w:rPr>
              <w:t xml:space="preserve"> Warrant</w:t>
            </w:r>
            <w:r>
              <w:rPr>
                <w:i/>
              </w:rPr>
              <w:t>s</w:t>
            </w:r>
            <w:r w:rsidRPr="00437F01">
              <w:rPr>
                <w:i/>
              </w:rPr>
              <w:t xml:space="preserve"> in accordance with Ch</w:t>
            </w:r>
            <w:r>
              <w:rPr>
                <w:i/>
              </w:rPr>
              <w:t>.</w:t>
            </w:r>
            <w:r w:rsidRPr="00437F01">
              <w:rPr>
                <w:i/>
              </w:rPr>
              <w:t xml:space="preserve"> 14 of the Swedish Companies Act;</w:t>
            </w:r>
          </w:p>
        </w:tc>
      </w:tr>
      <w:tr w:rsidR="006350FE" w:rsidRPr="001A6E6C" w14:paraId="755616FA" w14:textId="77777777" w:rsidTr="00695A7D">
        <w:tc>
          <w:tcPr>
            <w:tcW w:w="2520" w:type="dxa"/>
          </w:tcPr>
          <w:p w14:paraId="25112517" w14:textId="77777777" w:rsidR="006350FE" w:rsidRPr="00437F01" w:rsidRDefault="006350FE" w:rsidP="00695A7D">
            <w:pPr>
              <w:pStyle w:val="TableText"/>
            </w:pPr>
            <w:r w:rsidRPr="00437F01">
              <w:t>"</w:t>
            </w:r>
            <w:r w:rsidRPr="00F00BEF">
              <w:rPr>
                <w:b/>
                <w:lang w:val="sv-SE"/>
              </w:rPr>
              <w:t>Teckningskurs</w:t>
            </w:r>
            <w:r w:rsidRPr="00437F01">
              <w:t>"/</w:t>
            </w:r>
            <w:r>
              <w:br/>
            </w:r>
            <w:r w:rsidRPr="00437F01">
              <w:t>"</w:t>
            </w:r>
            <w:r w:rsidRPr="00437F01">
              <w:rPr>
                <w:b/>
                <w:i/>
              </w:rPr>
              <w:t>Subscription Price</w:t>
            </w:r>
            <w:r w:rsidRPr="00437F01">
              <w:t>"</w:t>
            </w:r>
          </w:p>
        </w:tc>
        <w:tc>
          <w:tcPr>
            <w:tcW w:w="5868" w:type="dxa"/>
          </w:tcPr>
          <w:p w14:paraId="1DC8A8BE" w14:textId="77777777" w:rsidR="006350FE" w:rsidRPr="006B6AC0" w:rsidRDefault="006350FE" w:rsidP="00695A7D">
            <w:pPr>
              <w:pStyle w:val="TableText"/>
              <w:spacing w:after="0"/>
              <w:rPr>
                <w:lang w:val="sv-SE"/>
              </w:rPr>
            </w:pPr>
            <w:r w:rsidRPr="001C3291">
              <w:rPr>
                <w:lang w:val="sv-SE"/>
              </w:rPr>
              <w:t xml:space="preserve">avser den kurs till vilken Teckning av nya Aktier </w:t>
            </w:r>
            <w:r>
              <w:rPr>
                <w:lang w:val="sv-SE"/>
              </w:rPr>
              <w:t>genom</w:t>
            </w:r>
            <w:r w:rsidRPr="001C3291">
              <w:rPr>
                <w:lang w:val="sv-SE"/>
              </w:rPr>
              <w:t xml:space="preserve"> utnyttjande av Teckningsoption kan ske,</w:t>
            </w:r>
          </w:p>
          <w:p w14:paraId="35FE3C25" w14:textId="77777777" w:rsidR="006350FE" w:rsidRPr="00437F01" w:rsidRDefault="006350FE" w:rsidP="00695A7D">
            <w:pPr>
              <w:pStyle w:val="TableText"/>
            </w:pPr>
            <w:r w:rsidRPr="00437F01">
              <w:rPr>
                <w:i/>
              </w:rPr>
              <w:t xml:space="preserve">means the price at which Subscription of new </w:t>
            </w:r>
            <w:r>
              <w:rPr>
                <w:i/>
              </w:rPr>
              <w:t>S</w:t>
            </w:r>
            <w:r w:rsidRPr="00437F01">
              <w:rPr>
                <w:i/>
              </w:rPr>
              <w:t xml:space="preserve">hares, by </w:t>
            </w:r>
            <w:r>
              <w:rPr>
                <w:i/>
              </w:rPr>
              <w:t>exercising</w:t>
            </w:r>
            <w:r w:rsidRPr="00437F01">
              <w:rPr>
                <w:i/>
              </w:rPr>
              <w:t xml:space="preserve"> </w:t>
            </w:r>
            <w:r>
              <w:rPr>
                <w:i/>
              </w:rPr>
              <w:t>a</w:t>
            </w:r>
            <w:r w:rsidRPr="00437F01">
              <w:rPr>
                <w:i/>
              </w:rPr>
              <w:t xml:space="preserve"> Warrant, can be made</w:t>
            </w:r>
            <w:r w:rsidRPr="00437F01">
              <w:t>;</w:t>
            </w:r>
          </w:p>
        </w:tc>
      </w:tr>
      <w:tr w:rsidR="006350FE" w:rsidRPr="001A6E6C" w14:paraId="7E45B8DA" w14:textId="77777777" w:rsidTr="00695A7D">
        <w:tc>
          <w:tcPr>
            <w:tcW w:w="2520" w:type="dxa"/>
          </w:tcPr>
          <w:p w14:paraId="02BC763A" w14:textId="77777777" w:rsidR="006350FE" w:rsidRPr="00437F01" w:rsidRDefault="006350FE" w:rsidP="00695A7D">
            <w:pPr>
              <w:pStyle w:val="TableText"/>
            </w:pPr>
            <w:r w:rsidRPr="00437F01">
              <w:t>"</w:t>
            </w:r>
            <w:r w:rsidRPr="00F00BEF">
              <w:rPr>
                <w:b/>
                <w:lang w:val="sv-SE"/>
              </w:rPr>
              <w:t>Teckningsoption</w:t>
            </w:r>
            <w:r w:rsidRPr="00437F01">
              <w:t>"/</w:t>
            </w:r>
            <w:r>
              <w:br/>
            </w:r>
            <w:r w:rsidRPr="00437F01">
              <w:t>"</w:t>
            </w:r>
            <w:r w:rsidRPr="00437F01">
              <w:rPr>
                <w:b/>
                <w:i/>
              </w:rPr>
              <w:t>Warrant</w:t>
            </w:r>
            <w:r w:rsidRPr="00437F01">
              <w:t>"</w:t>
            </w:r>
          </w:p>
        </w:tc>
        <w:tc>
          <w:tcPr>
            <w:tcW w:w="5868" w:type="dxa"/>
          </w:tcPr>
          <w:p w14:paraId="131036DC" w14:textId="77777777" w:rsidR="006350FE" w:rsidRPr="006B6AC0" w:rsidRDefault="006350FE" w:rsidP="00695A7D">
            <w:pPr>
              <w:pStyle w:val="TableText"/>
              <w:spacing w:after="0"/>
              <w:rPr>
                <w:lang w:val="sv-SE"/>
              </w:rPr>
            </w:pPr>
            <w:r w:rsidRPr="001C3291">
              <w:rPr>
                <w:lang w:val="sv-SE"/>
              </w:rPr>
              <w:t>avser rätt att teckna en Aktie mot betalning i pengar enligt dessa villkor,</w:t>
            </w:r>
          </w:p>
          <w:p w14:paraId="70155AB5" w14:textId="77777777" w:rsidR="006350FE" w:rsidRPr="00437F01" w:rsidRDefault="006350FE" w:rsidP="00695A7D">
            <w:pPr>
              <w:pStyle w:val="TableText"/>
            </w:pPr>
            <w:r w:rsidRPr="00437F01">
              <w:rPr>
                <w:i/>
              </w:rPr>
              <w:t xml:space="preserve">means a right to subscribe for one new </w:t>
            </w:r>
            <w:r>
              <w:rPr>
                <w:i/>
              </w:rPr>
              <w:t>S</w:t>
            </w:r>
            <w:r w:rsidRPr="00437F01">
              <w:rPr>
                <w:i/>
              </w:rPr>
              <w:t>hare against cash payment in accordance with these terms</w:t>
            </w:r>
            <w:r>
              <w:rPr>
                <w:i/>
              </w:rPr>
              <w:t xml:space="preserve"> and </w:t>
            </w:r>
            <w:proofErr w:type="gramStart"/>
            <w:r>
              <w:rPr>
                <w:i/>
              </w:rPr>
              <w:t>conditions</w:t>
            </w:r>
            <w:r w:rsidRPr="00437F01">
              <w:rPr>
                <w:i/>
              </w:rPr>
              <w:t>;</w:t>
            </w:r>
            <w:proofErr w:type="gramEnd"/>
          </w:p>
        </w:tc>
      </w:tr>
    </w:tbl>
    <w:p w14:paraId="53D18100" w14:textId="77777777" w:rsidR="006350FE" w:rsidRPr="00207A3F" w:rsidRDefault="006350FE" w:rsidP="007C4B62">
      <w:pPr>
        <w:pStyle w:val="BodyText"/>
        <w:numPr>
          <w:ilvl w:val="0"/>
          <w:numId w:val="57"/>
        </w:numPr>
        <w:spacing w:after="0"/>
        <w:rPr>
          <w:b/>
          <w:bCs/>
        </w:rPr>
      </w:pPr>
      <w:r w:rsidRPr="00CD6D9C">
        <w:rPr>
          <w:b/>
          <w:bCs/>
          <w:lang w:val="sv-SE"/>
        </w:rPr>
        <w:lastRenderedPageBreak/>
        <w:t>Teckningsoptioner och registrering</w:t>
      </w:r>
      <w:r w:rsidRPr="00207A3F">
        <w:rPr>
          <w:b/>
          <w:bCs/>
        </w:rPr>
        <w:t>/</w:t>
      </w:r>
      <w:r w:rsidRPr="00207A3F">
        <w:rPr>
          <w:b/>
          <w:bCs/>
          <w:i/>
        </w:rPr>
        <w:t>Warrants and registration</w:t>
      </w:r>
    </w:p>
    <w:p w14:paraId="274EB5F1" w14:textId="62847801" w:rsidR="006350FE" w:rsidRPr="00207A3F" w:rsidRDefault="006350FE" w:rsidP="007C4B62">
      <w:pPr>
        <w:pStyle w:val="BodyText"/>
        <w:numPr>
          <w:ilvl w:val="1"/>
          <w:numId w:val="57"/>
        </w:numPr>
        <w:rPr>
          <w:b/>
          <w:bCs/>
        </w:rPr>
      </w:pPr>
      <w:r w:rsidRPr="00207A3F">
        <w:rPr>
          <w:lang w:val="sv-SE"/>
        </w:rPr>
        <w:t xml:space="preserve">Antalet Teckningsoptioner uppgår till sammanlagt högst </w:t>
      </w:r>
      <w:r>
        <w:rPr>
          <w:lang w:val="sv-SE"/>
        </w:rPr>
        <w:t>1 980 900</w:t>
      </w:r>
      <w:r w:rsidRPr="00207A3F">
        <w:rPr>
          <w:lang w:val="sv-SE"/>
        </w:rPr>
        <w:t>.</w:t>
      </w:r>
      <w:r w:rsidRPr="00207A3F">
        <w:rPr>
          <w:lang w:val="sv-SE"/>
        </w:rPr>
        <w:br/>
      </w:r>
      <w:r w:rsidRPr="00207A3F">
        <w:rPr>
          <w:i/>
        </w:rPr>
        <w:t xml:space="preserve">The number of Warrants amounts to a maximum of </w:t>
      </w:r>
      <w:r>
        <w:rPr>
          <w:i/>
        </w:rPr>
        <w:t>1,980,900 in total</w:t>
      </w:r>
      <w:r w:rsidRPr="00207A3F">
        <w:rPr>
          <w:i/>
        </w:rPr>
        <w:t>.</w:t>
      </w:r>
    </w:p>
    <w:p w14:paraId="11A6A955" w14:textId="77777777" w:rsidR="006350FE" w:rsidRPr="00437F01" w:rsidRDefault="006350FE" w:rsidP="007C4B62">
      <w:pPr>
        <w:pStyle w:val="BodyText"/>
        <w:numPr>
          <w:ilvl w:val="1"/>
          <w:numId w:val="57"/>
        </w:numPr>
      </w:pPr>
      <w:r w:rsidRPr="00A50800">
        <w:rPr>
          <w:lang w:val="sv-SE"/>
        </w:rPr>
        <w:t xml:space="preserve">Bolaget </w:t>
      </w:r>
      <w:r>
        <w:rPr>
          <w:lang w:val="sv-SE"/>
        </w:rPr>
        <w:t>ska</w:t>
      </w:r>
      <w:r w:rsidRPr="00A50800">
        <w:rPr>
          <w:lang w:val="sv-SE"/>
        </w:rPr>
        <w:t xml:space="preserve"> </w:t>
      </w:r>
      <w:r>
        <w:rPr>
          <w:lang w:val="sv-SE"/>
        </w:rPr>
        <w:t xml:space="preserve">på begäran av Optionsinnehavare </w:t>
      </w:r>
      <w:r w:rsidRPr="00A50800">
        <w:rPr>
          <w:lang w:val="sv-SE"/>
        </w:rPr>
        <w:t>utfärda teckningsoptionsbevis ställda till viss man eller order, representerande en Teckningsoption eller multiplar därav. Bolaget verkställer på begäran av Optionsinnehavare utbyte och växling av teckningsoptionsbevis.</w:t>
      </w:r>
      <w:r w:rsidRPr="00A50800">
        <w:rPr>
          <w:lang w:val="sv-SE"/>
        </w:rPr>
        <w:br/>
      </w:r>
      <w:r w:rsidRPr="00437F01">
        <w:rPr>
          <w:i/>
        </w:rPr>
        <w:t>The Company shall</w:t>
      </w:r>
      <w:r>
        <w:rPr>
          <w:i/>
        </w:rPr>
        <w:t>, upon request from a Warrant Holder,</w:t>
      </w:r>
      <w:r w:rsidRPr="00437F01">
        <w:rPr>
          <w:i/>
        </w:rPr>
        <w:t xml:space="preserve"> issue warrant certificates payable to a certain person or order, each representing one Warrant or multiples thereof. The Company will </w:t>
      </w:r>
      <w:proofErr w:type="spellStart"/>
      <w:proofErr w:type="gramStart"/>
      <w:r w:rsidRPr="00437F01">
        <w:rPr>
          <w:i/>
        </w:rPr>
        <w:t>effect</w:t>
      </w:r>
      <w:proofErr w:type="spellEnd"/>
      <w:proofErr w:type="gramEnd"/>
      <w:r w:rsidRPr="00437F01">
        <w:rPr>
          <w:i/>
        </w:rPr>
        <w:t xml:space="preserve"> exchanges and conversions of Warrant certificates upon request from a </w:t>
      </w:r>
      <w:r>
        <w:rPr>
          <w:i/>
        </w:rPr>
        <w:t xml:space="preserve">Warrant </w:t>
      </w:r>
      <w:r w:rsidRPr="00437F01">
        <w:rPr>
          <w:i/>
        </w:rPr>
        <w:t>Holder.</w:t>
      </w:r>
    </w:p>
    <w:p w14:paraId="41BADFFF" w14:textId="5BE857D4" w:rsidR="006350FE" w:rsidRPr="00437F01" w:rsidRDefault="006350FE" w:rsidP="007C4B62">
      <w:pPr>
        <w:pStyle w:val="BodyText"/>
        <w:numPr>
          <w:ilvl w:val="1"/>
          <w:numId w:val="57"/>
        </w:numPr>
      </w:pPr>
      <w:r w:rsidRPr="00A50800">
        <w:rPr>
          <w:lang w:val="sv-SE"/>
        </w:rPr>
        <w:t xml:space="preserve">Bolagets styrelse </w:t>
      </w:r>
      <w:r>
        <w:rPr>
          <w:lang w:val="sv-SE"/>
        </w:rPr>
        <w:t>ska</w:t>
      </w:r>
      <w:r w:rsidRPr="00A50800">
        <w:rPr>
          <w:lang w:val="sv-SE"/>
        </w:rPr>
        <w:t xml:space="preserve"> äga rätt att fatta beslut om att Teckningsoptionerna </w:t>
      </w:r>
      <w:r>
        <w:rPr>
          <w:lang w:val="sv-SE"/>
        </w:rPr>
        <w:t>ska</w:t>
      </w:r>
      <w:r w:rsidRPr="00A50800">
        <w:rPr>
          <w:lang w:val="sv-SE"/>
        </w:rPr>
        <w:t xml:space="preserve"> registreras av Euroclear i ett avstämningsregister enligt lagen (1998:1479) om värdepapperscentraler och kontoföring av finansiella instrument. För det fall sådant beslut inte fattats </w:t>
      </w:r>
      <w:r>
        <w:rPr>
          <w:lang w:val="sv-SE"/>
        </w:rPr>
        <w:t>ska</w:t>
      </w:r>
      <w:r w:rsidRPr="00A50800">
        <w:rPr>
          <w:lang w:val="sv-SE"/>
        </w:rPr>
        <w:t xml:space="preserve"> vad som stadgas i punkterna </w:t>
      </w:r>
      <w:r>
        <w:fldChar w:fldCharType="begin"/>
      </w:r>
      <w:r>
        <w:rPr>
          <w:lang w:val="sv-SE"/>
        </w:rPr>
        <w:instrText xml:space="preserve"> REF _Ref167307489 \r \h </w:instrText>
      </w:r>
      <w:r>
        <w:fldChar w:fldCharType="separate"/>
      </w:r>
      <w:r>
        <w:rPr>
          <w:lang w:val="sv-SE"/>
        </w:rPr>
        <w:t>2.4</w:t>
      </w:r>
      <w:r>
        <w:fldChar w:fldCharType="end"/>
      </w:r>
      <w:r w:rsidRPr="00A50800">
        <w:rPr>
          <w:lang w:val="sv-SE"/>
        </w:rPr>
        <w:t>–</w:t>
      </w:r>
      <w:r>
        <w:fldChar w:fldCharType="begin"/>
      </w:r>
      <w:r>
        <w:rPr>
          <w:lang w:val="sv-SE"/>
        </w:rPr>
        <w:instrText xml:space="preserve"> REF _Ref167307499 \r \h </w:instrText>
      </w:r>
      <w:r>
        <w:fldChar w:fldCharType="separate"/>
      </w:r>
      <w:r>
        <w:rPr>
          <w:lang w:val="sv-SE"/>
        </w:rPr>
        <w:t>2.7</w:t>
      </w:r>
      <w:r>
        <w:fldChar w:fldCharType="end"/>
      </w:r>
      <w:r w:rsidRPr="00A50800">
        <w:rPr>
          <w:lang w:val="sv-SE"/>
        </w:rPr>
        <w:t xml:space="preserve"> nedan inte gälla. För det fall sådant beslut fattats </w:t>
      </w:r>
      <w:r>
        <w:rPr>
          <w:lang w:val="sv-SE"/>
        </w:rPr>
        <w:t>ska</w:t>
      </w:r>
      <w:r w:rsidRPr="00A50800">
        <w:rPr>
          <w:lang w:val="sv-SE"/>
        </w:rPr>
        <w:t xml:space="preserve"> vad som stadgas i punkterna </w:t>
      </w:r>
      <w:r>
        <w:fldChar w:fldCharType="begin"/>
      </w:r>
      <w:r>
        <w:rPr>
          <w:lang w:val="sv-SE"/>
        </w:rPr>
        <w:instrText xml:space="preserve"> REF _Ref167307489 \r \h </w:instrText>
      </w:r>
      <w:r>
        <w:fldChar w:fldCharType="separate"/>
      </w:r>
      <w:r>
        <w:rPr>
          <w:lang w:val="sv-SE"/>
        </w:rPr>
        <w:t>2.4</w:t>
      </w:r>
      <w:r>
        <w:fldChar w:fldCharType="end"/>
      </w:r>
      <w:r w:rsidRPr="00A50800">
        <w:rPr>
          <w:lang w:val="sv-SE"/>
        </w:rPr>
        <w:t>–</w:t>
      </w:r>
      <w:r>
        <w:fldChar w:fldCharType="begin"/>
      </w:r>
      <w:r>
        <w:rPr>
          <w:lang w:val="sv-SE"/>
        </w:rPr>
        <w:instrText xml:space="preserve"> REF _Ref167307499 \r \h </w:instrText>
      </w:r>
      <w:r>
        <w:fldChar w:fldCharType="separate"/>
      </w:r>
      <w:r>
        <w:rPr>
          <w:lang w:val="sv-SE"/>
        </w:rPr>
        <w:t>2.7</w:t>
      </w:r>
      <w:r>
        <w:fldChar w:fldCharType="end"/>
      </w:r>
      <w:r w:rsidRPr="00A50800">
        <w:rPr>
          <w:lang w:val="sv-SE"/>
        </w:rPr>
        <w:t xml:space="preserve"> nedan gälla </w:t>
      </w:r>
      <w:proofErr w:type="gramStart"/>
      <w:r w:rsidRPr="00A50800">
        <w:rPr>
          <w:lang w:val="sv-SE"/>
        </w:rPr>
        <w:t>istället</w:t>
      </w:r>
      <w:proofErr w:type="gramEnd"/>
      <w:r w:rsidRPr="00A50800">
        <w:rPr>
          <w:lang w:val="sv-SE"/>
        </w:rPr>
        <w:t xml:space="preserve"> för vad som stadgas i punkt </w:t>
      </w:r>
      <w:r>
        <w:fldChar w:fldCharType="begin"/>
      </w:r>
      <w:r>
        <w:rPr>
          <w:lang w:val="sv-SE"/>
        </w:rPr>
        <w:instrText xml:space="preserve"> REF _Ref167307519 \r \h </w:instrText>
      </w:r>
      <w:r>
        <w:fldChar w:fldCharType="separate"/>
      </w:r>
      <w:r>
        <w:rPr>
          <w:lang w:val="sv-SE"/>
        </w:rPr>
        <w:t>2.2</w:t>
      </w:r>
      <w:r>
        <w:fldChar w:fldCharType="end"/>
      </w:r>
      <w:r w:rsidRPr="00A50800">
        <w:rPr>
          <w:lang w:val="sv-SE"/>
        </w:rPr>
        <w:t xml:space="preserve"> ovan.</w:t>
      </w:r>
      <w:r w:rsidRPr="00A50800">
        <w:rPr>
          <w:lang w:val="sv-SE"/>
        </w:rPr>
        <w:br/>
      </w:r>
      <w:r w:rsidRPr="00437F01">
        <w:rPr>
          <w:i/>
        </w:rPr>
        <w:t xml:space="preserve">The Company's board of directors is entitled to resolve that the Warrants shall be registered with Euroclear in a securities register pursuant to the </w:t>
      </w:r>
      <w:r>
        <w:rPr>
          <w:i/>
        </w:rPr>
        <w:t xml:space="preserve">Swedish </w:t>
      </w:r>
      <w:r w:rsidRPr="00437F01">
        <w:rPr>
          <w:i/>
        </w:rPr>
        <w:t>Central Securities Deposit</w:t>
      </w:r>
      <w:r>
        <w:rPr>
          <w:i/>
        </w:rPr>
        <w:t>o</w:t>
      </w:r>
      <w:r w:rsidRPr="00437F01">
        <w:rPr>
          <w:i/>
        </w:rPr>
        <w:t>ries and Financial Instruments Accounts Act (1998:1479). In case such a resolution is not passed, what is stated in sections</w:t>
      </w:r>
      <w:r>
        <w:rPr>
          <w:i/>
        </w:rPr>
        <w:t xml:space="preserve"> </w:t>
      </w:r>
      <w:r>
        <w:rPr>
          <w:i/>
        </w:rPr>
        <w:fldChar w:fldCharType="begin"/>
      </w:r>
      <w:r>
        <w:rPr>
          <w:i/>
        </w:rPr>
        <w:instrText xml:space="preserve"> REF _Ref167307489 \r \h </w:instrText>
      </w:r>
      <w:r>
        <w:rPr>
          <w:i/>
        </w:rPr>
      </w:r>
      <w:r>
        <w:rPr>
          <w:i/>
        </w:rPr>
        <w:fldChar w:fldCharType="separate"/>
      </w:r>
      <w:r>
        <w:rPr>
          <w:i/>
        </w:rPr>
        <w:t>2.4</w:t>
      </w:r>
      <w:r>
        <w:rPr>
          <w:i/>
        </w:rPr>
        <w:fldChar w:fldCharType="end"/>
      </w:r>
      <w:r w:rsidRPr="00437F01">
        <w:rPr>
          <w:i/>
        </w:rPr>
        <w:t>–</w:t>
      </w:r>
      <w:r>
        <w:rPr>
          <w:i/>
        </w:rPr>
        <w:fldChar w:fldCharType="begin"/>
      </w:r>
      <w:r>
        <w:rPr>
          <w:i/>
        </w:rPr>
        <w:instrText xml:space="preserve"> REF _Ref167307499 \r \h </w:instrText>
      </w:r>
      <w:r>
        <w:rPr>
          <w:i/>
        </w:rPr>
      </w:r>
      <w:r>
        <w:rPr>
          <w:i/>
        </w:rPr>
        <w:fldChar w:fldCharType="separate"/>
      </w:r>
      <w:r>
        <w:rPr>
          <w:i/>
        </w:rPr>
        <w:t>2.7</w:t>
      </w:r>
      <w:r>
        <w:rPr>
          <w:i/>
        </w:rPr>
        <w:fldChar w:fldCharType="end"/>
      </w:r>
      <w:r w:rsidRPr="00437F01">
        <w:rPr>
          <w:i/>
        </w:rPr>
        <w:t xml:space="preserve"> below shall not apply. In case such a resolution is passed, what is stated in sections</w:t>
      </w:r>
      <w:r>
        <w:rPr>
          <w:i/>
        </w:rPr>
        <w:t xml:space="preserve"> </w:t>
      </w:r>
      <w:r>
        <w:rPr>
          <w:i/>
        </w:rPr>
        <w:fldChar w:fldCharType="begin"/>
      </w:r>
      <w:r>
        <w:rPr>
          <w:i/>
        </w:rPr>
        <w:instrText xml:space="preserve"> REF _Ref167307489 \r \h </w:instrText>
      </w:r>
      <w:r>
        <w:rPr>
          <w:i/>
        </w:rPr>
      </w:r>
      <w:r>
        <w:rPr>
          <w:i/>
        </w:rPr>
        <w:fldChar w:fldCharType="separate"/>
      </w:r>
      <w:r>
        <w:rPr>
          <w:i/>
        </w:rPr>
        <w:t>2.4</w:t>
      </w:r>
      <w:r>
        <w:rPr>
          <w:i/>
        </w:rPr>
        <w:fldChar w:fldCharType="end"/>
      </w:r>
      <w:r w:rsidRPr="00437F01">
        <w:rPr>
          <w:i/>
        </w:rPr>
        <w:t>–</w:t>
      </w:r>
      <w:r>
        <w:rPr>
          <w:i/>
        </w:rPr>
        <w:fldChar w:fldCharType="begin"/>
      </w:r>
      <w:r>
        <w:rPr>
          <w:i/>
        </w:rPr>
        <w:instrText xml:space="preserve"> REF _Ref167307499 \r \h </w:instrText>
      </w:r>
      <w:r>
        <w:rPr>
          <w:i/>
        </w:rPr>
      </w:r>
      <w:r>
        <w:rPr>
          <w:i/>
        </w:rPr>
        <w:fldChar w:fldCharType="separate"/>
      </w:r>
      <w:r>
        <w:rPr>
          <w:i/>
        </w:rPr>
        <w:t>2.7</w:t>
      </w:r>
      <w:r>
        <w:rPr>
          <w:i/>
        </w:rPr>
        <w:fldChar w:fldCharType="end"/>
      </w:r>
      <w:r w:rsidRPr="00437F01">
        <w:rPr>
          <w:i/>
        </w:rPr>
        <w:t xml:space="preserve"> below shall apply instead of what is stated in section </w:t>
      </w:r>
      <w:r>
        <w:rPr>
          <w:i/>
        </w:rPr>
        <w:fldChar w:fldCharType="begin"/>
      </w:r>
      <w:r>
        <w:rPr>
          <w:i/>
        </w:rPr>
        <w:instrText xml:space="preserve"> REF _Ref167307519 \r \h </w:instrText>
      </w:r>
      <w:r>
        <w:rPr>
          <w:i/>
        </w:rPr>
      </w:r>
      <w:r>
        <w:rPr>
          <w:i/>
        </w:rPr>
        <w:fldChar w:fldCharType="separate"/>
      </w:r>
      <w:r>
        <w:rPr>
          <w:i/>
        </w:rPr>
        <w:t>2.2</w:t>
      </w:r>
      <w:r>
        <w:rPr>
          <w:i/>
        </w:rPr>
        <w:fldChar w:fldCharType="end"/>
      </w:r>
      <w:r w:rsidRPr="00437F01">
        <w:rPr>
          <w:i/>
        </w:rPr>
        <w:t xml:space="preserve"> above.</w:t>
      </w:r>
    </w:p>
    <w:p w14:paraId="3930035E" w14:textId="44422AF6" w:rsidR="006350FE" w:rsidRPr="00437F01" w:rsidRDefault="006350FE" w:rsidP="007C4B62">
      <w:pPr>
        <w:pStyle w:val="BodyText"/>
        <w:numPr>
          <w:ilvl w:val="1"/>
          <w:numId w:val="57"/>
        </w:numPr>
      </w:pPr>
      <w:r w:rsidRPr="00A50800">
        <w:rPr>
          <w:lang w:val="sv-SE"/>
        </w:rPr>
        <w:t xml:space="preserve">Optionsinnehavare </w:t>
      </w:r>
      <w:r>
        <w:rPr>
          <w:lang w:val="sv-SE"/>
        </w:rPr>
        <w:t>ska</w:t>
      </w:r>
      <w:r w:rsidRPr="00A50800">
        <w:rPr>
          <w:lang w:val="sv-SE"/>
        </w:rPr>
        <w:t xml:space="preserve">, efter det att beslut enligt punkt </w:t>
      </w:r>
      <w:r>
        <w:fldChar w:fldCharType="begin"/>
      </w:r>
      <w:r>
        <w:rPr>
          <w:lang w:val="sv-SE"/>
        </w:rPr>
        <w:instrText xml:space="preserve"> REF _Ref167307568 \r \h </w:instrText>
      </w:r>
      <w:r>
        <w:fldChar w:fldCharType="separate"/>
      </w:r>
      <w:r>
        <w:rPr>
          <w:lang w:val="sv-SE"/>
        </w:rPr>
        <w:t>2.3</w:t>
      </w:r>
      <w:r>
        <w:fldChar w:fldCharType="end"/>
      </w:r>
      <w:r w:rsidRPr="00A50800">
        <w:rPr>
          <w:lang w:val="sv-SE"/>
        </w:rPr>
        <w:t xml:space="preserve"> fattats, på Bolagets anmaning vara skyldig att omedelbart till Bolaget eller Euroclear inlämna samtliga teckningsoptionsbevis representerande Teckningsoptioner samt meddela Bolaget erforderliga uppgifter om värdepapperskonto på vilket Optionsinnehavarens Teckningsoptioner </w:t>
      </w:r>
      <w:r>
        <w:rPr>
          <w:lang w:val="sv-SE"/>
        </w:rPr>
        <w:t>ska</w:t>
      </w:r>
      <w:r w:rsidRPr="00A50800">
        <w:rPr>
          <w:lang w:val="sv-SE"/>
        </w:rPr>
        <w:t xml:space="preserve"> registreras enligt nedan.</w:t>
      </w:r>
      <w:r w:rsidRPr="00A50800">
        <w:rPr>
          <w:lang w:val="sv-SE"/>
        </w:rPr>
        <w:br/>
      </w:r>
      <w:r w:rsidRPr="00437F01">
        <w:rPr>
          <w:i/>
        </w:rPr>
        <w:t xml:space="preserve">A </w:t>
      </w:r>
      <w:r>
        <w:rPr>
          <w:i/>
        </w:rPr>
        <w:t xml:space="preserve">Warrant </w:t>
      </w:r>
      <w:r w:rsidRPr="00437F01">
        <w:rPr>
          <w:i/>
        </w:rPr>
        <w:t xml:space="preserve">Holder shall, after a resolution according to section </w:t>
      </w:r>
      <w:r>
        <w:rPr>
          <w:i/>
        </w:rPr>
        <w:fldChar w:fldCharType="begin"/>
      </w:r>
      <w:r>
        <w:rPr>
          <w:i/>
        </w:rPr>
        <w:instrText xml:space="preserve"> REF _Ref167307568 \r \h </w:instrText>
      </w:r>
      <w:r>
        <w:rPr>
          <w:i/>
        </w:rPr>
      </w:r>
      <w:r>
        <w:rPr>
          <w:i/>
        </w:rPr>
        <w:fldChar w:fldCharType="separate"/>
      </w:r>
      <w:r>
        <w:rPr>
          <w:i/>
        </w:rPr>
        <w:t>2.3</w:t>
      </w:r>
      <w:r>
        <w:rPr>
          <w:i/>
        </w:rPr>
        <w:fldChar w:fldCharType="end"/>
      </w:r>
      <w:r w:rsidRPr="00437F01">
        <w:rPr>
          <w:i/>
        </w:rPr>
        <w:t xml:space="preserve"> has been passed, upon the Company's request be obliged to immediately submit to the Company or Euroclear all the warrant certificates representing the Warrants and supply the Company with the necessary information on the securities account in which the </w:t>
      </w:r>
      <w:r>
        <w:rPr>
          <w:i/>
        </w:rPr>
        <w:t xml:space="preserve">Warrant </w:t>
      </w:r>
      <w:r w:rsidRPr="00437F01">
        <w:rPr>
          <w:i/>
        </w:rPr>
        <w:t>Holder's Warrants shall be registered according to the below.</w:t>
      </w:r>
    </w:p>
    <w:p w14:paraId="01FDFCCD" w14:textId="77777777" w:rsidR="006350FE" w:rsidRPr="00437F01" w:rsidRDefault="006350FE" w:rsidP="007C4B62">
      <w:pPr>
        <w:pStyle w:val="BodyText"/>
        <w:numPr>
          <w:ilvl w:val="1"/>
          <w:numId w:val="57"/>
        </w:numPr>
      </w:pPr>
      <w:r w:rsidRPr="00A50800">
        <w:rPr>
          <w:lang w:val="sv-SE"/>
        </w:rPr>
        <w:t xml:space="preserve">Teckningsoptionerna </w:t>
      </w:r>
      <w:r>
        <w:rPr>
          <w:lang w:val="sv-SE"/>
        </w:rPr>
        <w:t>ska</w:t>
      </w:r>
      <w:r w:rsidRPr="00A50800">
        <w:rPr>
          <w:lang w:val="sv-SE"/>
        </w:rPr>
        <w:t xml:space="preserve"> registreras av Euroclear i ett avstämningsregister enligt lagen (1998:1479) om värdepapperscentraler och kontoföring av finansiella instrument, till följd varav inga fysiska värdepapper </w:t>
      </w:r>
      <w:r>
        <w:rPr>
          <w:lang w:val="sv-SE"/>
        </w:rPr>
        <w:t>ska</w:t>
      </w:r>
      <w:r w:rsidRPr="00A50800">
        <w:rPr>
          <w:lang w:val="sv-SE"/>
        </w:rPr>
        <w:t xml:space="preserve"> utges.</w:t>
      </w:r>
      <w:r w:rsidRPr="00A50800">
        <w:rPr>
          <w:lang w:val="sv-SE"/>
        </w:rPr>
        <w:br/>
      </w:r>
      <w:r w:rsidRPr="00437F01">
        <w:rPr>
          <w:i/>
        </w:rPr>
        <w:t xml:space="preserve">The Warrants shall be registered by Euroclear in a securities register pursuant to the </w:t>
      </w:r>
      <w:r>
        <w:rPr>
          <w:i/>
        </w:rPr>
        <w:t xml:space="preserve">Swedish </w:t>
      </w:r>
      <w:r w:rsidRPr="00437F01">
        <w:rPr>
          <w:i/>
        </w:rPr>
        <w:t>Central Securities Deposit</w:t>
      </w:r>
      <w:r>
        <w:rPr>
          <w:i/>
        </w:rPr>
        <w:t>o</w:t>
      </w:r>
      <w:r w:rsidRPr="00437F01">
        <w:rPr>
          <w:i/>
        </w:rPr>
        <w:t>ries and Financial Instruments Accounts Act (1998:147</w:t>
      </w:r>
      <w:r>
        <w:rPr>
          <w:i/>
        </w:rPr>
        <w:t>9</w:t>
      </w:r>
      <w:r w:rsidRPr="00437F01">
        <w:rPr>
          <w:i/>
        </w:rPr>
        <w:t>) and consequently no physical securities will be issued.</w:t>
      </w:r>
    </w:p>
    <w:p w14:paraId="07D7FB2D" w14:textId="77777777" w:rsidR="006350FE" w:rsidRPr="00437F01" w:rsidRDefault="006350FE" w:rsidP="007C4B62">
      <w:pPr>
        <w:pStyle w:val="BodyText"/>
        <w:numPr>
          <w:ilvl w:val="1"/>
          <w:numId w:val="57"/>
        </w:numPr>
      </w:pPr>
      <w:r w:rsidRPr="00A50800">
        <w:rPr>
          <w:lang w:val="sv-SE"/>
        </w:rPr>
        <w:t xml:space="preserve">Teckningsoptionerna registreras för </w:t>
      </w:r>
      <w:r>
        <w:rPr>
          <w:lang w:val="sv-SE"/>
        </w:rPr>
        <w:t>Optionsinnehavare</w:t>
      </w:r>
      <w:r w:rsidRPr="00A50800">
        <w:rPr>
          <w:lang w:val="sv-SE"/>
        </w:rPr>
        <w:t xml:space="preserve">ns räkning på konto i Bolagets avstämningsregister. </w:t>
      </w:r>
      <w:proofErr w:type="spellStart"/>
      <w:r w:rsidRPr="006B6AC0">
        <w:rPr>
          <w:lang w:val="en-US"/>
        </w:rPr>
        <w:t>Registreringar</w:t>
      </w:r>
      <w:proofErr w:type="spellEnd"/>
      <w:r w:rsidRPr="006B6AC0">
        <w:rPr>
          <w:lang w:val="en-US"/>
        </w:rPr>
        <w:t xml:space="preserve"> </w:t>
      </w:r>
      <w:proofErr w:type="spellStart"/>
      <w:r w:rsidRPr="006B6AC0">
        <w:rPr>
          <w:lang w:val="en-US"/>
        </w:rPr>
        <w:t>avseende</w:t>
      </w:r>
      <w:proofErr w:type="spellEnd"/>
      <w:r w:rsidRPr="006B6AC0">
        <w:rPr>
          <w:lang w:val="en-US"/>
        </w:rPr>
        <w:t xml:space="preserve"> </w:t>
      </w:r>
      <w:proofErr w:type="spellStart"/>
      <w:r w:rsidRPr="006B6AC0">
        <w:rPr>
          <w:lang w:val="en-US"/>
        </w:rPr>
        <w:t>Teckningsoptionerna</w:t>
      </w:r>
      <w:proofErr w:type="spellEnd"/>
      <w:r w:rsidRPr="006B6AC0">
        <w:rPr>
          <w:lang w:val="en-US"/>
        </w:rPr>
        <w:t xml:space="preserve"> ska </w:t>
      </w:r>
      <w:proofErr w:type="spellStart"/>
      <w:r w:rsidRPr="006B6AC0">
        <w:rPr>
          <w:lang w:val="en-US"/>
        </w:rPr>
        <w:t>ombesörjas</w:t>
      </w:r>
      <w:proofErr w:type="spellEnd"/>
      <w:r w:rsidRPr="006B6AC0">
        <w:rPr>
          <w:lang w:val="en-US"/>
        </w:rPr>
        <w:t xml:space="preserve"> av Banken.</w:t>
      </w:r>
      <w:r w:rsidRPr="006B6AC0">
        <w:rPr>
          <w:lang w:val="en-US"/>
        </w:rPr>
        <w:br/>
      </w:r>
      <w:r w:rsidRPr="00437F01">
        <w:rPr>
          <w:i/>
        </w:rPr>
        <w:t xml:space="preserve">The Warrants are registered on an account in the Company's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register on behalf of the </w:t>
      </w:r>
      <w:r>
        <w:rPr>
          <w:i/>
        </w:rPr>
        <w:t>Warrant Holder</w:t>
      </w:r>
      <w:r w:rsidRPr="00437F01">
        <w:rPr>
          <w:i/>
        </w:rPr>
        <w:t>. Registrations relating to the Warrants shall be made by the Bank.</w:t>
      </w:r>
    </w:p>
    <w:p w14:paraId="03CB9165" w14:textId="06EBB3AD" w:rsidR="006350FE" w:rsidRPr="00437F01" w:rsidRDefault="006350FE" w:rsidP="007C4B62">
      <w:pPr>
        <w:pStyle w:val="BodyText"/>
        <w:numPr>
          <w:ilvl w:val="1"/>
          <w:numId w:val="57"/>
        </w:numPr>
      </w:pPr>
      <w:r w:rsidRPr="00A50800">
        <w:rPr>
          <w:lang w:val="sv-SE"/>
        </w:rPr>
        <w:t xml:space="preserve">För det fall Bolagets styrelse fattat beslut enligt punkt </w:t>
      </w:r>
      <w:r>
        <w:fldChar w:fldCharType="begin"/>
      </w:r>
      <w:r>
        <w:rPr>
          <w:lang w:val="sv-SE"/>
        </w:rPr>
        <w:instrText xml:space="preserve"> REF _Ref167307568 \r \h </w:instrText>
      </w:r>
      <w:r>
        <w:fldChar w:fldCharType="separate"/>
      </w:r>
      <w:r>
        <w:rPr>
          <w:lang w:val="sv-SE"/>
        </w:rPr>
        <w:t>2.3</w:t>
      </w:r>
      <w:r>
        <w:fldChar w:fldCharType="end"/>
      </w:r>
      <w:r w:rsidRPr="00A50800">
        <w:rPr>
          <w:lang w:val="sv-SE"/>
        </w:rPr>
        <w:t xml:space="preserve"> ovan, </w:t>
      </w:r>
      <w:r>
        <w:rPr>
          <w:lang w:val="sv-SE"/>
        </w:rPr>
        <w:t>ska</w:t>
      </w:r>
      <w:r w:rsidRPr="00A50800">
        <w:rPr>
          <w:lang w:val="sv-SE"/>
        </w:rPr>
        <w:t xml:space="preserve"> styrelsen därefter vara oförhindrad att, med de begränsningar som må följa av lag eller annan författning, fatta beslut om att Teckningsoptionerna inte längre </w:t>
      </w:r>
      <w:r>
        <w:rPr>
          <w:lang w:val="sv-SE"/>
        </w:rPr>
        <w:t>ska</w:t>
      </w:r>
      <w:r w:rsidRPr="00A50800">
        <w:rPr>
          <w:lang w:val="sv-SE"/>
        </w:rPr>
        <w:t xml:space="preserve"> vara registrerade av Euroclear i ett avstämningsregister. För det fall sådant sistnämnt beslut fattats </w:t>
      </w:r>
      <w:r>
        <w:rPr>
          <w:lang w:val="sv-SE"/>
        </w:rPr>
        <w:t>ska</w:t>
      </w:r>
      <w:r w:rsidRPr="00A50800">
        <w:rPr>
          <w:lang w:val="sv-SE"/>
        </w:rPr>
        <w:t xml:space="preserve"> vad som stadgas i </w:t>
      </w:r>
      <w:r>
        <w:rPr>
          <w:lang w:val="sv-SE"/>
        </w:rPr>
        <w:t>punkt </w:t>
      </w:r>
      <w:r>
        <w:fldChar w:fldCharType="begin"/>
      </w:r>
      <w:r>
        <w:rPr>
          <w:lang w:val="sv-SE"/>
        </w:rPr>
        <w:instrText xml:space="preserve"> REF _Ref167307519 \r \h </w:instrText>
      </w:r>
      <w:r>
        <w:fldChar w:fldCharType="separate"/>
      </w:r>
      <w:r>
        <w:rPr>
          <w:lang w:val="sv-SE"/>
        </w:rPr>
        <w:t>2.2</w:t>
      </w:r>
      <w:r>
        <w:fldChar w:fldCharType="end"/>
      </w:r>
      <w:r w:rsidRPr="00A50800">
        <w:rPr>
          <w:lang w:val="sv-SE"/>
        </w:rPr>
        <w:t xml:space="preserve"> ovan gälla istället för vad som stadgas i</w:t>
      </w:r>
      <w:r>
        <w:rPr>
          <w:lang w:val="sv-SE"/>
        </w:rPr>
        <w:t xml:space="preserve"> punkterna</w:t>
      </w:r>
      <w:r w:rsidRPr="00A50800">
        <w:rPr>
          <w:lang w:val="sv-SE"/>
        </w:rPr>
        <w:t xml:space="preserve"> </w:t>
      </w:r>
      <w:r>
        <w:fldChar w:fldCharType="begin"/>
      </w:r>
      <w:r>
        <w:rPr>
          <w:lang w:val="sv-SE"/>
        </w:rPr>
        <w:instrText xml:space="preserve"> REF _Ref167307489 \r \h </w:instrText>
      </w:r>
      <w:r>
        <w:fldChar w:fldCharType="separate"/>
      </w:r>
      <w:r>
        <w:rPr>
          <w:lang w:val="sv-SE"/>
        </w:rPr>
        <w:t>2.4</w:t>
      </w:r>
      <w:r>
        <w:fldChar w:fldCharType="end"/>
      </w:r>
      <w:r>
        <w:rPr>
          <w:lang w:val="sv-SE"/>
        </w:rPr>
        <w:t>–</w:t>
      </w:r>
      <w:r>
        <w:fldChar w:fldCharType="begin"/>
      </w:r>
      <w:r>
        <w:rPr>
          <w:lang w:val="sv-SE"/>
        </w:rPr>
        <w:instrText xml:space="preserve"> REF _Ref167307610 \r \h </w:instrText>
      </w:r>
      <w:r>
        <w:fldChar w:fldCharType="separate"/>
      </w:r>
      <w:r>
        <w:rPr>
          <w:lang w:val="sv-SE"/>
        </w:rPr>
        <w:t>2.6</w:t>
      </w:r>
      <w:r>
        <w:fldChar w:fldCharType="end"/>
      </w:r>
      <w:r w:rsidRPr="00A50800">
        <w:rPr>
          <w:lang w:val="sv-SE"/>
        </w:rPr>
        <w:t xml:space="preserve"> ovan.</w:t>
      </w:r>
      <w:r w:rsidRPr="00A50800">
        <w:rPr>
          <w:lang w:val="sv-SE"/>
        </w:rPr>
        <w:br/>
      </w:r>
      <w:r w:rsidRPr="00437F01">
        <w:rPr>
          <w:i/>
        </w:rPr>
        <w:t xml:space="preserve">In the event that the Company's board of directors has passed a resolution in accordance with </w:t>
      </w:r>
      <w:r w:rsidRPr="00437F01">
        <w:rPr>
          <w:i/>
        </w:rPr>
        <w:lastRenderedPageBreak/>
        <w:t xml:space="preserve">section </w:t>
      </w:r>
      <w:r>
        <w:rPr>
          <w:i/>
        </w:rPr>
        <w:fldChar w:fldCharType="begin"/>
      </w:r>
      <w:r>
        <w:rPr>
          <w:i/>
        </w:rPr>
        <w:instrText xml:space="preserve"> REF _Ref167307568 \r \h </w:instrText>
      </w:r>
      <w:r>
        <w:rPr>
          <w:i/>
        </w:rPr>
      </w:r>
      <w:r>
        <w:rPr>
          <w:i/>
        </w:rPr>
        <w:fldChar w:fldCharType="separate"/>
      </w:r>
      <w:r>
        <w:rPr>
          <w:i/>
        </w:rPr>
        <w:t>2.3</w:t>
      </w:r>
      <w:r>
        <w:rPr>
          <w:i/>
        </w:rPr>
        <w:fldChar w:fldCharType="end"/>
      </w:r>
      <w:r w:rsidRPr="00437F01">
        <w:rPr>
          <w:i/>
        </w:rPr>
        <w:t xml:space="preserve"> above, the board of directors will be free to resolve, within the restrictions that may follow from law or other regulations, that the Warrants shall no longer be registered by Euroclear in a securities register. If such a resolution is passed, what is stated in section </w:t>
      </w:r>
      <w:r>
        <w:rPr>
          <w:i/>
        </w:rPr>
        <w:fldChar w:fldCharType="begin"/>
      </w:r>
      <w:r>
        <w:rPr>
          <w:i/>
        </w:rPr>
        <w:instrText xml:space="preserve"> REF _Ref167307519 \r \h </w:instrText>
      </w:r>
      <w:r>
        <w:rPr>
          <w:i/>
        </w:rPr>
      </w:r>
      <w:r>
        <w:rPr>
          <w:i/>
        </w:rPr>
        <w:fldChar w:fldCharType="separate"/>
      </w:r>
      <w:r>
        <w:rPr>
          <w:i/>
        </w:rPr>
        <w:t>2.2</w:t>
      </w:r>
      <w:r>
        <w:rPr>
          <w:i/>
        </w:rPr>
        <w:fldChar w:fldCharType="end"/>
      </w:r>
      <w:r w:rsidRPr="00437F01">
        <w:t xml:space="preserve"> </w:t>
      </w:r>
      <w:r w:rsidRPr="00437F01">
        <w:rPr>
          <w:i/>
        </w:rPr>
        <w:t>above shall apply instead of what is stated in sections</w:t>
      </w:r>
      <w:r>
        <w:rPr>
          <w:i/>
        </w:rPr>
        <w:t xml:space="preserve"> </w:t>
      </w:r>
      <w:r>
        <w:rPr>
          <w:i/>
        </w:rPr>
        <w:fldChar w:fldCharType="begin"/>
      </w:r>
      <w:r>
        <w:rPr>
          <w:i/>
        </w:rPr>
        <w:instrText xml:space="preserve"> REF _Ref167307489 \r \h </w:instrText>
      </w:r>
      <w:r>
        <w:rPr>
          <w:i/>
        </w:rPr>
      </w:r>
      <w:r>
        <w:rPr>
          <w:i/>
        </w:rPr>
        <w:fldChar w:fldCharType="separate"/>
      </w:r>
      <w:r>
        <w:rPr>
          <w:i/>
        </w:rPr>
        <w:t>2.4</w:t>
      </w:r>
      <w:r>
        <w:rPr>
          <w:i/>
        </w:rPr>
        <w:fldChar w:fldCharType="end"/>
      </w:r>
      <w:r w:rsidRPr="00437F01">
        <w:rPr>
          <w:i/>
        </w:rPr>
        <w:t>–</w:t>
      </w:r>
      <w:r>
        <w:rPr>
          <w:i/>
        </w:rPr>
        <w:fldChar w:fldCharType="begin"/>
      </w:r>
      <w:r>
        <w:rPr>
          <w:i/>
        </w:rPr>
        <w:instrText xml:space="preserve"> REF _Ref167307610 \r \h </w:instrText>
      </w:r>
      <w:r>
        <w:rPr>
          <w:i/>
        </w:rPr>
      </w:r>
      <w:r>
        <w:rPr>
          <w:i/>
        </w:rPr>
        <w:fldChar w:fldCharType="separate"/>
      </w:r>
      <w:r>
        <w:rPr>
          <w:i/>
        </w:rPr>
        <w:t>2.6</w:t>
      </w:r>
      <w:r>
        <w:rPr>
          <w:i/>
        </w:rPr>
        <w:fldChar w:fldCharType="end"/>
      </w:r>
      <w:r w:rsidRPr="00437F01">
        <w:rPr>
          <w:i/>
        </w:rPr>
        <w:t xml:space="preserve"> above.</w:t>
      </w:r>
    </w:p>
    <w:p w14:paraId="339581F6" w14:textId="77777777" w:rsidR="006350FE" w:rsidRPr="00437F01" w:rsidRDefault="006350FE" w:rsidP="007C4B62">
      <w:pPr>
        <w:pStyle w:val="BodyText"/>
        <w:numPr>
          <w:ilvl w:val="0"/>
          <w:numId w:val="57"/>
        </w:numPr>
        <w:spacing w:after="0"/>
        <w:rPr>
          <w:i/>
        </w:rPr>
      </w:pPr>
      <w:r w:rsidRPr="00CD6D9C">
        <w:rPr>
          <w:b/>
          <w:bCs/>
          <w:lang w:val="sv-SE"/>
        </w:rPr>
        <w:t xml:space="preserve">Rätt att teckna nya </w:t>
      </w:r>
      <w:r>
        <w:rPr>
          <w:b/>
          <w:bCs/>
          <w:lang w:val="sv-SE"/>
        </w:rPr>
        <w:t>Aktie</w:t>
      </w:r>
      <w:r w:rsidRPr="00CD6D9C">
        <w:rPr>
          <w:b/>
          <w:bCs/>
          <w:lang w:val="sv-SE"/>
        </w:rPr>
        <w:t>r</w:t>
      </w:r>
      <w:r w:rsidRPr="00A50800">
        <w:rPr>
          <w:b/>
          <w:bCs/>
        </w:rPr>
        <w:t>/</w:t>
      </w:r>
      <w:r w:rsidRPr="00A50800">
        <w:rPr>
          <w:b/>
          <w:bCs/>
          <w:i/>
          <w:iCs/>
        </w:rPr>
        <w:t xml:space="preserve">Right to subscribe for new </w:t>
      </w:r>
      <w:r>
        <w:rPr>
          <w:b/>
          <w:bCs/>
          <w:i/>
          <w:iCs/>
        </w:rPr>
        <w:t>Share</w:t>
      </w:r>
      <w:r w:rsidRPr="00A50800">
        <w:rPr>
          <w:b/>
          <w:bCs/>
          <w:i/>
          <w:iCs/>
        </w:rPr>
        <w:t>s</w:t>
      </w:r>
    </w:p>
    <w:p w14:paraId="09A78062" w14:textId="77777777" w:rsidR="006350FE" w:rsidRPr="00437F01" w:rsidRDefault="006350FE" w:rsidP="007C4B62">
      <w:pPr>
        <w:pStyle w:val="BodyText"/>
        <w:numPr>
          <w:ilvl w:val="1"/>
          <w:numId w:val="57"/>
        </w:numPr>
      </w:pPr>
      <w:r w:rsidRPr="00A50800">
        <w:rPr>
          <w:lang w:val="sv-SE"/>
        </w:rPr>
        <w:t>O</w:t>
      </w:r>
      <w:r w:rsidRPr="00CD6D9C">
        <w:rPr>
          <w:lang w:val="sv-SE"/>
        </w:rPr>
        <w:t>ptions</w:t>
      </w:r>
      <w:r>
        <w:rPr>
          <w:lang w:val="sv-SE"/>
        </w:rPr>
        <w:t>inne</w:t>
      </w:r>
      <w:r w:rsidRPr="00CD6D9C">
        <w:rPr>
          <w:lang w:val="sv-SE"/>
        </w:rPr>
        <w:t>havar</w:t>
      </w:r>
      <w:r>
        <w:rPr>
          <w:lang w:val="sv-SE"/>
        </w:rPr>
        <w:t>e</w:t>
      </w:r>
      <w:r w:rsidRPr="00CD6D9C">
        <w:rPr>
          <w:lang w:val="sv-SE"/>
        </w:rPr>
        <w:t xml:space="preserve"> </w:t>
      </w:r>
      <w:r>
        <w:rPr>
          <w:lang w:val="sv-SE"/>
        </w:rPr>
        <w:t>ska</w:t>
      </w:r>
      <w:r w:rsidRPr="00CD6D9C">
        <w:rPr>
          <w:lang w:val="sv-SE"/>
        </w:rPr>
        <w:t xml:space="preserve"> </w:t>
      </w:r>
      <w:r>
        <w:rPr>
          <w:lang w:val="sv-SE"/>
        </w:rPr>
        <w:t>ha</w:t>
      </w:r>
      <w:r w:rsidRPr="00CD6D9C">
        <w:rPr>
          <w:lang w:val="sv-SE"/>
        </w:rPr>
        <w:t xml:space="preserve"> rätt att under perioden från </w:t>
      </w:r>
      <w:r w:rsidRPr="008570D1">
        <w:rPr>
          <w:lang w:val="sv-SE"/>
        </w:rPr>
        <w:t>och med registrering hos Bolagsverket till och med den 30 november 202</w:t>
      </w:r>
      <w:r>
        <w:rPr>
          <w:lang w:val="sv-SE"/>
        </w:rPr>
        <w:t>8</w:t>
      </w:r>
      <w:r w:rsidRPr="00356EDF">
        <w:rPr>
          <w:lang w:val="sv-SE"/>
        </w:rPr>
        <w:t>, e</w:t>
      </w:r>
      <w:r w:rsidRPr="00CD6D9C">
        <w:rPr>
          <w:lang w:val="sv-SE"/>
        </w:rPr>
        <w:t xml:space="preserve">ller den tidigare dag som följer av punkt </w:t>
      </w:r>
      <w:r>
        <w:rPr>
          <w:lang w:val="sv-SE"/>
        </w:rPr>
        <w:fldChar w:fldCharType="begin"/>
      </w:r>
      <w:r>
        <w:rPr>
          <w:lang w:val="sv-SE"/>
        </w:rPr>
        <w:instrText xml:space="preserve"> REF _Ref167307664 \r \h </w:instrText>
      </w:r>
      <w:r>
        <w:rPr>
          <w:lang w:val="sv-SE"/>
        </w:rPr>
      </w:r>
      <w:r>
        <w:rPr>
          <w:lang w:val="sv-SE"/>
        </w:rPr>
        <w:fldChar w:fldCharType="separate"/>
      </w:r>
      <w:r>
        <w:rPr>
          <w:lang w:val="sv-SE"/>
        </w:rPr>
        <w:t>8</w:t>
      </w:r>
      <w:r>
        <w:rPr>
          <w:lang w:val="sv-SE"/>
        </w:rPr>
        <w:fldChar w:fldCharType="end"/>
      </w:r>
      <w:r w:rsidRPr="00CD6D9C">
        <w:rPr>
          <w:lang w:val="sv-SE"/>
        </w:rPr>
        <w:t xml:space="preserve"> nedan, för varje Teckningsoption teckna en (1) ny Aktie. </w:t>
      </w:r>
      <w:proofErr w:type="spellStart"/>
      <w:r w:rsidRPr="00EE396E">
        <w:rPr>
          <w:lang w:val="en-US"/>
        </w:rPr>
        <w:t>Teckningskursen</w:t>
      </w:r>
      <w:proofErr w:type="spellEnd"/>
      <w:r w:rsidRPr="00EE396E">
        <w:rPr>
          <w:lang w:val="en-US"/>
        </w:rPr>
        <w:t xml:space="preserve"> per </w:t>
      </w:r>
      <w:proofErr w:type="spellStart"/>
      <w:r w:rsidRPr="00EE396E">
        <w:rPr>
          <w:lang w:val="en-US"/>
        </w:rPr>
        <w:t>Aktie</w:t>
      </w:r>
      <w:proofErr w:type="spellEnd"/>
      <w:r w:rsidRPr="00EE396E">
        <w:rPr>
          <w:lang w:val="en-US"/>
        </w:rPr>
        <w:t xml:space="preserve"> ska </w:t>
      </w:r>
      <w:proofErr w:type="spellStart"/>
      <w:r w:rsidRPr="00EE396E">
        <w:rPr>
          <w:lang w:val="en-US"/>
        </w:rPr>
        <w:t>motsvara</w:t>
      </w:r>
      <w:proofErr w:type="spellEnd"/>
      <w:r w:rsidRPr="00EE396E">
        <w:rPr>
          <w:lang w:val="en-US"/>
        </w:rPr>
        <w:t xml:space="preserve"> </w:t>
      </w:r>
      <w:proofErr w:type="spellStart"/>
      <w:r w:rsidRPr="00EE396E">
        <w:rPr>
          <w:lang w:val="en-US"/>
        </w:rPr>
        <w:t>aktiens</w:t>
      </w:r>
      <w:proofErr w:type="spellEnd"/>
      <w:r w:rsidRPr="00EE396E">
        <w:rPr>
          <w:lang w:val="en-US"/>
        </w:rPr>
        <w:t xml:space="preserve"> </w:t>
      </w:r>
      <w:proofErr w:type="spellStart"/>
      <w:r w:rsidRPr="00EE396E">
        <w:rPr>
          <w:lang w:val="en-US"/>
        </w:rPr>
        <w:t>kvotvärde</w:t>
      </w:r>
      <w:proofErr w:type="spellEnd"/>
      <w:r w:rsidRPr="00EE396E">
        <w:rPr>
          <w:lang w:val="en-US"/>
        </w:rPr>
        <w:t>.</w:t>
      </w:r>
      <w:r w:rsidRPr="00EE396E">
        <w:rPr>
          <w:lang w:val="en-US"/>
        </w:rPr>
        <w:br/>
      </w:r>
      <w:r w:rsidRPr="00437F01">
        <w:rPr>
          <w:i/>
        </w:rPr>
        <w:t>During the period as fro</w:t>
      </w:r>
      <w:r w:rsidRPr="00356EDF">
        <w:rPr>
          <w:i/>
        </w:rPr>
        <w:t xml:space="preserve">m </w:t>
      </w:r>
      <w:r>
        <w:rPr>
          <w:i/>
        </w:rPr>
        <w:t>registration with the Swedish Companies Registration Office up to and including 30 November 2028</w:t>
      </w:r>
      <w:r w:rsidRPr="00356EDF">
        <w:rPr>
          <w:i/>
        </w:rPr>
        <w:t>,</w:t>
      </w:r>
      <w:r w:rsidRPr="00437F01">
        <w:rPr>
          <w:i/>
        </w:rPr>
        <w:t xml:space="preserve"> or the earlier date set forth in section </w:t>
      </w:r>
      <w:r>
        <w:rPr>
          <w:i/>
        </w:rPr>
        <w:fldChar w:fldCharType="begin"/>
      </w:r>
      <w:r>
        <w:rPr>
          <w:i/>
        </w:rPr>
        <w:instrText xml:space="preserve"> REF _Ref167307664 \r \h </w:instrText>
      </w:r>
      <w:r>
        <w:rPr>
          <w:i/>
        </w:rPr>
      </w:r>
      <w:r>
        <w:rPr>
          <w:i/>
        </w:rPr>
        <w:fldChar w:fldCharType="separate"/>
      </w:r>
      <w:r>
        <w:rPr>
          <w:i/>
        </w:rPr>
        <w:t>8</w:t>
      </w:r>
      <w:r>
        <w:rPr>
          <w:i/>
        </w:rPr>
        <w:fldChar w:fldCharType="end"/>
      </w:r>
      <w:r>
        <w:rPr>
          <w:i/>
        </w:rPr>
        <w:t xml:space="preserve"> </w:t>
      </w:r>
      <w:r w:rsidRPr="00437F01">
        <w:rPr>
          <w:i/>
        </w:rPr>
        <w:t xml:space="preserve">below, </w:t>
      </w:r>
      <w:r>
        <w:rPr>
          <w:i/>
        </w:rPr>
        <w:t>Warrant Holder</w:t>
      </w:r>
      <w:r w:rsidRPr="00437F01">
        <w:rPr>
          <w:i/>
        </w:rPr>
        <w:t xml:space="preserve">s </w:t>
      </w:r>
      <w:r>
        <w:rPr>
          <w:i/>
        </w:rPr>
        <w:t>shall be</w:t>
      </w:r>
      <w:r w:rsidRPr="00437F01">
        <w:rPr>
          <w:i/>
        </w:rPr>
        <w:t xml:space="preserve"> entitled to sub</w:t>
      </w:r>
      <w:r w:rsidRPr="00356EDF">
        <w:rPr>
          <w:i/>
        </w:rPr>
        <w:t xml:space="preserve">scribe for one (1) new Share for each Warrant. The Subscription Price per Share shall </w:t>
      </w:r>
      <w:r>
        <w:rPr>
          <w:i/>
        </w:rPr>
        <w:t>correspond to the share's quota value.</w:t>
      </w:r>
    </w:p>
    <w:p w14:paraId="79F4DD28" w14:textId="77777777" w:rsidR="006350FE" w:rsidRPr="00437F01" w:rsidRDefault="006350FE" w:rsidP="007C4B62">
      <w:pPr>
        <w:pStyle w:val="BodyText"/>
        <w:numPr>
          <w:ilvl w:val="1"/>
          <w:numId w:val="57"/>
        </w:numPr>
      </w:pPr>
      <w:r w:rsidRPr="00356EDF">
        <w:rPr>
          <w:lang w:val="sv-SE"/>
        </w:rPr>
        <w:t xml:space="preserve">Teckningskursen, liksom antalet Aktier som varje Teckningsoption ger rätt att teckna, kan bli föremål för justering i de fall som anges i punkt </w:t>
      </w:r>
      <w:r w:rsidRPr="00356EDF">
        <w:rPr>
          <w:lang w:val="sv-SE"/>
        </w:rPr>
        <w:fldChar w:fldCharType="begin"/>
      </w:r>
      <w:r w:rsidRPr="00356EDF">
        <w:rPr>
          <w:lang w:val="sv-SE"/>
        </w:rPr>
        <w:instrText xml:space="preserve"> REF _Ref167307664 \r \h </w:instrText>
      </w:r>
      <w:r w:rsidRPr="00356EDF">
        <w:rPr>
          <w:lang w:val="sv-SE"/>
        </w:rPr>
      </w:r>
      <w:r w:rsidRPr="00356EDF">
        <w:rPr>
          <w:lang w:val="sv-SE"/>
        </w:rPr>
        <w:fldChar w:fldCharType="separate"/>
      </w:r>
      <w:r>
        <w:rPr>
          <w:lang w:val="sv-SE"/>
        </w:rPr>
        <w:t>8</w:t>
      </w:r>
      <w:r w:rsidRPr="00356EDF">
        <w:rPr>
          <w:lang w:val="sv-SE"/>
        </w:rPr>
        <w:fldChar w:fldCharType="end"/>
      </w:r>
      <w:r w:rsidRPr="00356EDF">
        <w:rPr>
          <w:lang w:val="sv-SE"/>
        </w:rPr>
        <w:t xml:space="preserve"> nedan. </w:t>
      </w:r>
      <w:proofErr w:type="spellStart"/>
      <w:r w:rsidRPr="006B6AC0">
        <w:rPr>
          <w:lang w:val="en-US"/>
        </w:rPr>
        <w:t>Teckningskursen</w:t>
      </w:r>
      <w:proofErr w:type="spellEnd"/>
      <w:r w:rsidRPr="006B6AC0">
        <w:rPr>
          <w:lang w:val="en-US"/>
        </w:rPr>
        <w:t xml:space="preserve"> </w:t>
      </w:r>
      <w:proofErr w:type="spellStart"/>
      <w:r w:rsidRPr="006B6AC0">
        <w:rPr>
          <w:lang w:val="en-US"/>
        </w:rPr>
        <w:t>får</w:t>
      </w:r>
      <w:proofErr w:type="spellEnd"/>
      <w:r w:rsidRPr="006B6AC0">
        <w:rPr>
          <w:lang w:val="en-US"/>
        </w:rPr>
        <w:t xml:space="preserve"> dock </w:t>
      </w:r>
      <w:proofErr w:type="spellStart"/>
      <w:r w:rsidRPr="006B6AC0">
        <w:rPr>
          <w:lang w:val="en-US"/>
        </w:rPr>
        <w:t>aldrig</w:t>
      </w:r>
      <w:proofErr w:type="spellEnd"/>
      <w:r w:rsidRPr="006B6AC0">
        <w:rPr>
          <w:lang w:val="en-US"/>
        </w:rPr>
        <w:t xml:space="preserve"> </w:t>
      </w:r>
      <w:proofErr w:type="spellStart"/>
      <w:r w:rsidRPr="006B6AC0">
        <w:rPr>
          <w:lang w:val="en-US"/>
        </w:rPr>
        <w:t>understiga</w:t>
      </w:r>
      <w:proofErr w:type="spellEnd"/>
      <w:r w:rsidRPr="006B6AC0">
        <w:rPr>
          <w:lang w:val="en-US"/>
        </w:rPr>
        <w:t xml:space="preserve"> </w:t>
      </w:r>
      <w:proofErr w:type="spellStart"/>
      <w:r w:rsidRPr="006B6AC0">
        <w:rPr>
          <w:lang w:val="en-US"/>
        </w:rPr>
        <w:t>Aktiens</w:t>
      </w:r>
      <w:proofErr w:type="spellEnd"/>
      <w:r w:rsidRPr="006B6AC0">
        <w:rPr>
          <w:lang w:val="en-US"/>
        </w:rPr>
        <w:t xml:space="preserve"> </w:t>
      </w:r>
      <w:proofErr w:type="spellStart"/>
      <w:r w:rsidRPr="006B6AC0">
        <w:rPr>
          <w:lang w:val="en-US"/>
        </w:rPr>
        <w:t>kvotvärde</w:t>
      </w:r>
      <w:proofErr w:type="spellEnd"/>
      <w:r w:rsidRPr="006B6AC0">
        <w:rPr>
          <w:lang w:val="en-US"/>
        </w:rPr>
        <w:t>.</w:t>
      </w:r>
      <w:r w:rsidRPr="00437F01">
        <w:br/>
      </w:r>
      <w:r w:rsidRPr="00437F01">
        <w:rPr>
          <w:i/>
        </w:rPr>
        <w:t xml:space="preserve">The Subscription Price as well as the number of </w:t>
      </w:r>
      <w:r>
        <w:rPr>
          <w:i/>
        </w:rPr>
        <w:t>Share</w:t>
      </w:r>
      <w:r w:rsidRPr="00437F01">
        <w:rPr>
          <w:i/>
        </w:rPr>
        <w:t xml:space="preserve">s which each Warrant entitles the </w:t>
      </w:r>
      <w:r>
        <w:rPr>
          <w:i/>
        </w:rPr>
        <w:t>Warrant H</w:t>
      </w:r>
      <w:r w:rsidRPr="00437F01">
        <w:rPr>
          <w:i/>
        </w:rPr>
        <w:t xml:space="preserve">older to subscribe for, may be subject to adjustment in cases specified in section </w:t>
      </w:r>
      <w:r>
        <w:rPr>
          <w:i/>
        </w:rPr>
        <w:fldChar w:fldCharType="begin"/>
      </w:r>
      <w:r>
        <w:rPr>
          <w:i/>
        </w:rPr>
        <w:instrText xml:space="preserve"> REF _Ref167307664 \r \h </w:instrText>
      </w:r>
      <w:r>
        <w:rPr>
          <w:i/>
        </w:rPr>
      </w:r>
      <w:r>
        <w:rPr>
          <w:i/>
        </w:rPr>
        <w:fldChar w:fldCharType="separate"/>
      </w:r>
      <w:r>
        <w:rPr>
          <w:i/>
        </w:rPr>
        <w:t>8</w:t>
      </w:r>
      <w:r>
        <w:rPr>
          <w:i/>
        </w:rPr>
        <w:fldChar w:fldCharType="end"/>
      </w:r>
      <w:r w:rsidRPr="00437F01">
        <w:rPr>
          <w:i/>
        </w:rPr>
        <w:t xml:space="preserve"> below. The Subscription Price may, however, never be less than the </w:t>
      </w:r>
      <w:r>
        <w:rPr>
          <w:i/>
        </w:rPr>
        <w:t>Share</w:t>
      </w:r>
      <w:r w:rsidRPr="00437F01">
        <w:rPr>
          <w:i/>
        </w:rPr>
        <w:t>'s quota value.</w:t>
      </w:r>
    </w:p>
    <w:p w14:paraId="41D53228" w14:textId="77777777" w:rsidR="006350FE" w:rsidRPr="008570D1" w:rsidRDefault="006350FE" w:rsidP="007C4B62">
      <w:pPr>
        <w:pStyle w:val="BodyText"/>
        <w:numPr>
          <w:ilvl w:val="1"/>
          <w:numId w:val="57"/>
        </w:numPr>
        <w:rPr>
          <w:lang w:val="en-US"/>
        </w:rPr>
      </w:pPr>
      <w:r w:rsidRPr="00614F81">
        <w:rPr>
          <w:iCs/>
          <w:lang w:val="sv-SE"/>
        </w:rPr>
        <w:t xml:space="preserve">Om en Optionsinnehavare är förhindrad att </w:t>
      </w:r>
      <w:r>
        <w:rPr>
          <w:iCs/>
          <w:lang w:val="sv-SE"/>
        </w:rPr>
        <w:t>teckna Aktier under den period som anges i punkt </w:t>
      </w:r>
      <w:r>
        <w:rPr>
          <w:iCs/>
          <w:lang w:val="sv-SE"/>
        </w:rPr>
        <w:fldChar w:fldCharType="begin"/>
      </w:r>
      <w:r>
        <w:rPr>
          <w:iCs/>
          <w:lang w:val="sv-SE"/>
        </w:rPr>
        <w:instrText xml:space="preserve"> REF _Ref167307717 \r \h </w:instrText>
      </w:r>
      <w:r>
        <w:rPr>
          <w:iCs/>
          <w:lang w:val="sv-SE"/>
        </w:rPr>
      </w:r>
      <w:r>
        <w:rPr>
          <w:iCs/>
          <w:lang w:val="sv-SE"/>
        </w:rPr>
        <w:fldChar w:fldCharType="separate"/>
      </w:r>
      <w:r>
        <w:rPr>
          <w:iCs/>
          <w:lang w:val="sv-SE"/>
        </w:rPr>
        <w:t>3.1</w:t>
      </w:r>
      <w:r>
        <w:rPr>
          <w:iCs/>
          <w:lang w:val="sv-SE"/>
        </w:rPr>
        <w:fldChar w:fldCharType="end"/>
      </w:r>
      <w:r>
        <w:rPr>
          <w:iCs/>
          <w:lang w:val="sv-SE"/>
        </w:rPr>
        <w:t xml:space="preserve"> på grund av bestämmelser i EU:s marknadsmissbruksförordning (596/2014/EU), lag (2016:1307) om straff för marknadsmissbruk på värdepappersmarknaden, lag (2016:1306) med kompletterande bestämmelser till EU:s marknadsmissbruksförordning eller annan på Bolaget tillämplig insiderlagstiftning ska Bolaget äga rätt att medge att sådan Optionsinnehavare istället får teckna Aktier så snart denne inte längre är förhindrad att göra det, dock senast trettio kalenderdagar efter att sådant hinder har upphört.</w:t>
      </w:r>
      <w:r>
        <w:rPr>
          <w:iCs/>
          <w:lang w:val="sv-SE"/>
        </w:rPr>
        <w:br/>
      </w:r>
      <w:r w:rsidRPr="006B6AC0">
        <w:rPr>
          <w:i/>
          <w:lang w:val="en-US"/>
        </w:rPr>
        <w:t>If a Warrant Holder is prevented from subscribing for Sha</w:t>
      </w:r>
      <w:r>
        <w:rPr>
          <w:i/>
          <w:lang w:val="en-US"/>
        </w:rPr>
        <w:t xml:space="preserve">res during the period set out in section </w:t>
      </w:r>
      <w:r>
        <w:rPr>
          <w:i/>
          <w:lang w:val="en-US"/>
        </w:rPr>
        <w:fldChar w:fldCharType="begin"/>
      </w:r>
      <w:r>
        <w:rPr>
          <w:i/>
          <w:lang w:val="en-US"/>
        </w:rPr>
        <w:instrText xml:space="preserve"> REF _Ref167307717 \r \h </w:instrText>
      </w:r>
      <w:r>
        <w:rPr>
          <w:i/>
          <w:lang w:val="en-US"/>
        </w:rPr>
      </w:r>
      <w:r>
        <w:rPr>
          <w:i/>
          <w:lang w:val="en-US"/>
        </w:rPr>
        <w:fldChar w:fldCharType="separate"/>
      </w:r>
      <w:r>
        <w:rPr>
          <w:i/>
          <w:lang w:val="en-US"/>
        </w:rPr>
        <w:t>3.1</w:t>
      </w:r>
      <w:r>
        <w:rPr>
          <w:i/>
          <w:lang w:val="en-US"/>
        </w:rPr>
        <w:fldChar w:fldCharType="end"/>
      </w:r>
      <w:r>
        <w:rPr>
          <w:i/>
          <w:lang w:val="en-US"/>
        </w:rPr>
        <w:t xml:space="preserve"> due to provisions under the EU market abuse regulation </w:t>
      </w:r>
      <w:r w:rsidRPr="002A1EA0">
        <w:rPr>
          <w:i/>
          <w:lang w:val="en-US"/>
        </w:rPr>
        <w:t>(596/2014/EU)</w:t>
      </w:r>
      <w:r>
        <w:rPr>
          <w:i/>
          <w:lang w:val="en-US"/>
        </w:rPr>
        <w:t xml:space="preserve">, the Swedish Securities Market Abuse Penal Act (2016:1307), the Swedish Act with Supplementary Provisions to the EU Market Abuse Regulation (2016:1306) or other insider regulation applicable to the Company, the Company may instead permit such Warrant Holder to subscribe for Shares as soon as the Warrant Holder is no longer prevented from doing so, </w:t>
      </w:r>
      <w:r w:rsidRPr="008570D1">
        <w:rPr>
          <w:i/>
          <w:lang w:val="en-US"/>
        </w:rPr>
        <w:t>however no later than thirty calendar days after such prevention has ceased.</w:t>
      </w:r>
    </w:p>
    <w:p w14:paraId="2AF1EE4B" w14:textId="77777777" w:rsidR="006350FE" w:rsidRPr="006B6AC0" w:rsidRDefault="006350FE" w:rsidP="007C4B62">
      <w:pPr>
        <w:pStyle w:val="BodyText"/>
        <w:numPr>
          <w:ilvl w:val="1"/>
          <w:numId w:val="57"/>
        </w:numPr>
      </w:pPr>
      <w:r w:rsidRPr="008570D1">
        <w:rPr>
          <w:lang w:val="sv-SE"/>
        </w:rPr>
        <w:t>Teckning kan endast ske av det hela antal Aktier till vilka de Teckningsoptioner som Optionsinnehavaren önskar utnyttja berättigar. Vid Teckning ska bortses från eventuell överskjutande del av Teckningsoption, som inte kan utnyttjas.</w:t>
      </w:r>
      <w:r w:rsidRPr="008570D1">
        <w:rPr>
          <w:lang w:val="sv-SE"/>
        </w:rPr>
        <w:br/>
      </w:r>
      <w:r w:rsidRPr="008570D1">
        <w:rPr>
          <w:i/>
        </w:rPr>
        <w:t xml:space="preserve">Subscription can only be made for the full number of Shares exercisable under the Warrants, that the Warrant Holder would like to exercise. At Subscription any excess portion of the Warrant which </w:t>
      </w:r>
      <w:proofErr w:type="spellStart"/>
      <w:r w:rsidRPr="008570D1">
        <w:rPr>
          <w:i/>
        </w:rPr>
        <w:t>can not</w:t>
      </w:r>
      <w:proofErr w:type="spellEnd"/>
      <w:r w:rsidRPr="008570D1">
        <w:rPr>
          <w:i/>
        </w:rPr>
        <w:t xml:space="preserve"> be exercised shall be disregarded.</w:t>
      </w:r>
    </w:p>
    <w:p w14:paraId="1E4F6AD8" w14:textId="77777777" w:rsidR="006350FE" w:rsidRPr="00A50800" w:rsidRDefault="006350FE" w:rsidP="007C4B62">
      <w:pPr>
        <w:pStyle w:val="BodyText"/>
        <w:numPr>
          <w:ilvl w:val="0"/>
          <w:numId w:val="57"/>
        </w:numPr>
        <w:spacing w:after="0"/>
        <w:rPr>
          <w:b/>
          <w:bCs/>
        </w:rPr>
      </w:pPr>
      <w:r w:rsidRPr="006B6AC0">
        <w:rPr>
          <w:b/>
          <w:bCs/>
          <w:lang w:val="sv-SE"/>
        </w:rPr>
        <w:t>Teckning</w:t>
      </w:r>
      <w:r>
        <w:rPr>
          <w:b/>
          <w:bCs/>
        </w:rPr>
        <w:t>/</w:t>
      </w:r>
      <w:r w:rsidRPr="00A50800">
        <w:rPr>
          <w:b/>
          <w:bCs/>
          <w:i/>
          <w:iCs/>
        </w:rPr>
        <w:t>Subscription</w:t>
      </w:r>
    </w:p>
    <w:p w14:paraId="67C2B1C4" w14:textId="77777777" w:rsidR="006350FE" w:rsidRPr="00437F01" w:rsidRDefault="006350FE" w:rsidP="007C4B62">
      <w:pPr>
        <w:pStyle w:val="BodyText"/>
        <w:numPr>
          <w:ilvl w:val="1"/>
          <w:numId w:val="57"/>
        </w:numPr>
      </w:pPr>
      <w:r w:rsidRPr="00A50800">
        <w:rPr>
          <w:lang w:val="sv-SE"/>
        </w:rPr>
        <w:t xml:space="preserve">Teckning sker genom att </w:t>
      </w:r>
      <w:r>
        <w:rPr>
          <w:lang w:val="sv-SE"/>
        </w:rPr>
        <w:t>Optionsinnehavaren</w:t>
      </w:r>
      <w:r w:rsidRPr="00A50800">
        <w:rPr>
          <w:lang w:val="sv-SE"/>
        </w:rPr>
        <w:t xml:space="preserve"> enligt fastställt formulär skriftligen tecknar </w:t>
      </w:r>
      <w:r>
        <w:rPr>
          <w:lang w:val="sv-SE"/>
        </w:rPr>
        <w:t>Aktie</w:t>
      </w:r>
      <w:r w:rsidRPr="00E256B0">
        <w:rPr>
          <w:lang w:val="sv-SE"/>
        </w:rPr>
        <w:t xml:space="preserve">r, varvid ska anges det antal Aktier som tecknas. </w:t>
      </w:r>
      <w:proofErr w:type="spellStart"/>
      <w:r w:rsidRPr="006B6AC0">
        <w:rPr>
          <w:lang w:val="en-US"/>
        </w:rPr>
        <w:t>Teckning</w:t>
      </w:r>
      <w:proofErr w:type="spellEnd"/>
      <w:r w:rsidRPr="006B6AC0">
        <w:rPr>
          <w:lang w:val="en-US"/>
        </w:rPr>
        <w:t xml:space="preserve"> </w:t>
      </w:r>
      <w:proofErr w:type="spellStart"/>
      <w:r w:rsidRPr="006B6AC0">
        <w:rPr>
          <w:lang w:val="en-US"/>
        </w:rPr>
        <w:t>är</w:t>
      </w:r>
      <w:proofErr w:type="spellEnd"/>
      <w:r w:rsidRPr="006B6AC0">
        <w:rPr>
          <w:lang w:val="en-US"/>
        </w:rPr>
        <w:t xml:space="preserve"> </w:t>
      </w:r>
      <w:proofErr w:type="spellStart"/>
      <w:r w:rsidRPr="006B6AC0">
        <w:rPr>
          <w:lang w:val="en-US"/>
        </w:rPr>
        <w:t>bindande</w:t>
      </w:r>
      <w:proofErr w:type="spellEnd"/>
      <w:r w:rsidRPr="006B6AC0">
        <w:rPr>
          <w:lang w:val="en-US"/>
        </w:rPr>
        <w:t xml:space="preserve"> </w:t>
      </w:r>
      <w:proofErr w:type="spellStart"/>
      <w:r w:rsidRPr="006B6AC0">
        <w:rPr>
          <w:lang w:val="en-US"/>
        </w:rPr>
        <w:t>och</w:t>
      </w:r>
      <w:proofErr w:type="spellEnd"/>
      <w:r w:rsidRPr="006B6AC0">
        <w:rPr>
          <w:lang w:val="en-US"/>
        </w:rPr>
        <w:t xml:space="preserve"> </w:t>
      </w:r>
      <w:proofErr w:type="spellStart"/>
      <w:r w:rsidRPr="006B6AC0">
        <w:rPr>
          <w:lang w:val="en-US"/>
        </w:rPr>
        <w:t>kan</w:t>
      </w:r>
      <w:proofErr w:type="spellEnd"/>
      <w:r w:rsidRPr="006B6AC0">
        <w:rPr>
          <w:lang w:val="en-US"/>
        </w:rPr>
        <w:t xml:space="preserve"> </w:t>
      </w:r>
      <w:proofErr w:type="spellStart"/>
      <w:r w:rsidRPr="006B6AC0">
        <w:rPr>
          <w:lang w:val="en-US"/>
        </w:rPr>
        <w:t>inte</w:t>
      </w:r>
      <w:proofErr w:type="spellEnd"/>
      <w:r w:rsidRPr="006B6AC0">
        <w:rPr>
          <w:lang w:val="en-US"/>
        </w:rPr>
        <w:t xml:space="preserve"> </w:t>
      </w:r>
      <w:proofErr w:type="spellStart"/>
      <w:r w:rsidRPr="006B6AC0">
        <w:rPr>
          <w:lang w:val="en-US"/>
        </w:rPr>
        <w:t>återkallas</w:t>
      </w:r>
      <w:proofErr w:type="spellEnd"/>
      <w:r w:rsidRPr="006B6AC0">
        <w:rPr>
          <w:lang w:val="en-US"/>
        </w:rPr>
        <w:t>.</w:t>
      </w:r>
      <w:r w:rsidRPr="00437F01">
        <w:br/>
      </w:r>
      <w:r w:rsidRPr="00437F01">
        <w:rPr>
          <w:i/>
        </w:rPr>
        <w:t xml:space="preserve">Subscription is made by the </w:t>
      </w:r>
      <w:r>
        <w:rPr>
          <w:i/>
        </w:rPr>
        <w:t>Warrant Holder</w:t>
      </w:r>
      <w:r w:rsidRPr="00437F01">
        <w:rPr>
          <w:i/>
        </w:rPr>
        <w:t xml:space="preserve"> </w:t>
      </w:r>
      <w:r>
        <w:rPr>
          <w:i/>
        </w:rPr>
        <w:t>s</w:t>
      </w:r>
      <w:r w:rsidRPr="00437F01">
        <w:rPr>
          <w:i/>
        </w:rPr>
        <w:t xml:space="preserve">ubscribing for the </w:t>
      </w:r>
      <w:r>
        <w:rPr>
          <w:i/>
        </w:rPr>
        <w:t>Share</w:t>
      </w:r>
      <w:r w:rsidRPr="00437F01">
        <w:rPr>
          <w:i/>
        </w:rPr>
        <w:t xml:space="preserve">s, in writing, in accordance with an established form, indicating the number of </w:t>
      </w:r>
      <w:r>
        <w:rPr>
          <w:i/>
        </w:rPr>
        <w:t>Share</w:t>
      </w:r>
      <w:r w:rsidRPr="00437F01">
        <w:rPr>
          <w:i/>
        </w:rPr>
        <w:t>s that are subscribed for. Subscription is binding and may not be revoked.</w:t>
      </w:r>
    </w:p>
    <w:p w14:paraId="332A891E" w14:textId="77777777" w:rsidR="006350FE" w:rsidRPr="00437F01" w:rsidRDefault="006350FE" w:rsidP="007C4B62">
      <w:pPr>
        <w:pStyle w:val="BodyText"/>
        <w:numPr>
          <w:ilvl w:val="1"/>
          <w:numId w:val="57"/>
        </w:numPr>
      </w:pPr>
      <w:r w:rsidRPr="00A50800">
        <w:rPr>
          <w:lang w:val="sv-SE"/>
        </w:rPr>
        <w:t xml:space="preserve">Sker inte Teckning inom i punkt </w:t>
      </w:r>
      <w:r>
        <w:fldChar w:fldCharType="begin"/>
      </w:r>
      <w:r>
        <w:rPr>
          <w:lang w:val="sv-SE"/>
        </w:rPr>
        <w:instrText xml:space="preserve"> REF _Ref167307717 \r \h </w:instrText>
      </w:r>
      <w:r>
        <w:fldChar w:fldCharType="separate"/>
      </w:r>
      <w:r>
        <w:rPr>
          <w:lang w:val="sv-SE"/>
        </w:rPr>
        <w:t>3.1</w:t>
      </w:r>
      <w:r>
        <w:fldChar w:fldCharType="end"/>
      </w:r>
      <w:r w:rsidRPr="00A50800">
        <w:rPr>
          <w:lang w:val="sv-SE"/>
        </w:rPr>
        <w:t xml:space="preserve"> angiven tid, upphör all rätt enligt Teckningsoptionerna att gälla.</w:t>
      </w:r>
      <w:r w:rsidRPr="00A50800">
        <w:rPr>
          <w:lang w:val="sv-SE"/>
        </w:rPr>
        <w:br/>
      </w:r>
      <w:r w:rsidRPr="00437F01">
        <w:rPr>
          <w:i/>
        </w:rPr>
        <w:lastRenderedPageBreak/>
        <w:t xml:space="preserve">If Subscription </w:t>
      </w:r>
      <w:proofErr w:type="gramStart"/>
      <w:r w:rsidRPr="00437F01">
        <w:rPr>
          <w:i/>
        </w:rPr>
        <w:t>is not</w:t>
      </w:r>
      <w:proofErr w:type="gramEnd"/>
      <w:r w:rsidRPr="00437F01">
        <w:rPr>
          <w:i/>
        </w:rPr>
        <w:t xml:space="preserve"> made within the period set forth in section</w:t>
      </w:r>
      <w:r>
        <w:rPr>
          <w:i/>
        </w:rPr>
        <w:t xml:space="preserve"> </w:t>
      </w:r>
      <w:r>
        <w:rPr>
          <w:i/>
        </w:rPr>
        <w:fldChar w:fldCharType="begin"/>
      </w:r>
      <w:r>
        <w:rPr>
          <w:i/>
        </w:rPr>
        <w:instrText xml:space="preserve"> REF _Ref167307717 \r \h </w:instrText>
      </w:r>
      <w:r>
        <w:rPr>
          <w:i/>
        </w:rPr>
      </w:r>
      <w:r>
        <w:rPr>
          <w:i/>
        </w:rPr>
        <w:fldChar w:fldCharType="separate"/>
      </w:r>
      <w:r>
        <w:rPr>
          <w:i/>
        </w:rPr>
        <w:t>3.1</w:t>
      </w:r>
      <w:r>
        <w:rPr>
          <w:i/>
        </w:rPr>
        <w:fldChar w:fldCharType="end"/>
      </w:r>
      <w:r w:rsidRPr="00437F01">
        <w:rPr>
          <w:i/>
        </w:rPr>
        <w:t>, any and all rights pursuant to the Warrants shall expire.</w:t>
      </w:r>
    </w:p>
    <w:p w14:paraId="01DB005F" w14:textId="77777777" w:rsidR="006350FE" w:rsidRPr="00437F01" w:rsidRDefault="006350FE" w:rsidP="007C4B62">
      <w:pPr>
        <w:pStyle w:val="BodyText"/>
        <w:numPr>
          <w:ilvl w:val="1"/>
          <w:numId w:val="57"/>
        </w:numPr>
      </w:pPr>
      <w:r w:rsidRPr="00A50800">
        <w:rPr>
          <w:lang w:val="sv-SE"/>
        </w:rPr>
        <w:t xml:space="preserve">Vid sådan Teckning </w:t>
      </w:r>
      <w:r>
        <w:rPr>
          <w:lang w:val="sv-SE"/>
        </w:rPr>
        <w:t>ska</w:t>
      </w:r>
      <w:r w:rsidRPr="00A50800">
        <w:rPr>
          <w:lang w:val="sv-SE"/>
        </w:rPr>
        <w:t xml:space="preserve">, för registreringsåtgärder, skriftlig och ifylld teckningssedel enligt fastställt formulär inges till Bolaget eller den Bolaget anvisar. I förekommande fall </w:t>
      </w:r>
      <w:r>
        <w:rPr>
          <w:lang w:val="sv-SE"/>
        </w:rPr>
        <w:t>ska</w:t>
      </w:r>
      <w:r w:rsidRPr="00A50800">
        <w:rPr>
          <w:lang w:val="sv-SE"/>
        </w:rPr>
        <w:t xml:space="preserve"> </w:t>
      </w:r>
      <w:r>
        <w:rPr>
          <w:lang w:val="sv-SE"/>
        </w:rPr>
        <w:t>Optionsinnehavare</w:t>
      </w:r>
      <w:r w:rsidRPr="00A50800">
        <w:rPr>
          <w:lang w:val="sv-SE"/>
        </w:rPr>
        <w:t>n samtidigt överlämna till Bolaget teckningsoptionsbevis representerade det antal Teckningsoptioner som anmälan om Teckning avser.</w:t>
      </w:r>
      <w:r w:rsidRPr="00A50800">
        <w:rPr>
          <w:lang w:val="sv-SE"/>
        </w:rPr>
        <w:br/>
      </w:r>
      <w:r w:rsidRPr="00437F01">
        <w:rPr>
          <w:i/>
        </w:rPr>
        <w:t xml:space="preserve">Such Subscription shall, for registration purposes, be made in a written notification on a specified form to the Company or to whom the Company assign. </w:t>
      </w:r>
      <w:r>
        <w:rPr>
          <w:i/>
        </w:rPr>
        <w:t>T</w:t>
      </w:r>
      <w:r w:rsidRPr="00437F01">
        <w:rPr>
          <w:i/>
        </w:rPr>
        <w:t xml:space="preserve">he </w:t>
      </w:r>
      <w:r>
        <w:rPr>
          <w:i/>
        </w:rPr>
        <w:t>Warrant Holder</w:t>
      </w:r>
      <w:r w:rsidRPr="00437F01">
        <w:rPr>
          <w:i/>
        </w:rPr>
        <w:t xml:space="preserve"> shall</w:t>
      </w:r>
      <w:r>
        <w:rPr>
          <w:i/>
        </w:rPr>
        <w:t xml:space="preserve">, where applicable, </w:t>
      </w:r>
      <w:r w:rsidRPr="00437F01">
        <w:rPr>
          <w:i/>
        </w:rPr>
        <w:t>simultaneously submit to the Company the warrant certificates representing the number of Warrants that the notification concerns.</w:t>
      </w:r>
    </w:p>
    <w:p w14:paraId="49A9E007" w14:textId="77777777" w:rsidR="006350FE" w:rsidRPr="00A50800" w:rsidRDefault="006350FE" w:rsidP="007C4B62">
      <w:pPr>
        <w:pStyle w:val="BodyText"/>
        <w:numPr>
          <w:ilvl w:val="0"/>
          <w:numId w:val="57"/>
        </w:numPr>
        <w:spacing w:after="0"/>
        <w:rPr>
          <w:b/>
          <w:bCs/>
        </w:rPr>
      </w:pPr>
      <w:proofErr w:type="spellStart"/>
      <w:r w:rsidRPr="00A50800">
        <w:rPr>
          <w:b/>
          <w:bCs/>
        </w:rPr>
        <w:t>Betalning</w:t>
      </w:r>
      <w:proofErr w:type="spellEnd"/>
      <w:r w:rsidRPr="00A50800">
        <w:rPr>
          <w:b/>
          <w:bCs/>
        </w:rPr>
        <w:t xml:space="preserve"> för </w:t>
      </w:r>
      <w:proofErr w:type="spellStart"/>
      <w:r w:rsidRPr="00A50800">
        <w:rPr>
          <w:b/>
          <w:bCs/>
        </w:rPr>
        <w:t>ny</w:t>
      </w:r>
      <w:proofErr w:type="spellEnd"/>
      <w:r w:rsidRPr="00A50800">
        <w:rPr>
          <w:b/>
          <w:bCs/>
        </w:rPr>
        <w:t xml:space="preserve"> </w:t>
      </w:r>
      <w:proofErr w:type="spellStart"/>
      <w:r>
        <w:rPr>
          <w:b/>
          <w:bCs/>
        </w:rPr>
        <w:t>Aktie</w:t>
      </w:r>
      <w:proofErr w:type="spellEnd"/>
      <w:r>
        <w:rPr>
          <w:b/>
          <w:bCs/>
        </w:rPr>
        <w:t>/</w:t>
      </w:r>
      <w:r w:rsidRPr="00A50800">
        <w:rPr>
          <w:b/>
          <w:bCs/>
          <w:i/>
          <w:iCs/>
        </w:rPr>
        <w:t xml:space="preserve">Payment for new </w:t>
      </w:r>
      <w:r>
        <w:rPr>
          <w:b/>
          <w:bCs/>
          <w:i/>
          <w:iCs/>
        </w:rPr>
        <w:t>Share</w:t>
      </w:r>
    </w:p>
    <w:p w14:paraId="15044A22" w14:textId="77777777" w:rsidR="006350FE" w:rsidRPr="00437F01" w:rsidRDefault="006350FE" w:rsidP="006350FE">
      <w:pPr>
        <w:pStyle w:val="BodyText"/>
        <w:ind w:left="720"/>
      </w:pPr>
      <w:r w:rsidRPr="00A50800">
        <w:rPr>
          <w:lang w:val="sv-SE"/>
        </w:rPr>
        <w:t xml:space="preserve">Vid Teckning </w:t>
      </w:r>
      <w:r>
        <w:rPr>
          <w:lang w:val="sv-SE"/>
        </w:rPr>
        <w:t>ska</w:t>
      </w:r>
      <w:r w:rsidRPr="00A50800">
        <w:rPr>
          <w:lang w:val="sv-SE"/>
        </w:rPr>
        <w:t xml:space="preserve"> betalning erläggas genast för det antal </w:t>
      </w:r>
      <w:r>
        <w:rPr>
          <w:lang w:val="sv-SE"/>
        </w:rPr>
        <w:t>Aktie</w:t>
      </w:r>
      <w:r w:rsidRPr="00A50800">
        <w:rPr>
          <w:lang w:val="sv-SE"/>
        </w:rPr>
        <w:t xml:space="preserve">r som Teckningen avser. Betalning </w:t>
      </w:r>
      <w:r>
        <w:rPr>
          <w:lang w:val="sv-SE"/>
        </w:rPr>
        <w:t>ska</w:t>
      </w:r>
      <w:r w:rsidRPr="00A50800">
        <w:rPr>
          <w:lang w:val="sv-SE"/>
        </w:rPr>
        <w:t xml:space="preserve"> ske kontant till ett av Bolaget anvisat bankkonto.</w:t>
      </w:r>
      <w:r w:rsidRPr="00A50800">
        <w:rPr>
          <w:lang w:val="sv-SE"/>
        </w:rPr>
        <w:br/>
      </w:r>
      <w:r w:rsidRPr="00437F01">
        <w:rPr>
          <w:i/>
        </w:rPr>
        <w:t xml:space="preserve">At Subscription, payment for the number of </w:t>
      </w:r>
      <w:r>
        <w:rPr>
          <w:i/>
        </w:rPr>
        <w:t>Share</w:t>
      </w:r>
      <w:r w:rsidRPr="00437F01">
        <w:rPr>
          <w:i/>
        </w:rPr>
        <w:t>s relating to the Subscription shall be made immediately. Payment shall be made, in cash, to an account designated by the Company.</w:t>
      </w:r>
    </w:p>
    <w:p w14:paraId="609CBFCF" w14:textId="77777777" w:rsidR="006350FE" w:rsidRPr="006B6AC0" w:rsidRDefault="006350FE" w:rsidP="007C4B62">
      <w:pPr>
        <w:pStyle w:val="BodyText"/>
        <w:numPr>
          <w:ilvl w:val="0"/>
          <w:numId w:val="57"/>
        </w:numPr>
        <w:spacing w:after="0"/>
        <w:rPr>
          <w:b/>
          <w:bCs/>
          <w:lang w:val="sv-SE"/>
        </w:rPr>
      </w:pPr>
      <w:r w:rsidRPr="006B6AC0">
        <w:rPr>
          <w:b/>
          <w:bCs/>
          <w:lang w:val="sv-SE"/>
        </w:rPr>
        <w:t>Inför</w:t>
      </w:r>
      <w:r>
        <w:rPr>
          <w:b/>
          <w:bCs/>
          <w:lang w:val="sv-SE"/>
        </w:rPr>
        <w:t>ande</w:t>
      </w:r>
      <w:r w:rsidRPr="006B6AC0">
        <w:rPr>
          <w:b/>
          <w:bCs/>
          <w:lang w:val="sv-SE"/>
        </w:rPr>
        <w:t xml:space="preserve"> i aktieboken/</w:t>
      </w:r>
      <w:proofErr w:type="spellStart"/>
      <w:r w:rsidRPr="006B6AC0">
        <w:rPr>
          <w:b/>
          <w:bCs/>
          <w:i/>
          <w:iCs/>
          <w:lang w:val="sv-SE"/>
        </w:rPr>
        <w:t>Registration</w:t>
      </w:r>
      <w:proofErr w:type="spellEnd"/>
      <w:r w:rsidRPr="006B6AC0">
        <w:rPr>
          <w:b/>
          <w:bCs/>
          <w:i/>
          <w:iCs/>
          <w:lang w:val="sv-SE"/>
        </w:rPr>
        <w:t xml:space="preserve"> in the </w:t>
      </w:r>
      <w:proofErr w:type="spellStart"/>
      <w:r w:rsidRPr="006B6AC0">
        <w:rPr>
          <w:b/>
          <w:bCs/>
          <w:i/>
          <w:iCs/>
          <w:lang w:val="sv-SE"/>
        </w:rPr>
        <w:t>share</w:t>
      </w:r>
      <w:proofErr w:type="spellEnd"/>
      <w:r w:rsidRPr="006B6AC0">
        <w:rPr>
          <w:b/>
          <w:bCs/>
          <w:i/>
          <w:iCs/>
          <w:lang w:val="sv-SE"/>
        </w:rPr>
        <w:t xml:space="preserve"> register</w:t>
      </w:r>
    </w:p>
    <w:p w14:paraId="787750A5" w14:textId="77777777" w:rsidR="006350FE" w:rsidRPr="00437F01" w:rsidRDefault="006350FE" w:rsidP="006350FE">
      <w:pPr>
        <w:pStyle w:val="BodyText"/>
        <w:ind w:left="720"/>
      </w:pPr>
      <w:r w:rsidRPr="00A50800">
        <w:rPr>
          <w:lang w:val="sv-SE"/>
        </w:rPr>
        <w:t xml:space="preserve">Efter Teckning verkställs tilldelning genom att de nya </w:t>
      </w:r>
      <w:r>
        <w:rPr>
          <w:lang w:val="sv-SE"/>
        </w:rPr>
        <w:t>Aktie</w:t>
      </w:r>
      <w:r w:rsidRPr="00A50800">
        <w:rPr>
          <w:lang w:val="sv-SE"/>
        </w:rPr>
        <w:t xml:space="preserve">rna upptas i Bolagets aktiebok såsom interimsaktier. Sedan registrering hos Bolagsverket och Euroclear ägt rum blir registreringen på avstämningskonto slutgiltig. Som framgår av punkterna </w:t>
      </w:r>
      <w:r>
        <w:fldChar w:fldCharType="begin"/>
      </w:r>
      <w:r>
        <w:rPr>
          <w:lang w:val="sv-SE"/>
        </w:rPr>
        <w:instrText xml:space="preserve"> REF _Ref420689968 \r \h </w:instrText>
      </w:r>
      <w:r>
        <w:fldChar w:fldCharType="separate"/>
      </w:r>
      <w:r>
        <w:rPr>
          <w:lang w:val="sv-SE"/>
        </w:rPr>
        <w:t>7</w:t>
      </w:r>
      <w:r>
        <w:fldChar w:fldCharType="end"/>
      </w:r>
      <w:r w:rsidRPr="00A50800">
        <w:rPr>
          <w:lang w:val="sv-SE"/>
        </w:rPr>
        <w:t xml:space="preserve"> och </w:t>
      </w:r>
      <w:r>
        <w:fldChar w:fldCharType="begin"/>
      </w:r>
      <w:r>
        <w:rPr>
          <w:lang w:val="sv-SE"/>
        </w:rPr>
        <w:instrText xml:space="preserve"> REF _Ref167307664 \r \h </w:instrText>
      </w:r>
      <w:r>
        <w:fldChar w:fldCharType="separate"/>
      </w:r>
      <w:r>
        <w:rPr>
          <w:lang w:val="sv-SE"/>
        </w:rPr>
        <w:t>8</w:t>
      </w:r>
      <w:r>
        <w:fldChar w:fldCharType="end"/>
      </w:r>
      <w:r w:rsidRPr="00A85D47">
        <w:rPr>
          <w:lang w:val="sv-SE"/>
        </w:rPr>
        <w:t xml:space="preserve"> </w:t>
      </w:r>
      <w:r w:rsidRPr="00A50800">
        <w:rPr>
          <w:lang w:val="sv-SE"/>
        </w:rPr>
        <w:t>nedan senareläggs i vissa fall tidpunkten för sådan slutlig registrering.</w:t>
      </w:r>
      <w:r w:rsidRPr="00A50800">
        <w:rPr>
          <w:lang w:val="sv-SE"/>
        </w:rPr>
        <w:br/>
      </w:r>
      <w:r w:rsidRPr="00437F01">
        <w:rPr>
          <w:i/>
        </w:rPr>
        <w:t xml:space="preserve">After Subscription allotment will be effected by the new </w:t>
      </w:r>
      <w:r>
        <w:rPr>
          <w:i/>
        </w:rPr>
        <w:t>Share</w:t>
      </w:r>
      <w:r w:rsidRPr="00437F01">
        <w:rPr>
          <w:i/>
        </w:rPr>
        <w:t xml:space="preserve">s being registered in the Company's share register as interim shares. The registration on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will be final after the registrations with the </w:t>
      </w:r>
      <w:r>
        <w:rPr>
          <w:i/>
        </w:rPr>
        <w:t xml:space="preserve">Swedish </w:t>
      </w:r>
      <w:r w:rsidRPr="00437F01">
        <w:rPr>
          <w:i/>
        </w:rPr>
        <w:t xml:space="preserve">Companies Registration Office and Euroclear are final. As stated in sections </w:t>
      </w:r>
      <w:r>
        <w:rPr>
          <w:i/>
        </w:rPr>
        <w:fldChar w:fldCharType="begin"/>
      </w:r>
      <w:r>
        <w:rPr>
          <w:i/>
        </w:rPr>
        <w:instrText xml:space="preserve"> REF _Ref420689968 \r \h </w:instrText>
      </w:r>
      <w:r>
        <w:rPr>
          <w:i/>
        </w:rPr>
      </w:r>
      <w:r>
        <w:rPr>
          <w:i/>
        </w:rPr>
        <w:fldChar w:fldCharType="separate"/>
      </w:r>
      <w:r>
        <w:rPr>
          <w:i/>
        </w:rPr>
        <w:t>7</w:t>
      </w:r>
      <w:r>
        <w:rPr>
          <w:i/>
        </w:rPr>
        <w:fldChar w:fldCharType="end"/>
      </w:r>
      <w:r w:rsidRPr="00437F01">
        <w:rPr>
          <w:i/>
        </w:rPr>
        <w:t xml:space="preserve"> and </w:t>
      </w:r>
      <w:r>
        <w:rPr>
          <w:i/>
        </w:rPr>
        <w:fldChar w:fldCharType="begin"/>
      </w:r>
      <w:r>
        <w:rPr>
          <w:i/>
        </w:rPr>
        <w:instrText xml:space="preserve"> REF _Ref167307664 \r \h </w:instrText>
      </w:r>
      <w:r>
        <w:rPr>
          <w:i/>
        </w:rPr>
      </w:r>
      <w:r>
        <w:rPr>
          <w:i/>
        </w:rPr>
        <w:fldChar w:fldCharType="separate"/>
      </w:r>
      <w:r>
        <w:rPr>
          <w:i/>
        </w:rPr>
        <w:t>8</w:t>
      </w:r>
      <w:r>
        <w:rPr>
          <w:i/>
        </w:rPr>
        <w:fldChar w:fldCharType="end"/>
      </w:r>
      <w:r w:rsidRPr="00437F01">
        <w:rPr>
          <w:i/>
        </w:rPr>
        <w:t xml:space="preserve"> below, such final registration may be postponed in certain cases.</w:t>
      </w:r>
    </w:p>
    <w:p w14:paraId="145DD217" w14:textId="77777777" w:rsidR="006350FE" w:rsidRPr="00A50800" w:rsidRDefault="006350FE" w:rsidP="007C4B62">
      <w:pPr>
        <w:pStyle w:val="BodyText"/>
        <w:numPr>
          <w:ilvl w:val="0"/>
          <w:numId w:val="57"/>
        </w:numPr>
        <w:spacing w:after="0"/>
        <w:rPr>
          <w:b/>
          <w:bCs/>
        </w:rPr>
      </w:pPr>
      <w:proofErr w:type="spellStart"/>
      <w:r w:rsidRPr="006B6AC0">
        <w:rPr>
          <w:b/>
          <w:bCs/>
          <w:lang w:val="en-US"/>
        </w:rPr>
        <w:t>Utdelning</w:t>
      </w:r>
      <w:proofErr w:type="spellEnd"/>
      <w:r w:rsidRPr="006B6AC0">
        <w:rPr>
          <w:b/>
          <w:bCs/>
          <w:lang w:val="en-US"/>
        </w:rPr>
        <w:t xml:space="preserve"> </w:t>
      </w:r>
      <w:proofErr w:type="spellStart"/>
      <w:r w:rsidRPr="006B6AC0">
        <w:rPr>
          <w:b/>
          <w:bCs/>
          <w:lang w:val="en-US"/>
        </w:rPr>
        <w:t>på</w:t>
      </w:r>
      <w:proofErr w:type="spellEnd"/>
      <w:r w:rsidRPr="006B6AC0">
        <w:rPr>
          <w:b/>
          <w:bCs/>
          <w:lang w:val="en-US"/>
        </w:rPr>
        <w:t xml:space="preserve"> </w:t>
      </w:r>
      <w:proofErr w:type="spellStart"/>
      <w:r w:rsidRPr="006B6AC0">
        <w:rPr>
          <w:b/>
          <w:bCs/>
          <w:lang w:val="en-US"/>
        </w:rPr>
        <w:t>ny</w:t>
      </w:r>
      <w:proofErr w:type="spellEnd"/>
      <w:r w:rsidRPr="006B6AC0">
        <w:rPr>
          <w:b/>
          <w:bCs/>
          <w:lang w:val="en-US"/>
        </w:rPr>
        <w:t xml:space="preserve"> </w:t>
      </w:r>
      <w:proofErr w:type="spellStart"/>
      <w:r w:rsidRPr="006B6AC0">
        <w:rPr>
          <w:b/>
          <w:bCs/>
          <w:lang w:val="en-US"/>
        </w:rPr>
        <w:t>Aktie</w:t>
      </w:r>
      <w:proofErr w:type="spellEnd"/>
      <w:r w:rsidRPr="006B6AC0">
        <w:rPr>
          <w:b/>
          <w:bCs/>
          <w:lang w:val="en-US"/>
        </w:rPr>
        <w:t xml:space="preserve"> </w:t>
      </w:r>
      <w:proofErr w:type="spellStart"/>
      <w:r w:rsidRPr="006B6AC0">
        <w:rPr>
          <w:b/>
          <w:bCs/>
          <w:lang w:val="en-US"/>
        </w:rPr>
        <w:t>m.m.</w:t>
      </w:r>
      <w:proofErr w:type="spellEnd"/>
      <w:r w:rsidRPr="006B6AC0">
        <w:rPr>
          <w:b/>
          <w:bCs/>
          <w:lang w:val="en-US"/>
        </w:rPr>
        <w:t>/</w:t>
      </w:r>
      <w:r w:rsidRPr="00A50800">
        <w:rPr>
          <w:b/>
          <w:bCs/>
          <w:i/>
          <w:iCs/>
        </w:rPr>
        <w:t xml:space="preserve">New </w:t>
      </w:r>
      <w:r>
        <w:rPr>
          <w:b/>
          <w:bCs/>
          <w:i/>
          <w:iCs/>
        </w:rPr>
        <w:t>Share</w:t>
      </w:r>
      <w:r w:rsidRPr="00A50800">
        <w:rPr>
          <w:b/>
          <w:bCs/>
          <w:i/>
          <w:iCs/>
        </w:rPr>
        <w:t>s' right to dividends etc.</w:t>
      </w:r>
    </w:p>
    <w:p w14:paraId="6E51717A" w14:textId="77777777" w:rsidR="006350FE" w:rsidRPr="00437F01" w:rsidRDefault="006350FE" w:rsidP="006350FE">
      <w:pPr>
        <w:pStyle w:val="BodyText"/>
        <w:ind w:left="720"/>
      </w:pPr>
      <w:r w:rsidRPr="00A50800">
        <w:rPr>
          <w:lang w:val="sv-SE"/>
        </w:rPr>
        <w:t>Teckning som görs på sådan tid att den inte kan verkställas senast på tionde kalenderdagen före avstämningsdag för utdelning som beslutats av eller föreslagits Bolagets bolagsstämma samma år, verkställs först efter avstämningsdagen för utdelning. Aktier, som tillkommit på grund av Teckning som verkställs efter avstämningsdagen för utdelning, upptas interimistiskt på avstämningskonto, vilket innebär att de inte har rätt att erhålla utdelning.</w:t>
      </w:r>
      <w:r w:rsidRPr="00A50800">
        <w:rPr>
          <w:lang w:val="sv-SE"/>
        </w:rPr>
        <w:br/>
      </w:r>
      <w:r w:rsidRPr="00437F01">
        <w:rPr>
          <w:i/>
        </w:rPr>
        <w:t xml:space="preserve">Subscription made at such time that it </w:t>
      </w:r>
      <w:proofErr w:type="spellStart"/>
      <w:r w:rsidRPr="00437F01">
        <w:rPr>
          <w:i/>
        </w:rPr>
        <w:t>can not</w:t>
      </w:r>
      <w:proofErr w:type="spellEnd"/>
      <w:r w:rsidRPr="00437F01">
        <w:rPr>
          <w:i/>
        </w:rPr>
        <w:t xml:space="preserve"> be effected at the latest on the tenth calendar day preceding the record date for a dividend approved by or proposed to the </w:t>
      </w:r>
      <w:proofErr w:type="gramStart"/>
      <w:r w:rsidRPr="00437F01">
        <w:rPr>
          <w:i/>
        </w:rPr>
        <w:t>general meeting</w:t>
      </w:r>
      <w:proofErr w:type="gramEnd"/>
      <w:r w:rsidRPr="00437F01">
        <w:rPr>
          <w:i/>
        </w:rPr>
        <w:t xml:space="preserve"> that year, will be executed only after the dividend record date. Shares which have been issued due to Subscription effected after the dividend record date, will be temporarily registered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ry account, which means that they are not entitled to receive dividends.</w:t>
      </w:r>
    </w:p>
    <w:p w14:paraId="457B4D35" w14:textId="77777777" w:rsidR="006350FE" w:rsidRPr="00A50800" w:rsidRDefault="006350FE" w:rsidP="007C4B62">
      <w:pPr>
        <w:pStyle w:val="BodyText"/>
        <w:numPr>
          <w:ilvl w:val="0"/>
          <w:numId w:val="57"/>
        </w:numPr>
        <w:spacing w:after="0"/>
        <w:rPr>
          <w:b/>
          <w:bCs/>
        </w:rPr>
      </w:pPr>
      <w:r w:rsidRPr="006B6AC0">
        <w:rPr>
          <w:b/>
          <w:bCs/>
          <w:lang w:val="sv-SE"/>
        </w:rPr>
        <w:t xml:space="preserve">Omräkning av Teckningskursen </w:t>
      </w:r>
      <w:proofErr w:type="gramStart"/>
      <w:r w:rsidRPr="006B6AC0">
        <w:rPr>
          <w:b/>
          <w:bCs/>
          <w:lang w:val="sv-SE"/>
        </w:rPr>
        <w:t>m.m.</w:t>
      </w:r>
      <w:proofErr w:type="gramEnd"/>
      <w:r w:rsidRPr="00A50800">
        <w:rPr>
          <w:b/>
          <w:bCs/>
        </w:rPr>
        <w:t>/</w:t>
      </w:r>
      <w:r w:rsidRPr="00A50800">
        <w:rPr>
          <w:b/>
          <w:bCs/>
          <w:i/>
          <w:iCs/>
        </w:rPr>
        <w:t xml:space="preserve">Adjustment of Subscription Price </w:t>
      </w:r>
      <w:proofErr w:type="gramStart"/>
      <w:r w:rsidRPr="00A50800">
        <w:rPr>
          <w:b/>
          <w:bCs/>
          <w:i/>
          <w:iCs/>
        </w:rPr>
        <w:t>etc.</w:t>
      </w:r>
      <w:proofErr w:type="gramEnd"/>
    </w:p>
    <w:p w14:paraId="264DB5B5" w14:textId="77777777" w:rsidR="006350FE" w:rsidRPr="00580D5A" w:rsidRDefault="006350FE" w:rsidP="006350FE">
      <w:pPr>
        <w:pStyle w:val="BodyText"/>
        <w:ind w:left="720"/>
      </w:pPr>
      <w:proofErr w:type="spellStart"/>
      <w:r w:rsidRPr="006B6AC0">
        <w:rPr>
          <w:lang w:val="en-US"/>
        </w:rPr>
        <w:t>Beträffande</w:t>
      </w:r>
      <w:proofErr w:type="spellEnd"/>
      <w:r w:rsidRPr="006B6AC0">
        <w:rPr>
          <w:lang w:val="en-US"/>
        </w:rPr>
        <w:t xml:space="preserve"> den </w:t>
      </w:r>
      <w:proofErr w:type="spellStart"/>
      <w:r w:rsidRPr="006B6AC0">
        <w:rPr>
          <w:lang w:val="en-US"/>
        </w:rPr>
        <w:t>rätt</w:t>
      </w:r>
      <w:proofErr w:type="spellEnd"/>
      <w:r w:rsidRPr="006B6AC0">
        <w:rPr>
          <w:lang w:val="en-US"/>
        </w:rPr>
        <w:t xml:space="preserve"> </w:t>
      </w:r>
      <w:proofErr w:type="spellStart"/>
      <w:r w:rsidRPr="006B6AC0">
        <w:rPr>
          <w:lang w:val="en-US"/>
        </w:rPr>
        <w:t>som</w:t>
      </w:r>
      <w:proofErr w:type="spellEnd"/>
      <w:r w:rsidRPr="006B6AC0">
        <w:rPr>
          <w:lang w:val="en-US"/>
        </w:rPr>
        <w:t xml:space="preserve"> ska </w:t>
      </w:r>
      <w:proofErr w:type="spellStart"/>
      <w:r w:rsidRPr="006B6AC0">
        <w:rPr>
          <w:lang w:val="en-US"/>
        </w:rPr>
        <w:t>tillkomma</w:t>
      </w:r>
      <w:proofErr w:type="spellEnd"/>
      <w:r w:rsidRPr="006B6AC0">
        <w:rPr>
          <w:lang w:val="en-US"/>
        </w:rPr>
        <w:t xml:space="preserve"> </w:t>
      </w:r>
      <w:proofErr w:type="spellStart"/>
      <w:r w:rsidRPr="006B6AC0">
        <w:rPr>
          <w:lang w:val="en-US"/>
        </w:rPr>
        <w:t>Optionsinnehavare</w:t>
      </w:r>
      <w:proofErr w:type="spellEnd"/>
      <w:r w:rsidRPr="006B6AC0">
        <w:rPr>
          <w:lang w:val="en-US"/>
        </w:rPr>
        <w:t xml:space="preserve"> vid de </w:t>
      </w:r>
      <w:proofErr w:type="spellStart"/>
      <w:r w:rsidRPr="006B6AC0">
        <w:rPr>
          <w:lang w:val="en-US"/>
        </w:rPr>
        <w:t>bolagshändelser</w:t>
      </w:r>
      <w:proofErr w:type="spellEnd"/>
      <w:r w:rsidRPr="006B6AC0">
        <w:rPr>
          <w:lang w:val="en-US"/>
        </w:rPr>
        <w:t xml:space="preserve"> </w:t>
      </w:r>
      <w:proofErr w:type="spellStart"/>
      <w:r w:rsidRPr="006B6AC0">
        <w:rPr>
          <w:lang w:val="en-US"/>
        </w:rPr>
        <w:t>som</w:t>
      </w:r>
      <w:proofErr w:type="spellEnd"/>
      <w:r w:rsidRPr="006B6AC0">
        <w:rPr>
          <w:lang w:val="en-US"/>
        </w:rPr>
        <w:t xml:space="preserve"> </w:t>
      </w:r>
      <w:proofErr w:type="spellStart"/>
      <w:r w:rsidRPr="006B6AC0">
        <w:rPr>
          <w:lang w:val="en-US"/>
        </w:rPr>
        <w:t>anges</w:t>
      </w:r>
      <w:proofErr w:type="spellEnd"/>
      <w:r w:rsidRPr="006B6AC0">
        <w:rPr>
          <w:lang w:val="en-US"/>
        </w:rPr>
        <w:t xml:space="preserve"> </w:t>
      </w:r>
      <w:proofErr w:type="spellStart"/>
      <w:r w:rsidRPr="006B6AC0">
        <w:rPr>
          <w:lang w:val="en-US"/>
        </w:rPr>
        <w:t>nedan</w:t>
      </w:r>
      <w:proofErr w:type="spellEnd"/>
      <w:r w:rsidRPr="006B6AC0">
        <w:rPr>
          <w:lang w:val="en-US"/>
        </w:rPr>
        <w:t xml:space="preserve"> ska </w:t>
      </w:r>
      <w:proofErr w:type="spellStart"/>
      <w:r w:rsidRPr="006B6AC0">
        <w:rPr>
          <w:lang w:val="en-US"/>
        </w:rPr>
        <w:t>följande</w:t>
      </w:r>
      <w:proofErr w:type="spellEnd"/>
      <w:r w:rsidRPr="006B6AC0">
        <w:rPr>
          <w:lang w:val="en-US"/>
        </w:rPr>
        <w:t xml:space="preserve"> </w:t>
      </w:r>
      <w:proofErr w:type="spellStart"/>
      <w:r w:rsidRPr="006B6AC0">
        <w:rPr>
          <w:lang w:val="en-US"/>
        </w:rPr>
        <w:t>gälla</w:t>
      </w:r>
      <w:proofErr w:type="spellEnd"/>
      <w:r w:rsidRPr="006B6AC0">
        <w:rPr>
          <w:lang w:val="en-US"/>
        </w:rPr>
        <w:t>:</w:t>
      </w:r>
      <w:r w:rsidRPr="00580D5A">
        <w:br/>
      </w:r>
      <w:r w:rsidRPr="006B6AC0">
        <w:rPr>
          <w:i/>
          <w:iCs/>
        </w:rPr>
        <w:t>With respect to</w:t>
      </w:r>
      <w:r w:rsidRPr="00580D5A">
        <w:rPr>
          <w:i/>
          <w:iCs/>
        </w:rPr>
        <w:t xml:space="preserve"> the rights that </w:t>
      </w:r>
      <w:r>
        <w:rPr>
          <w:i/>
          <w:iCs/>
        </w:rPr>
        <w:t xml:space="preserve">may accrue to </w:t>
      </w:r>
      <w:r w:rsidRPr="00580D5A">
        <w:rPr>
          <w:i/>
          <w:iCs/>
        </w:rPr>
        <w:t>Warrant Holder</w:t>
      </w:r>
      <w:r>
        <w:rPr>
          <w:i/>
          <w:iCs/>
        </w:rPr>
        <w:t>s in the case of the corporate events</w:t>
      </w:r>
      <w:r w:rsidRPr="00580D5A">
        <w:rPr>
          <w:i/>
          <w:iCs/>
        </w:rPr>
        <w:t xml:space="preserve"> set out below, the following shall apply:</w:t>
      </w:r>
    </w:p>
    <w:p w14:paraId="0E40B739" w14:textId="77777777" w:rsidR="006350FE" w:rsidRPr="00A50800" w:rsidRDefault="006350FE" w:rsidP="007C4B62">
      <w:pPr>
        <w:pStyle w:val="BodyText"/>
        <w:numPr>
          <w:ilvl w:val="1"/>
          <w:numId w:val="57"/>
        </w:numPr>
        <w:spacing w:after="0"/>
        <w:rPr>
          <w:b/>
          <w:bCs/>
        </w:rPr>
      </w:pPr>
      <w:r w:rsidRPr="006B6AC0">
        <w:rPr>
          <w:b/>
          <w:bCs/>
          <w:lang w:val="sv-SE"/>
        </w:rPr>
        <w:t>Tillvägagångssätt</w:t>
      </w:r>
      <w:r w:rsidRPr="00A50800">
        <w:rPr>
          <w:b/>
          <w:bCs/>
        </w:rPr>
        <w:t>/</w:t>
      </w:r>
      <w:r w:rsidRPr="00A50800">
        <w:rPr>
          <w:b/>
          <w:bCs/>
          <w:i/>
          <w:iCs/>
        </w:rPr>
        <w:t>Procedure</w:t>
      </w:r>
    </w:p>
    <w:p w14:paraId="63C1D0B5" w14:textId="77777777" w:rsidR="006350FE" w:rsidRPr="00437F01" w:rsidRDefault="006350FE" w:rsidP="007C4B62">
      <w:pPr>
        <w:pStyle w:val="BodyText"/>
        <w:numPr>
          <w:ilvl w:val="2"/>
          <w:numId w:val="57"/>
        </w:numPr>
      </w:pPr>
      <w:r w:rsidRPr="00A50800">
        <w:rPr>
          <w:lang w:val="sv-SE"/>
        </w:rPr>
        <w:t xml:space="preserve">Omräkning </w:t>
      </w:r>
      <w:r>
        <w:rPr>
          <w:lang w:val="sv-SE"/>
        </w:rPr>
        <w:t>ska</w:t>
      </w:r>
      <w:r w:rsidRPr="00A50800">
        <w:rPr>
          <w:lang w:val="sv-SE"/>
        </w:rPr>
        <w:t xml:space="preserve"> göras av Bolaget enligt punkt </w:t>
      </w:r>
      <w:r>
        <w:fldChar w:fldCharType="begin"/>
      </w:r>
      <w:r>
        <w:rPr>
          <w:lang w:val="sv-SE"/>
        </w:rPr>
        <w:instrText xml:space="preserve"> REF _Ref419825929 \r \h </w:instrText>
      </w:r>
      <w:r>
        <w:fldChar w:fldCharType="separate"/>
      </w:r>
      <w:r>
        <w:rPr>
          <w:lang w:val="sv-SE"/>
        </w:rPr>
        <w:t>8.2</w:t>
      </w:r>
      <w:r>
        <w:fldChar w:fldCharType="end"/>
      </w:r>
      <w:r w:rsidRPr="00A50800">
        <w:rPr>
          <w:lang w:val="sv-SE"/>
        </w:rPr>
        <w:t xml:space="preserve"> nedan.</w:t>
      </w:r>
      <w:r w:rsidRPr="00A50800">
        <w:rPr>
          <w:lang w:val="sv-SE"/>
        </w:rPr>
        <w:br/>
      </w:r>
      <w:r w:rsidRPr="00437F01">
        <w:rPr>
          <w:i/>
        </w:rPr>
        <w:t xml:space="preserve">The </w:t>
      </w:r>
      <w:r>
        <w:rPr>
          <w:i/>
        </w:rPr>
        <w:t>r</w:t>
      </w:r>
      <w:r w:rsidRPr="00437F01">
        <w:rPr>
          <w:i/>
        </w:rPr>
        <w:t xml:space="preserve">ecalculations shall be made by the Company in accordance with section </w:t>
      </w:r>
      <w:r>
        <w:rPr>
          <w:i/>
        </w:rPr>
        <w:fldChar w:fldCharType="begin"/>
      </w:r>
      <w:r>
        <w:rPr>
          <w:i/>
        </w:rPr>
        <w:instrText xml:space="preserve"> REF _Ref419825929 \r \h </w:instrText>
      </w:r>
      <w:r>
        <w:rPr>
          <w:i/>
        </w:rPr>
      </w:r>
      <w:r>
        <w:rPr>
          <w:i/>
        </w:rPr>
        <w:fldChar w:fldCharType="separate"/>
      </w:r>
      <w:r>
        <w:rPr>
          <w:i/>
        </w:rPr>
        <w:t>8.2</w:t>
      </w:r>
      <w:r>
        <w:rPr>
          <w:i/>
        </w:rPr>
        <w:fldChar w:fldCharType="end"/>
      </w:r>
      <w:r w:rsidRPr="00437F01">
        <w:rPr>
          <w:i/>
        </w:rPr>
        <w:t xml:space="preserve"> below.</w:t>
      </w:r>
    </w:p>
    <w:p w14:paraId="1D70A924" w14:textId="77777777" w:rsidR="006350FE" w:rsidRPr="00437F01" w:rsidRDefault="006350FE" w:rsidP="007C4B62">
      <w:pPr>
        <w:pStyle w:val="BodyText"/>
        <w:numPr>
          <w:ilvl w:val="2"/>
          <w:numId w:val="57"/>
        </w:numPr>
      </w:pPr>
      <w:r w:rsidRPr="00A50800">
        <w:rPr>
          <w:lang w:val="sv-SE"/>
        </w:rPr>
        <w:t>Skulle Optionsinnehavare</w:t>
      </w:r>
      <w:r>
        <w:rPr>
          <w:lang w:val="sv-SE"/>
        </w:rPr>
        <w:t>n</w:t>
      </w:r>
      <w:r w:rsidRPr="00A50800">
        <w:rPr>
          <w:lang w:val="sv-SE"/>
        </w:rPr>
        <w:t xml:space="preserve"> inte vara överens med Bolaget om en justering av </w:t>
      </w:r>
      <w:r>
        <w:rPr>
          <w:lang w:val="sv-SE"/>
        </w:rPr>
        <w:t>v</w:t>
      </w:r>
      <w:r w:rsidRPr="00A50800">
        <w:rPr>
          <w:lang w:val="sv-SE"/>
        </w:rPr>
        <w:t xml:space="preserve">illkoren genom omräkning enligt punkt </w:t>
      </w:r>
      <w:r>
        <w:fldChar w:fldCharType="begin"/>
      </w:r>
      <w:r>
        <w:rPr>
          <w:lang w:val="sv-SE"/>
        </w:rPr>
        <w:instrText xml:space="preserve"> REF _Ref419825929 \r \h </w:instrText>
      </w:r>
      <w:r>
        <w:fldChar w:fldCharType="separate"/>
      </w:r>
      <w:r>
        <w:rPr>
          <w:lang w:val="sv-SE"/>
        </w:rPr>
        <w:t>8.2</w:t>
      </w:r>
      <w:r>
        <w:fldChar w:fldCharType="end"/>
      </w:r>
      <w:r w:rsidRPr="00A50800">
        <w:rPr>
          <w:lang w:val="sv-SE"/>
        </w:rPr>
        <w:t xml:space="preserve"> nedan, </w:t>
      </w:r>
      <w:r>
        <w:rPr>
          <w:lang w:val="sv-SE"/>
        </w:rPr>
        <w:t>ska</w:t>
      </w:r>
      <w:r w:rsidRPr="00A50800">
        <w:rPr>
          <w:lang w:val="sv-SE"/>
        </w:rPr>
        <w:t xml:space="preserve"> Optionsinnehavare</w:t>
      </w:r>
      <w:r>
        <w:rPr>
          <w:lang w:val="sv-SE"/>
        </w:rPr>
        <w:t>n</w:t>
      </w:r>
      <w:r w:rsidRPr="00A50800">
        <w:rPr>
          <w:lang w:val="sv-SE"/>
        </w:rPr>
        <w:t xml:space="preserve"> ha rätt att begära ett oberoende fastställande av en lämplig justering enligt vad som anges nedan.</w:t>
      </w:r>
      <w:r w:rsidRPr="00A50800">
        <w:rPr>
          <w:lang w:val="sv-SE"/>
        </w:rPr>
        <w:br/>
      </w:r>
      <w:r w:rsidRPr="00437F01">
        <w:rPr>
          <w:i/>
        </w:rPr>
        <w:lastRenderedPageBreak/>
        <w:t xml:space="preserve">Should the </w:t>
      </w:r>
      <w:r>
        <w:rPr>
          <w:i/>
        </w:rPr>
        <w:t>Warrant Holder</w:t>
      </w:r>
      <w:r w:rsidRPr="00437F01">
        <w:rPr>
          <w:i/>
        </w:rPr>
        <w:t xml:space="preserve"> not agree on an adjustment of the</w:t>
      </w:r>
      <w:r>
        <w:rPr>
          <w:i/>
        </w:rPr>
        <w:t>se</w:t>
      </w:r>
      <w:r w:rsidRPr="00437F01">
        <w:rPr>
          <w:i/>
        </w:rPr>
        <w:t xml:space="preserve"> </w:t>
      </w:r>
      <w:r>
        <w:rPr>
          <w:i/>
        </w:rPr>
        <w:t>t</w:t>
      </w:r>
      <w:r w:rsidRPr="00437F01">
        <w:rPr>
          <w:i/>
        </w:rPr>
        <w:t xml:space="preserve">erms and </w:t>
      </w:r>
      <w:r>
        <w:rPr>
          <w:i/>
        </w:rPr>
        <w:t>c</w:t>
      </w:r>
      <w:r w:rsidRPr="00437F01">
        <w:rPr>
          <w:i/>
        </w:rPr>
        <w:t xml:space="preserve">onditions </w:t>
      </w:r>
      <w:r>
        <w:rPr>
          <w:i/>
        </w:rPr>
        <w:t xml:space="preserve">by </w:t>
      </w:r>
      <w:r w:rsidRPr="00437F01">
        <w:rPr>
          <w:i/>
        </w:rPr>
        <w:t>recalculat</w:t>
      </w:r>
      <w:r>
        <w:rPr>
          <w:i/>
        </w:rPr>
        <w:t>ion</w:t>
      </w:r>
      <w:r w:rsidRPr="00437F01">
        <w:rPr>
          <w:i/>
        </w:rPr>
        <w:t xml:space="preserve"> in accordance with section </w:t>
      </w:r>
      <w:r>
        <w:rPr>
          <w:i/>
        </w:rPr>
        <w:fldChar w:fldCharType="begin"/>
      </w:r>
      <w:r>
        <w:rPr>
          <w:i/>
        </w:rPr>
        <w:instrText xml:space="preserve"> REF _Ref419825929 \r \h </w:instrText>
      </w:r>
      <w:r>
        <w:rPr>
          <w:i/>
        </w:rPr>
      </w:r>
      <w:r>
        <w:rPr>
          <w:i/>
        </w:rPr>
        <w:fldChar w:fldCharType="separate"/>
      </w:r>
      <w:r>
        <w:rPr>
          <w:i/>
        </w:rPr>
        <w:t>8.2</w:t>
      </w:r>
      <w:r>
        <w:rPr>
          <w:i/>
        </w:rPr>
        <w:fldChar w:fldCharType="end"/>
      </w:r>
      <w:r w:rsidRPr="00437F01">
        <w:rPr>
          <w:i/>
        </w:rPr>
        <w:t xml:space="preserve"> below, the </w:t>
      </w:r>
      <w:r>
        <w:rPr>
          <w:i/>
        </w:rPr>
        <w:t>Warrant Holder</w:t>
      </w:r>
      <w:r w:rsidRPr="00437F01">
        <w:rPr>
          <w:i/>
        </w:rPr>
        <w:t xml:space="preserve"> shall have the right to request an independent determination of the appropriate adjustment as set out below.</w:t>
      </w:r>
    </w:p>
    <w:p w14:paraId="06158773" w14:textId="77777777" w:rsidR="006350FE" w:rsidRPr="00437F01" w:rsidRDefault="006350FE" w:rsidP="007C4B62">
      <w:pPr>
        <w:pStyle w:val="BodyText"/>
        <w:numPr>
          <w:ilvl w:val="3"/>
          <w:numId w:val="57"/>
        </w:numPr>
      </w:pPr>
      <w:r w:rsidRPr="00A50800">
        <w:rPr>
          <w:lang w:val="sv-SE"/>
        </w:rPr>
        <w:t xml:space="preserve">Såvida inte Bolaget och den Optionsinnehavaren som begärt justering av </w:t>
      </w:r>
      <w:r>
        <w:rPr>
          <w:lang w:val="sv-SE"/>
        </w:rPr>
        <w:t>v</w:t>
      </w:r>
      <w:r w:rsidRPr="00A50800">
        <w:rPr>
          <w:lang w:val="sv-SE"/>
        </w:rPr>
        <w:t>illkoren</w:t>
      </w:r>
      <w:r>
        <w:rPr>
          <w:lang w:val="sv-SE"/>
        </w:rPr>
        <w:t>,</w:t>
      </w:r>
      <w:r w:rsidRPr="00A50800">
        <w:rPr>
          <w:lang w:val="sv-SE"/>
        </w:rPr>
        <w:t xml:space="preserve"> inom trettio (30) dagar från det att begäran om ett oberoende fastställande framställdes</w:t>
      </w:r>
      <w:r>
        <w:rPr>
          <w:lang w:val="sv-SE"/>
        </w:rPr>
        <w:t>,</w:t>
      </w:r>
      <w:r w:rsidRPr="00A50800">
        <w:rPr>
          <w:lang w:val="sv-SE"/>
        </w:rPr>
        <w:t xml:space="preserve"> har enats om en kvalificerad expert (härefter kallad "</w:t>
      </w:r>
      <w:r w:rsidRPr="00A50800">
        <w:rPr>
          <w:b/>
          <w:lang w:val="sv-SE"/>
        </w:rPr>
        <w:t>Experten</w:t>
      </w:r>
      <w:r w:rsidRPr="00A50800">
        <w:rPr>
          <w:lang w:val="sv-SE"/>
        </w:rPr>
        <w:t xml:space="preserve">"), </w:t>
      </w:r>
      <w:r>
        <w:rPr>
          <w:lang w:val="sv-SE"/>
        </w:rPr>
        <w:t>ska</w:t>
      </w:r>
      <w:r w:rsidRPr="00A50800">
        <w:rPr>
          <w:lang w:val="sv-SE"/>
        </w:rPr>
        <w:t xml:space="preserve"> Stockholms Handelskammare, efter begäran av Optionsinnehavaren, utnämna en Expert. En sådan utnämning </w:t>
      </w:r>
      <w:r>
        <w:rPr>
          <w:lang w:val="sv-SE"/>
        </w:rPr>
        <w:t>ska</w:t>
      </w:r>
      <w:r w:rsidRPr="00A50800">
        <w:rPr>
          <w:lang w:val="sv-SE"/>
        </w:rPr>
        <w:t xml:space="preserve"> vara slutlig och bindande för Optionsinnehavaren och för Bolaget.</w:t>
      </w:r>
      <w:r w:rsidRPr="00A50800">
        <w:rPr>
          <w:lang w:val="sv-SE"/>
        </w:rPr>
        <w:br/>
      </w:r>
      <w:r w:rsidRPr="00437F01">
        <w:rPr>
          <w:i/>
        </w:rPr>
        <w:t xml:space="preserve">Unless the Company and the </w:t>
      </w:r>
      <w:r>
        <w:rPr>
          <w:i/>
        </w:rPr>
        <w:t>Warrant Holder</w:t>
      </w:r>
      <w:r w:rsidRPr="00437F01">
        <w:rPr>
          <w:i/>
        </w:rPr>
        <w:t xml:space="preserve"> </w:t>
      </w:r>
      <w:r>
        <w:rPr>
          <w:i/>
        </w:rPr>
        <w:t>requesting the adjustment of these terms and conditions</w:t>
      </w:r>
      <w:r w:rsidRPr="00437F01">
        <w:rPr>
          <w:i/>
        </w:rPr>
        <w:t xml:space="preserve">, within thirty (30) days from the request for </w:t>
      </w:r>
      <w:proofErr w:type="gramStart"/>
      <w:r w:rsidRPr="00437F01">
        <w:rPr>
          <w:i/>
        </w:rPr>
        <w:t>independent determination</w:t>
      </w:r>
      <w:proofErr w:type="gramEnd"/>
      <w:r w:rsidRPr="00437F01">
        <w:rPr>
          <w:i/>
        </w:rPr>
        <w:t xml:space="preserve">, </w:t>
      </w:r>
      <w:r>
        <w:rPr>
          <w:i/>
        </w:rPr>
        <w:t xml:space="preserve">have </w:t>
      </w:r>
      <w:r w:rsidRPr="00437F01">
        <w:rPr>
          <w:i/>
        </w:rPr>
        <w:t xml:space="preserve">agreed on a qualified expert (hereinafter referred to </w:t>
      </w:r>
      <w:proofErr w:type="gramStart"/>
      <w:r w:rsidRPr="00437F01">
        <w:rPr>
          <w:i/>
        </w:rPr>
        <w:t>as the</w:t>
      </w:r>
      <w:proofErr w:type="gramEnd"/>
      <w:r w:rsidRPr="00437F01">
        <w:rPr>
          <w:i/>
        </w:rPr>
        <w:t xml:space="preserve"> "</w:t>
      </w:r>
      <w:r w:rsidRPr="00437F01">
        <w:rPr>
          <w:b/>
          <w:i/>
        </w:rPr>
        <w:t>Expert</w:t>
      </w:r>
      <w:r w:rsidRPr="00437F01">
        <w:rPr>
          <w:i/>
        </w:rPr>
        <w:t xml:space="preserve">"), the Stockholm Chamber of Commerce shall, at the request of the requesting </w:t>
      </w:r>
      <w:r>
        <w:rPr>
          <w:i/>
        </w:rPr>
        <w:t>Warrant Holder</w:t>
      </w:r>
      <w:r w:rsidRPr="00437F01">
        <w:rPr>
          <w:i/>
        </w:rPr>
        <w:t xml:space="preserve">, appoint </w:t>
      </w:r>
      <w:r>
        <w:rPr>
          <w:i/>
        </w:rPr>
        <w:t>an</w:t>
      </w:r>
      <w:r w:rsidRPr="00437F01">
        <w:rPr>
          <w:i/>
        </w:rPr>
        <w:t xml:space="preserve"> Expert</w:t>
      </w:r>
      <w:r>
        <w:rPr>
          <w:i/>
        </w:rPr>
        <w:t>.</w:t>
      </w:r>
      <w:r w:rsidRPr="00437F01">
        <w:rPr>
          <w:i/>
        </w:rPr>
        <w:t xml:space="preserve"> such appointment </w:t>
      </w:r>
      <w:r>
        <w:rPr>
          <w:i/>
        </w:rPr>
        <w:t>shall</w:t>
      </w:r>
      <w:r w:rsidRPr="00437F01">
        <w:rPr>
          <w:i/>
        </w:rPr>
        <w:t xml:space="preserve"> be final and binding on the </w:t>
      </w:r>
      <w:r>
        <w:rPr>
          <w:i/>
        </w:rPr>
        <w:t>Warrant Holder</w:t>
      </w:r>
      <w:r w:rsidRPr="00437F01">
        <w:rPr>
          <w:i/>
        </w:rPr>
        <w:t xml:space="preserve"> and the Company.</w:t>
      </w:r>
    </w:p>
    <w:p w14:paraId="02F9F131" w14:textId="77777777" w:rsidR="006350FE" w:rsidRPr="00437F01" w:rsidRDefault="006350FE" w:rsidP="007C4B62">
      <w:pPr>
        <w:pStyle w:val="BodyText"/>
        <w:numPr>
          <w:ilvl w:val="3"/>
          <w:numId w:val="57"/>
        </w:numPr>
      </w:pPr>
      <w:r w:rsidRPr="00A50800">
        <w:rPr>
          <w:lang w:val="sv-SE"/>
        </w:rPr>
        <w:t xml:space="preserve">Experten </w:t>
      </w:r>
      <w:r>
        <w:rPr>
          <w:lang w:val="sv-SE"/>
        </w:rPr>
        <w:t>ska</w:t>
      </w:r>
      <w:r w:rsidRPr="00A50800">
        <w:rPr>
          <w:lang w:val="sv-SE"/>
        </w:rPr>
        <w:t xml:space="preserve"> självständigt beakta den inträffade händelsen och dess inverkan på Teckningsoptionerna och/eller Aktierna och/eller Optionsinnehavaren. Experten har rätt att erhålla värdering eller övrig assistans från annan ansedd utomstående part efter instruktioner av Experten.</w:t>
      </w:r>
      <w:r w:rsidRPr="00A50800">
        <w:rPr>
          <w:lang w:val="sv-SE"/>
        </w:rPr>
        <w:br/>
      </w:r>
      <w:r w:rsidRPr="00437F01">
        <w:rPr>
          <w:i/>
        </w:rPr>
        <w:t xml:space="preserve">The Expert shall independently consider the event that occurred and its effect on the Warrants and/or Shares and/or the </w:t>
      </w:r>
      <w:r>
        <w:rPr>
          <w:i/>
        </w:rPr>
        <w:t>Warrant Holder</w:t>
      </w:r>
      <w:r w:rsidRPr="00437F01">
        <w:rPr>
          <w:i/>
        </w:rPr>
        <w:t>. In doing this, the Expert may obtain a valuation or other assistance from a reputable third party instructed by the Expert.</w:t>
      </w:r>
    </w:p>
    <w:p w14:paraId="49A690EF" w14:textId="77777777" w:rsidR="006350FE" w:rsidRPr="00437F01" w:rsidRDefault="006350FE" w:rsidP="007C4B62">
      <w:pPr>
        <w:pStyle w:val="BodyText"/>
        <w:numPr>
          <w:ilvl w:val="3"/>
          <w:numId w:val="57"/>
        </w:numPr>
      </w:pPr>
      <w:r w:rsidRPr="00A50800">
        <w:rPr>
          <w:lang w:val="sv-SE"/>
        </w:rPr>
        <w:t xml:space="preserve">Experten </w:t>
      </w:r>
      <w:r>
        <w:rPr>
          <w:lang w:val="sv-SE"/>
        </w:rPr>
        <w:t>ska</w:t>
      </w:r>
      <w:r w:rsidRPr="00A50800">
        <w:rPr>
          <w:lang w:val="sv-SE"/>
        </w:rPr>
        <w:t xml:space="preserve"> fastställa en lämplig omräkning i enlighet med dessa </w:t>
      </w:r>
      <w:r>
        <w:rPr>
          <w:lang w:val="sv-SE"/>
        </w:rPr>
        <w:t>v</w:t>
      </w:r>
      <w:r w:rsidRPr="00A50800">
        <w:rPr>
          <w:lang w:val="sv-SE"/>
        </w:rPr>
        <w:t xml:space="preserve">illkor för att till fullo kompensera Optionsinnehavaren för varje utspädning och annan negativ påverkan. Experten </w:t>
      </w:r>
      <w:r>
        <w:rPr>
          <w:lang w:val="sv-SE"/>
        </w:rPr>
        <w:t>ska</w:t>
      </w:r>
      <w:r w:rsidRPr="00A50800">
        <w:rPr>
          <w:lang w:val="sv-SE"/>
        </w:rPr>
        <w:t xml:space="preserve"> så långt möjligt tillämpa de </w:t>
      </w:r>
      <w:proofErr w:type="spellStart"/>
      <w:r w:rsidRPr="00A50800">
        <w:rPr>
          <w:lang w:val="sv-SE"/>
        </w:rPr>
        <w:t>omräkningsprinciper</w:t>
      </w:r>
      <w:proofErr w:type="spellEnd"/>
      <w:r w:rsidRPr="00A50800">
        <w:rPr>
          <w:lang w:val="sv-SE"/>
        </w:rPr>
        <w:t xml:space="preserve"> som följer av punkt </w:t>
      </w:r>
      <w:r>
        <w:fldChar w:fldCharType="begin"/>
      </w:r>
      <w:r>
        <w:rPr>
          <w:lang w:val="sv-SE"/>
        </w:rPr>
        <w:instrText xml:space="preserve"> REF _Ref419825929 \r \h </w:instrText>
      </w:r>
      <w:r>
        <w:fldChar w:fldCharType="separate"/>
      </w:r>
      <w:r>
        <w:rPr>
          <w:lang w:val="sv-SE"/>
        </w:rPr>
        <w:t>8.2</w:t>
      </w:r>
      <w:r>
        <w:fldChar w:fldCharType="end"/>
      </w:r>
      <w:r w:rsidRPr="00A50800">
        <w:rPr>
          <w:lang w:val="sv-SE"/>
        </w:rPr>
        <w:t xml:space="preserve"> och/eller av andra för ändamålet relevanta bestämmelser i dessa </w:t>
      </w:r>
      <w:r>
        <w:rPr>
          <w:lang w:val="sv-SE"/>
        </w:rPr>
        <w:t>v</w:t>
      </w:r>
      <w:r w:rsidRPr="00A50800">
        <w:rPr>
          <w:lang w:val="sv-SE"/>
        </w:rPr>
        <w:t xml:space="preserve">illkor för Teckningsoptioner och/eller i s.k. teckningsoptionsägaravtal avseende innehav av Teckningsoptioner, Aktier och/eller andra </w:t>
      </w:r>
      <w:r>
        <w:rPr>
          <w:lang w:val="sv-SE"/>
        </w:rPr>
        <w:t>r</w:t>
      </w:r>
      <w:r w:rsidRPr="00A50800">
        <w:rPr>
          <w:lang w:val="sv-SE"/>
        </w:rPr>
        <w:t>ättigheter i Bolaget.</w:t>
      </w:r>
      <w:r w:rsidRPr="00A50800">
        <w:rPr>
          <w:lang w:val="sv-SE"/>
        </w:rPr>
        <w:br/>
      </w:r>
      <w:r w:rsidRPr="00437F01">
        <w:rPr>
          <w:i/>
        </w:rPr>
        <w:t xml:space="preserve">The Expert shall decide on the appropriate adjustments in accordance with these </w:t>
      </w:r>
      <w:r>
        <w:rPr>
          <w:i/>
        </w:rPr>
        <w:t>t</w:t>
      </w:r>
      <w:r w:rsidRPr="00437F01">
        <w:rPr>
          <w:i/>
        </w:rPr>
        <w:t xml:space="preserve">erms and </w:t>
      </w:r>
      <w:r>
        <w:rPr>
          <w:i/>
        </w:rPr>
        <w:t>c</w:t>
      </w:r>
      <w:r w:rsidRPr="00437F01">
        <w:rPr>
          <w:i/>
        </w:rPr>
        <w:t xml:space="preserve">onditions in order to fully compensate the </w:t>
      </w:r>
      <w:r>
        <w:rPr>
          <w:i/>
        </w:rPr>
        <w:t>Warrant Holder</w:t>
      </w:r>
      <w:r w:rsidRPr="00437F01">
        <w:rPr>
          <w:i/>
        </w:rPr>
        <w:t xml:space="preserve"> for any dilution and other adverse effects. The Expert shall as far as possible apply the adjustment principles set out in section </w:t>
      </w:r>
      <w:r>
        <w:rPr>
          <w:i/>
        </w:rPr>
        <w:fldChar w:fldCharType="begin"/>
      </w:r>
      <w:r>
        <w:rPr>
          <w:i/>
        </w:rPr>
        <w:instrText xml:space="preserve"> REF _Ref419825929 \r \h </w:instrText>
      </w:r>
      <w:r>
        <w:rPr>
          <w:i/>
        </w:rPr>
      </w:r>
      <w:r>
        <w:rPr>
          <w:i/>
        </w:rPr>
        <w:fldChar w:fldCharType="separate"/>
      </w:r>
      <w:r>
        <w:rPr>
          <w:i/>
        </w:rPr>
        <w:t>8.2</w:t>
      </w:r>
      <w:r>
        <w:rPr>
          <w:i/>
        </w:rPr>
        <w:fldChar w:fldCharType="end"/>
      </w:r>
      <w:r w:rsidRPr="00437F01">
        <w:rPr>
          <w:i/>
        </w:rPr>
        <w:t xml:space="preserve"> and/or any other relevant provisions of these </w:t>
      </w:r>
      <w:r>
        <w:rPr>
          <w:i/>
        </w:rPr>
        <w:t>t</w:t>
      </w:r>
      <w:r w:rsidRPr="00437F01">
        <w:rPr>
          <w:i/>
        </w:rPr>
        <w:t xml:space="preserve">erms and </w:t>
      </w:r>
      <w:r>
        <w:rPr>
          <w:i/>
        </w:rPr>
        <w:t>c</w:t>
      </w:r>
      <w:r w:rsidRPr="00437F01">
        <w:rPr>
          <w:i/>
        </w:rPr>
        <w:t xml:space="preserve">onditions and/or any </w:t>
      </w:r>
      <w:r>
        <w:rPr>
          <w:i/>
        </w:rPr>
        <w:t>Warrant Holder</w:t>
      </w:r>
      <w:r w:rsidRPr="00437F01">
        <w:rPr>
          <w:i/>
        </w:rPr>
        <w:t xml:space="preserve"> agreement regarding the holding of Warrants, Shares and/or any other </w:t>
      </w:r>
      <w:r>
        <w:rPr>
          <w:i/>
        </w:rPr>
        <w:t>i</w:t>
      </w:r>
      <w:r w:rsidRPr="00437F01">
        <w:rPr>
          <w:i/>
        </w:rPr>
        <w:t>nterests in the Company.</w:t>
      </w:r>
    </w:p>
    <w:p w14:paraId="1612FA25" w14:textId="77777777" w:rsidR="006350FE" w:rsidRPr="00437F01" w:rsidRDefault="006350FE" w:rsidP="007C4B62">
      <w:pPr>
        <w:pStyle w:val="BodyText"/>
        <w:numPr>
          <w:ilvl w:val="3"/>
          <w:numId w:val="57"/>
        </w:numPr>
      </w:pPr>
      <w:r w:rsidRPr="00A50800">
        <w:rPr>
          <w:lang w:val="sv-SE"/>
        </w:rPr>
        <w:t xml:space="preserve">Experten </w:t>
      </w:r>
      <w:r>
        <w:rPr>
          <w:lang w:val="sv-SE"/>
        </w:rPr>
        <w:t>ska</w:t>
      </w:r>
      <w:r w:rsidRPr="00A50800">
        <w:rPr>
          <w:lang w:val="sv-SE"/>
        </w:rPr>
        <w:t xml:space="preserve"> avge sitt beslut inom trettio (30) dagar räknat från den dag då denne tillsattes.</w:t>
      </w:r>
      <w:r w:rsidRPr="00A50800">
        <w:rPr>
          <w:lang w:val="sv-SE"/>
        </w:rPr>
        <w:br/>
      </w:r>
      <w:r w:rsidRPr="00437F01">
        <w:rPr>
          <w:i/>
        </w:rPr>
        <w:t>The Expert shall render his</w:t>
      </w:r>
      <w:r>
        <w:rPr>
          <w:i/>
        </w:rPr>
        <w:t>/her</w:t>
      </w:r>
      <w:r w:rsidRPr="00437F01">
        <w:rPr>
          <w:i/>
        </w:rPr>
        <w:t xml:space="preserve"> decision within thirty (30) days from the date when he</w:t>
      </w:r>
      <w:r>
        <w:rPr>
          <w:i/>
        </w:rPr>
        <w:t>/she</w:t>
      </w:r>
      <w:r w:rsidRPr="00437F01">
        <w:rPr>
          <w:i/>
        </w:rPr>
        <w:t xml:space="preserve"> was appointed.</w:t>
      </w:r>
    </w:p>
    <w:p w14:paraId="71131556" w14:textId="77777777" w:rsidR="006350FE" w:rsidRPr="00A50800" w:rsidRDefault="006350FE" w:rsidP="007C4B62">
      <w:pPr>
        <w:pStyle w:val="BodyText"/>
        <w:numPr>
          <w:ilvl w:val="3"/>
          <w:numId w:val="57"/>
        </w:numPr>
      </w:pPr>
      <w:r w:rsidRPr="00A50800">
        <w:rPr>
          <w:lang w:val="sv-SE"/>
        </w:rPr>
        <w:t xml:space="preserve">Expertens beslut </w:t>
      </w:r>
      <w:r>
        <w:rPr>
          <w:lang w:val="sv-SE"/>
        </w:rPr>
        <w:t>ska</w:t>
      </w:r>
      <w:r w:rsidRPr="00A50800">
        <w:rPr>
          <w:lang w:val="sv-SE"/>
        </w:rPr>
        <w:t xml:space="preserve"> vara slutligt bindande för Bolaget och för samtliga Optionsinnehavare.</w:t>
      </w:r>
      <w:r w:rsidRPr="00A50800">
        <w:rPr>
          <w:lang w:val="sv-SE"/>
        </w:rPr>
        <w:br/>
      </w:r>
      <w:r w:rsidRPr="00437F01">
        <w:rPr>
          <w:i/>
        </w:rPr>
        <w:t xml:space="preserve">The Expert's decision shall be final and binding on the Company and all </w:t>
      </w:r>
      <w:r>
        <w:rPr>
          <w:i/>
        </w:rPr>
        <w:t>Warrant Holder</w:t>
      </w:r>
      <w:r w:rsidRPr="00437F01">
        <w:rPr>
          <w:i/>
        </w:rPr>
        <w:t>s.</w:t>
      </w:r>
    </w:p>
    <w:p w14:paraId="0426716B" w14:textId="77777777" w:rsidR="006350FE" w:rsidRPr="00437F01" w:rsidRDefault="006350FE" w:rsidP="007C4B62">
      <w:pPr>
        <w:pStyle w:val="BodyText"/>
        <w:numPr>
          <w:ilvl w:val="3"/>
          <w:numId w:val="57"/>
        </w:numPr>
      </w:pPr>
      <w:r w:rsidRPr="00A50800">
        <w:rPr>
          <w:lang w:val="sv-SE"/>
        </w:rPr>
        <w:t xml:space="preserve">Ersättningen för Expertens kostnader och skälig ersättning till denne </w:t>
      </w:r>
      <w:r>
        <w:rPr>
          <w:lang w:val="sv-SE"/>
        </w:rPr>
        <w:t>ska</w:t>
      </w:r>
      <w:r w:rsidRPr="00A50800">
        <w:rPr>
          <w:lang w:val="sv-SE"/>
        </w:rPr>
        <w:t xml:space="preserve"> delas lika mellan Bolaget och den Optionsinnehavare som begär justering.</w:t>
      </w:r>
      <w:r w:rsidRPr="00A50800">
        <w:rPr>
          <w:lang w:val="sv-SE"/>
        </w:rPr>
        <w:br/>
      </w:r>
      <w:r w:rsidRPr="00A50800">
        <w:rPr>
          <w:i/>
        </w:rPr>
        <w:t xml:space="preserve">The costs incurred by, and reasonable remuneration to, the Expert shall be divided equally between the Company and the </w:t>
      </w:r>
      <w:r>
        <w:rPr>
          <w:i/>
        </w:rPr>
        <w:t>Warrant Holder</w:t>
      </w:r>
      <w:r w:rsidRPr="00A50800">
        <w:rPr>
          <w:i/>
        </w:rPr>
        <w:t xml:space="preserve"> requesting </w:t>
      </w:r>
      <w:r>
        <w:rPr>
          <w:i/>
        </w:rPr>
        <w:t>the adjustment</w:t>
      </w:r>
      <w:r w:rsidRPr="00A50800">
        <w:rPr>
          <w:i/>
        </w:rPr>
        <w:t>.</w:t>
      </w:r>
    </w:p>
    <w:p w14:paraId="51D9BC02" w14:textId="77777777" w:rsidR="006350FE" w:rsidRPr="00A50800" w:rsidRDefault="006350FE" w:rsidP="007C4B62">
      <w:pPr>
        <w:pStyle w:val="BodyText"/>
        <w:numPr>
          <w:ilvl w:val="1"/>
          <w:numId w:val="57"/>
        </w:numPr>
        <w:spacing w:after="0"/>
        <w:rPr>
          <w:b/>
          <w:bCs/>
        </w:rPr>
      </w:pPr>
      <w:r w:rsidRPr="006B6AC0">
        <w:rPr>
          <w:b/>
          <w:bCs/>
          <w:lang w:val="sv-SE"/>
        </w:rPr>
        <w:t>Omräkning</w:t>
      </w:r>
      <w:r w:rsidRPr="00A50800">
        <w:rPr>
          <w:b/>
          <w:bCs/>
        </w:rPr>
        <w:t>/</w:t>
      </w:r>
      <w:r w:rsidRPr="00A50800">
        <w:rPr>
          <w:b/>
          <w:bCs/>
          <w:i/>
          <w:iCs/>
        </w:rPr>
        <w:t>Recalculations</w:t>
      </w:r>
    </w:p>
    <w:p w14:paraId="290E8407" w14:textId="77777777" w:rsidR="006350FE" w:rsidRPr="00437F01" w:rsidRDefault="006350FE" w:rsidP="007C4B62">
      <w:pPr>
        <w:pStyle w:val="BodyText"/>
        <w:numPr>
          <w:ilvl w:val="2"/>
          <w:numId w:val="57"/>
        </w:numPr>
      </w:pPr>
      <w:r w:rsidRPr="00A50800">
        <w:rPr>
          <w:lang w:val="sv-SE"/>
        </w:rPr>
        <w:lastRenderedPageBreak/>
        <w:t xml:space="preserve">En omräkning av det antal Aktier som varje Teckningsoption ger rätt att teckna </w:t>
      </w:r>
      <w:r>
        <w:rPr>
          <w:lang w:val="sv-SE"/>
        </w:rPr>
        <w:t>ska</w:t>
      </w:r>
      <w:r w:rsidRPr="00A50800">
        <w:rPr>
          <w:lang w:val="sv-SE"/>
        </w:rPr>
        <w:t xml:space="preserve"> utföras om Teckning verkställs efter beslut om sådan</w:t>
      </w:r>
      <w:r>
        <w:rPr>
          <w:lang w:val="sv-SE"/>
        </w:rPr>
        <w:t>a</w:t>
      </w:r>
      <w:r w:rsidRPr="00A50800">
        <w:rPr>
          <w:lang w:val="sv-SE"/>
        </w:rPr>
        <w:t xml:space="preserve"> </w:t>
      </w:r>
      <w:r>
        <w:rPr>
          <w:lang w:val="sv-SE"/>
        </w:rPr>
        <w:t>bolagshändelser</w:t>
      </w:r>
      <w:r w:rsidRPr="00A50800">
        <w:rPr>
          <w:lang w:val="sv-SE"/>
        </w:rPr>
        <w:t xml:space="preserve"> som anges i </w:t>
      </w:r>
      <w:r>
        <w:rPr>
          <w:lang w:val="sv-SE"/>
        </w:rPr>
        <w:t>punkterna</w:t>
      </w:r>
      <w:r w:rsidRPr="00A50800">
        <w:rPr>
          <w:lang w:val="sv-SE"/>
        </w:rPr>
        <w:t xml:space="preserve"> </w:t>
      </w:r>
      <w:r>
        <w:rPr>
          <w:szCs w:val="22"/>
        </w:rPr>
        <w:fldChar w:fldCharType="begin"/>
      </w:r>
      <w:r>
        <w:rPr>
          <w:lang w:val="sv-SE"/>
        </w:rPr>
        <w:instrText xml:space="preserve"> REF _Ref419826047 \r \h </w:instrText>
      </w:r>
      <w:r>
        <w:rPr>
          <w:szCs w:val="22"/>
        </w:rPr>
      </w:r>
      <w:r>
        <w:rPr>
          <w:szCs w:val="22"/>
        </w:rPr>
        <w:fldChar w:fldCharType="separate"/>
      </w:r>
      <w:r>
        <w:rPr>
          <w:lang w:val="sv-SE"/>
        </w:rPr>
        <w:t>8.2.2</w:t>
      </w:r>
      <w:r>
        <w:rPr>
          <w:szCs w:val="22"/>
        </w:rPr>
        <w:fldChar w:fldCharType="end"/>
      </w:r>
      <w:r>
        <w:rPr>
          <w:lang w:val="sv-SE"/>
        </w:rPr>
        <w:t>–</w:t>
      </w:r>
      <w:r>
        <w:rPr>
          <w:szCs w:val="22"/>
        </w:rPr>
        <w:fldChar w:fldCharType="begin"/>
      </w:r>
      <w:r>
        <w:rPr>
          <w:lang w:val="sv-SE"/>
        </w:rPr>
        <w:instrText xml:space="preserve"> REF _Ref439067192 \r \h </w:instrText>
      </w:r>
      <w:r>
        <w:rPr>
          <w:szCs w:val="22"/>
        </w:rPr>
      </w:r>
      <w:r>
        <w:rPr>
          <w:szCs w:val="22"/>
        </w:rPr>
        <w:fldChar w:fldCharType="separate"/>
      </w:r>
      <w:r>
        <w:rPr>
          <w:lang w:val="sv-SE"/>
        </w:rPr>
        <w:t>8.2.21</w:t>
      </w:r>
      <w:r>
        <w:rPr>
          <w:szCs w:val="22"/>
        </w:rPr>
        <w:fldChar w:fldCharType="end"/>
      </w:r>
      <w:r w:rsidRPr="006B6AC0">
        <w:rPr>
          <w:szCs w:val="22"/>
          <w:lang w:val="sv-SE"/>
        </w:rPr>
        <w:t xml:space="preserve"> </w:t>
      </w:r>
      <w:r>
        <w:rPr>
          <w:szCs w:val="22"/>
          <w:lang w:val="sv-SE"/>
        </w:rPr>
        <w:t>nedan</w:t>
      </w:r>
      <w:r w:rsidRPr="00A50800">
        <w:rPr>
          <w:lang w:val="sv-SE"/>
        </w:rPr>
        <w:t>.</w:t>
      </w:r>
      <w:r w:rsidRPr="00A50800">
        <w:rPr>
          <w:lang w:val="sv-SE"/>
        </w:rPr>
        <w:br/>
      </w:r>
      <w:r w:rsidRPr="00437F01">
        <w:rPr>
          <w:i/>
        </w:rPr>
        <w:t xml:space="preserve">A recalculated number of Shares which every Warrant confers the right to subscribe for, shall be </w:t>
      </w:r>
      <w:r>
        <w:rPr>
          <w:i/>
        </w:rPr>
        <w:t>made</w:t>
      </w:r>
      <w:r w:rsidRPr="00437F01">
        <w:rPr>
          <w:i/>
        </w:rPr>
        <w:t xml:space="preserve"> </w:t>
      </w:r>
      <w:r>
        <w:rPr>
          <w:i/>
        </w:rPr>
        <w:t>if</w:t>
      </w:r>
      <w:r w:rsidRPr="00437F01">
        <w:rPr>
          <w:i/>
        </w:rPr>
        <w:t xml:space="preserve"> Subscription </w:t>
      </w:r>
      <w:r>
        <w:rPr>
          <w:i/>
        </w:rPr>
        <w:t xml:space="preserve">is </w:t>
      </w:r>
      <w:r w:rsidRPr="00437F01">
        <w:rPr>
          <w:i/>
        </w:rPr>
        <w:t xml:space="preserve">executed </w:t>
      </w:r>
      <w:r>
        <w:rPr>
          <w:i/>
        </w:rPr>
        <w:t>following</w:t>
      </w:r>
      <w:r w:rsidRPr="00437F01">
        <w:rPr>
          <w:i/>
        </w:rPr>
        <w:t xml:space="preserve"> </w:t>
      </w:r>
      <w:r>
        <w:rPr>
          <w:i/>
        </w:rPr>
        <w:t>a</w:t>
      </w:r>
      <w:r w:rsidRPr="00437F01">
        <w:rPr>
          <w:i/>
        </w:rPr>
        <w:t xml:space="preserve"> </w:t>
      </w:r>
      <w:r>
        <w:rPr>
          <w:i/>
        </w:rPr>
        <w:t>resolution</w:t>
      </w:r>
      <w:r w:rsidRPr="00437F01">
        <w:rPr>
          <w:i/>
        </w:rPr>
        <w:t xml:space="preserve"> on </w:t>
      </w:r>
      <w:r>
        <w:rPr>
          <w:i/>
        </w:rPr>
        <w:t>such</w:t>
      </w:r>
      <w:r w:rsidRPr="00437F01">
        <w:rPr>
          <w:i/>
        </w:rPr>
        <w:t xml:space="preserve"> </w:t>
      </w:r>
      <w:r>
        <w:rPr>
          <w:i/>
        </w:rPr>
        <w:t>corporate events</w:t>
      </w:r>
      <w:r w:rsidRPr="00437F01">
        <w:rPr>
          <w:i/>
        </w:rPr>
        <w:t xml:space="preserve"> </w:t>
      </w:r>
      <w:r>
        <w:rPr>
          <w:i/>
        </w:rPr>
        <w:t xml:space="preserve">as </w:t>
      </w:r>
      <w:r w:rsidRPr="00437F01">
        <w:rPr>
          <w:i/>
        </w:rPr>
        <w:t xml:space="preserve">set in sections </w:t>
      </w:r>
      <w:r>
        <w:rPr>
          <w:i/>
          <w:szCs w:val="22"/>
        </w:rPr>
        <w:fldChar w:fldCharType="begin"/>
      </w:r>
      <w:r>
        <w:rPr>
          <w:i/>
        </w:rPr>
        <w:instrText xml:space="preserve"> REF _Ref419826047 \r \h </w:instrText>
      </w:r>
      <w:r>
        <w:rPr>
          <w:i/>
          <w:szCs w:val="22"/>
        </w:rPr>
      </w:r>
      <w:r>
        <w:rPr>
          <w:i/>
          <w:szCs w:val="22"/>
        </w:rPr>
        <w:fldChar w:fldCharType="separate"/>
      </w:r>
      <w:r>
        <w:rPr>
          <w:i/>
        </w:rPr>
        <w:t>8.2.2</w:t>
      </w:r>
      <w:r>
        <w:rPr>
          <w:i/>
          <w:szCs w:val="22"/>
        </w:rPr>
        <w:fldChar w:fldCharType="end"/>
      </w:r>
      <w:r w:rsidRPr="00437F01">
        <w:rPr>
          <w:i/>
        </w:rPr>
        <w:t>–</w:t>
      </w:r>
      <w:r>
        <w:rPr>
          <w:i/>
          <w:szCs w:val="22"/>
        </w:rPr>
        <w:fldChar w:fldCharType="begin"/>
      </w:r>
      <w:r>
        <w:rPr>
          <w:i/>
        </w:rPr>
        <w:instrText xml:space="preserve"> REF _Ref439067192 \r \h </w:instrText>
      </w:r>
      <w:r>
        <w:rPr>
          <w:i/>
          <w:szCs w:val="22"/>
        </w:rPr>
      </w:r>
      <w:r>
        <w:rPr>
          <w:i/>
          <w:szCs w:val="22"/>
        </w:rPr>
        <w:fldChar w:fldCharType="separate"/>
      </w:r>
      <w:r>
        <w:rPr>
          <w:i/>
        </w:rPr>
        <w:t>8.2.21</w:t>
      </w:r>
      <w:r>
        <w:rPr>
          <w:i/>
          <w:szCs w:val="22"/>
        </w:rPr>
        <w:fldChar w:fldCharType="end"/>
      </w:r>
      <w:r>
        <w:rPr>
          <w:i/>
          <w:szCs w:val="22"/>
        </w:rPr>
        <w:t xml:space="preserve"> below</w:t>
      </w:r>
      <w:r w:rsidRPr="00437F01">
        <w:rPr>
          <w:i/>
        </w:rPr>
        <w:t>.</w:t>
      </w:r>
    </w:p>
    <w:p w14:paraId="2CEBB837" w14:textId="77777777" w:rsidR="006350FE" w:rsidRPr="00A50800" w:rsidRDefault="006350FE" w:rsidP="007C4B62">
      <w:pPr>
        <w:pStyle w:val="BodyText"/>
        <w:numPr>
          <w:ilvl w:val="2"/>
          <w:numId w:val="57"/>
        </w:numPr>
        <w:spacing w:after="0"/>
        <w:rPr>
          <w:b/>
          <w:bCs/>
        </w:rPr>
      </w:pPr>
      <w:r w:rsidRPr="006B6AC0">
        <w:rPr>
          <w:b/>
          <w:bCs/>
          <w:lang w:val="sv-SE"/>
        </w:rPr>
        <w:t>Fondemission</w:t>
      </w:r>
      <w:r w:rsidRPr="00A50800">
        <w:rPr>
          <w:b/>
          <w:bCs/>
        </w:rPr>
        <w:t>/</w:t>
      </w:r>
      <w:r w:rsidRPr="00A50800">
        <w:rPr>
          <w:b/>
          <w:bCs/>
          <w:i/>
          <w:iCs/>
        </w:rPr>
        <w:t>Bonus Issue</w:t>
      </w:r>
    </w:p>
    <w:p w14:paraId="6A06EE3E" w14:textId="77777777" w:rsidR="006350FE" w:rsidRPr="00437F01" w:rsidRDefault="006350FE" w:rsidP="006350FE">
      <w:pPr>
        <w:pStyle w:val="BodyText"/>
        <w:ind w:left="720"/>
      </w:pPr>
      <w:r w:rsidRPr="006B6AC0">
        <w:rPr>
          <w:lang w:val="sv-SE"/>
        </w:rPr>
        <w:t xml:space="preserve">Genomför Bolaget en </w:t>
      </w:r>
      <w:r w:rsidRPr="006B6AC0">
        <w:rPr>
          <w:u w:val="single"/>
          <w:lang w:val="sv-SE"/>
        </w:rPr>
        <w:t>fondemission</w:t>
      </w:r>
      <w:r w:rsidRPr="006B6AC0">
        <w:rPr>
          <w:lang w:val="sv-SE"/>
        </w:rPr>
        <w:t xml:space="preserve"> ska Teckning – där anmälan om Teckning görs på sådan</w:t>
      </w:r>
      <w:r w:rsidRPr="00A50800">
        <w:rPr>
          <w:lang w:val="sv-SE"/>
        </w:rPr>
        <w:t xml:space="preserve"> tid att den inte kan verkställas senast på tionde kalenderdagen före bolagsstämma som beslutar om emissionen – verkställas först sedan stämman beslutat om denna. Aktier, som tillkommit på grund av Teckning verkställd efter </w:t>
      </w:r>
      <w:proofErr w:type="spellStart"/>
      <w:r w:rsidRPr="00A50800">
        <w:rPr>
          <w:lang w:val="sv-SE"/>
        </w:rPr>
        <w:t>emissionsbeslutet</w:t>
      </w:r>
      <w:proofErr w:type="spellEnd"/>
      <w:r w:rsidRPr="00A50800">
        <w:rPr>
          <w:lang w:val="sv-SE"/>
        </w:rPr>
        <w:t xml:space="preserve">, registreras interimistiskt på avstämningskonto, vilket innebär att </w:t>
      </w:r>
      <w:r>
        <w:rPr>
          <w:lang w:val="sv-SE"/>
        </w:rPr>
        <w:t>Optionsinnehavaren</w:t>
      </w:r>
      <w:r w:rsidRPr="00A50800">
        <w:rPr>
          <w:lang w:val="sv-SE"/>
        </w:rPr>
        <w:t xml:space="preserve"> inte har rätt att deltaga i emissionen. Slutlig registrering på avstämningskonto sker först efter avstämningsdagen för </w:t>
      </w:r>
      <w:r>
        <w:rPr>
          <w:lang w:val="sv-SE"/>
        </w:rPr>
        <w:t>fond</w:t>
      </w:r>
      <w:r w:rsidRPr="00A50800">
        <w:rPr>
          <w:lang w:val="sv-SE"/>
        </w:rPr>
        <w:t>emissionen.</w:t>
      </w:r>
      <w:r w:rsidRPr="00A50800">
        <w:rPr>
          <w:lang w:val="sv-SE"/>
        </w:rPr>
        <w:br/>
      </w:r>
      <w:r w:rsidRPr="00437F01">
        <w:rPr>
          <w:i/>
        </w:rPr>
        <w:t xml:space="preserve">In the event the Company carries out a </w:t>
      </w:r>
      <w:r w:rsidRPr="00437F01">
        <w:rPr>
          <w:i/>
          <w:u w:val="single"/>
        </w:rPr>
        <w:t>bonus issue</w:t>
      </w:r>
      <w:r w:rsidRPr="00437F01">
        <w:rPr>
          <w:i/>
        </w:rPr>
        <w:t xml:space="preserve">, Subscription shall – where notice of Subscription is made at such time that it cannot be effected at the latest on the tenth calendar day prior to the shareholders' meeting which resolves upon the issue – be effected only after the shareholders' meeting has resolved to carry out the bonus issue. Shares which </w:t>
      </w:r>
      <w:proofErr w:type="gramStart"/>
      <w:r w:rsidRPr="00437F01">
        <w:rPr>
          <w:i/>
        </w:rPr>
        <w:t>is</w:t>
      </w:r>
      <w:proofErr w:type="gramEnd"/>
      <w:r w:rsidRPr="00437F01">
        <w:rPr>
          <w:i/>
        </w:rPr>
        <w:t xml:space="preserve"> issued </w:t>
      </w:r>
      <w:proofErr w:type="gramStart"/>
      <w:r w:rsidRPr="00437F01">
        <w:rPr>
          <w:i/>
        </w:rPr>
        <w:t>as a consequence of</w:t>
      </w:r>
      <w:proofErr w:type="gramEnd"/>
      <w:r w:rsidRPr="00437F01">
        <w:rPr>
          <w:i/>
        </w:rPr>
        <w:t xml:space="preserve"> Subscription executed after such a resolution shall be registered on an interim basis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and do not entitle </w:t>
      </w:r>
      <w:r>
        <w:rPr>
          <w:i/>
        </w:rPr>
        <w:t>the Warrant Holder to</w:t>
      </w:r>
      <w:r w:rsidRPr="00437F01">
        <w:rPr>
          <w:i/>
        </w:rPr>
        <w:t xml:space="preserve"> participa</w:t>
      </w:r>
      <w:r>
        <w:rPr>
          <w:i/>
        </w:rPr>
        <w:t>te</w:t>
      </w:r>
      <w:r w:rsidRPr="00437F01">
        <w:rPr>
          <w:i/>
        </w:rPr>
        <w:t xml:space="preserve"> in the issue. Final registration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shall take place only after the record date for the </w:t>
      </w:r>
      <w:r>
        <w:rPr>
          <w:i/>
        </w:rPr>
        <w:t xml:space="preserve">bonus </w:t>
      </w:r>
      <w:r w:rsidRPr="00437F01">
        <w:rPr>
          <w:i/>
        </w:rPr>
        <w:t>issue.</w:t>
      </w:r>
    </w:p>
    <w:p w14:paraId="26EEBFAE" w14:textId="77777777" w:rsidR="006350FE" w:rsidRPr="00437F01" w:rsidRDefault="006350FE" w:rsidP="006350FE">
      <w:pPr>
        <w:pStyle w:val="BodyText"/>
        <w:ind w:left="720"/>
      </w:pPr>
      <w:r w:rsidRPr="00F31BD1">
        <w:rPr>
          <w:lang w:val="sv-SE"/>
        </w:rPr>
        <w:t xml:space="preserve">Vid Teckning som verkställs efter beslutet om fondemission tillämpas en omräknad Teckningskurs liksom en omräkning av det antal Aktier som varje Teckningsoption berättigar till Teckning av. </w:t>
      </w:r>
      <w:proofErr w:type="spellStart"/>
      <w:r w:rsidRPr="006B6AC0">
        <w:rPr>
          <w:lang w:val="en-US"/>
        </w:rPr>
        <w:t>Omräkningarna</w:t>
      </w:r>
      <w:proofErr w:type="spellEnd"/>
      <w:r w:rsidRPr="006B6AC0">
        <w:rPr>
          <w:lang w:val="en-US"/>
        </w:rPr>
        <w:t xml:space="preserve"> </w:t>
      </w:r>
      <w:proofErr w:type="spellStart"/>
      <w:r w:rsidRPr="006B6AC0">
        <w:rPr>
          <w:lang w:val="en-US"/>
        </w:rPr>
        <w:t>utförs</w:t>
      </w:r>
      <w:proofErr w:type="spellEnd"/>
      <w:r w:rsidRPr="006B6AC0">
        <w:rPr>
          <w:lang w:val="en-US"/>
        </w:rPr>
        <w:t xml:space="preserve"> av </w:t>
      </w:r>
      <w:proofErr w:type="spellStart"/>
      <w:r w:rsidRPr="006B6AC0">
        <w:rPr>
          <w:lang w:val="en-US"/>
        </w:rPr>
        <w:t>Bolaget</w:t>
      </w:r>
      <w:proofErr w:type="spellEnd"/>
      <w:r w:rsidRPr="006B6AC0">
        <w:rPr>
          <w:lang w:val="en-US"/>
        </w:rPr>
        <w:t xml:space="preserve"> </w:t>
      </w:r>
      <w:proofErr w:type="spellStart"/>
      <w:r w:rsidRPr="006B6AC0">
        <w:rPr>
          <w:lang w:val="en-US"/>
        </w:rPr>
        <w:t>enligt</w:t>
      </w:r>
      <w:proofErr w:type="spellEnd"/>
      <w:r w:rsidRPr="006B6AC0">
        <w:rPr>
          <w:lang w:val="en-US"/>
        </w:rPr>
        <w:t xml:space="preserve"> </w:t>
      </w:r>
      <w:proofErr w:type="spellStart"/>
      <w:r w:rsidRPr="006B6AC0">
        <w:rPr>
          <w:lang w:val="en-US"/>
        </w:rPr>
        <w:t>följande</w:t>
      </w:r>
      <w:proofErr w:type="spellEnd"/>
      <w:r w:rsidRPr="006B6AC0">
        <w:rPr>
          <w:lang w:val="en-US"/>
        </w:rPr>
        <w:t xml:space="preserve"> </w:t>
      </w:r>
      <w:proofErr w:type="spellStart"/>
      <w:r w:rsidRPr="006B6AC0">
        <w:rPr>
          <w:lang w:val="en-US"/>
        </w:rPr>
        <w:t>formler</w:t>
      </w:r>
      <w:proofErr w:type="spellEnd"/>
      <w:r w:rsidRPr="006B6AC0">
        <w:rPr>
          <w:lang w:val="en-US"/>
        </w:rPr>
        <w:t>:</w:t>
      </w:r>
      <w:r w:rsidRPr="00437F01">
        <w:br/>
      </w:r>
      <w:r w:rsidRPr="00437F01">
        <w:rPr>
          <w:i/>
        </w:rPr>
        <w:t>In conjunction with Subscription effected after the resolution to carry out the bonus issue, a re-calculated Subscription Price as well as a re-calculated number of Shares which each Warrant shall entitle to Subscribe for shall apply. The recalculations shall be made by the Company in accordance with the following formulas:</w:t>
      </w:r>
    </w:p>
    <w:tbl>
      <w:tblPr>
        <w:tblW w:w="0" w:type="auto"/>
        <w:tblInd w:w="630" w:type="dxa"/>
        <w:tblBorders>
          <w:top w:val="nil"/>
          <w:left w:val="nil"/>
          <w:bottom w:val="nil"/>
          <w:right w:val="nil"/>
          <w:insideH w:val="nil"/>
          <w:insideV w:val="nil"/>
        </w:tblBorders>
        <w:tblLook w:val="04A0" w:firstRow="1" w:lastRow="0" w:firstColumn="1" w:lastColumn="0" w:noHBand="0" w:noVBand="1"/>
      </w:tblPr>
      <w:tblGrid>
        <w:gridCol w:w="1890"/>
        <w:gridCol w:w="450"/>
        <w:gridCol w:w="6030"/>
      </w:tblGrid>
      <w:tr w:rsidR="006350FE" w:rsidRPr="00D00630" w14:paraId="003EB563" w14:textId="77777777" w:rsidTr="00695A7D">
        <w:trPr>
          <w:cantSplit/>
        </w:trPr>
        <w:tc>
          <w:tcPr>
            <w:tcW w:w="1890" w:type="dxa"/>
            <w:vMerge w:val="restart"/>
            <w:vAlign w:val="center"/>
          </w:tcPr>
          <w:p w14:paraId="303C330E" w14:textId="77777777" w:rsidR="006350FE" w:rsidRPr="006B6AC0" w:rsidRDefault="006350FE" w:rsidP="00695A7D">
            <w:pPr>
              <w:pStyle w:val="TableText"/>
              <w:spacing w:after="0"/>
              <w:rPr>
                <w:lang w:val="sv-SE"/>
              </w:rPr>
            </w:pPr>
            <w:r w:rsidRPr="006B6AC0">
              <w:rPr>
                <w:lang w:val="sv-SE"/>
              </w:rPr>
              <w:t>Omräknad Teckningskurs</w:t>
            </w:r>
          </w:p>
        </w:tc>
        <w:tc>
          <w:tcPr>
            <w:tcW w:w="450" w:type="dxa"/>
            <w:vMerge w:val="restart"/>
            <w:vAlign w:val="center"/>
          </w:tcPr>
          <w:p w14:paraId="107F6672" w14:textId="77777777" w:rsidR="006350FE" w:rsidRPr="00437F01" w:rsidRDefault="006350FE" w:rsidP="00695A7D">
            <w:pPr>
              <w:pStyle w:val="TableText"/>
              <w:spacing w:after="0"/>
              <w:jc w:val="center"/>
            </w:pPr>
            <w:r w:rsidRPr="00437F01">
              <w:t>=</w:t>
            </w:r>
          </w:p>
        </w:tc>
        <w:tc>
          <w:tcPr>
            <w:tcW w:w="6030" w:type="dxa"/>
            <w:tcBorders>
              <w:bottom w:val="single" w:sz="4" w:space="0" w:color="auto"/>
            </w:tcBorders>
          </w:tcPr>
          <w:p w14:paraId="0289EC66" w14:textId="77777777" w:rsidR="006350FE" w:rsidRPr="00A50800" w:rsidRDefault="006350F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antalet Aktier före fondemissionen</w:t>
            </w:r>
          </w:p>
        </w:tc>
      </w:tr>
      <w:tr w:rsidR="006350FE" w:rsidRPr="00437F01" w14:paraId="44A6236F" w14:textId="77777777" w:rsidTr="00695A7D">
        <w:trPr>
          <w:cantSplit/>
        </w:trPr>
        <w:tc>
          <w:tcPr>
            <w:tcW w:w="1890" w:type="dxa"/>
            <w:vMerge/>
          </w:tcPr>
          <w:p w14:paraId="00C15084" w14:textId="77777777" w:rsidR="006350FE" w:rsidRPr="00A50800" w:rsidRDefault="006350FE" w:rsidP="00695A7D">
            <w:pPr>
              <w:pStyle w:val="TableText"/>
              <w:spacing w:after="0"/>
              <w:rPr>
                <w:lang w:val="sv-SE"/>
              </w:rPr>
            </w:pPr>
          </w:p>
        </w:tc>
        <w:tc>
          <w:tcPr>
            <w:tcW w:w="450" w:type="dxa"/>
            <w:vMerge/>
            <w:vAlign w:val="center"/>
          </w:tcPr>
          <w:p w14:paraId="133A8F3F" w14:textId="77777777" w:rsidR="006350FE" w:rsidRPr="00A50800" w:rsidRDefault="006350FE" w:rsidP="00695A7D">
            <w:pPr>
              <w:pStyle w:val="TableText"/>
              <w:spacing w:after="0"/>
              <w:jc w:val="center"/>
              <w:rPr>
                <w:lang w:val="sv-SE"/>
              </w:rPr>
            </w:pPr>
          </w:p>
        </w:tc>
        <w:tc>
          <w:tcPr>
            <w:tcW w:w="6030" w:type="dxa"/>
            <w:tcBorders>
              <w:top w:val="single" w:sz="4" w:space="0" w:color="auto"/>
            </w:tcBorders>
          </w:tcPr>
          <w:p w14:paraId="48962F6C" w14:textId="77777777" w:rsidR="006350FE" w:rsidRPr="006B6AC0" w:rsidRDefault="006350FE" w:rsidP="00695A7D">
            <w:pPr>
              <w:pStyle w:val="TableText"/>
              <w:spacing w:after="0"/>
              <w:rPr>
                <w:lang w:val="sv-SE"/>
              </w:rPr>
            </w:pPr>
            <w:r w:rsidRPr="006B6AC0">
              <w:rPr>
                <w:lang w:val="sv-SE"/>
              </w:rPr>
              <w:t>Antalet Aktier efter fondemissionen</w:t>
            </w:r>
          </w:p>
        </w:tc>
      </w:tr>
      <w:tr w:rsidR="006350FE" w:rsidRPr="00437F01" w14:paraId="7F847329" w14:textId="77777777" w:rsidTr="00695A7D">
        <w:trPr>
          <w:cantSplit/>
        </w:trPr>
        <w:tc>
          <w:tcPr>
            <w:tcW w:w="1890" w:type="dxa"/>
          </w:tcPr>
          <w:p w14:paraId="34AA41DA" w14:textId="77777777" w:rsidR="006350FE" w:rsidRPr="00437F01" w:rsidRDefault="006350FE" w:rsidP="00695A7D">
            <w:pPr>
              <w:pStyle w:val="TableText"/>
              <w:spacing w:after="0"/>
              <w:rPr>
                <w:i/>
              </w:rPr>
            </w:pPr>
          </w:p>
        </w:tc>
        <w:tc>
          <w:tcPr>
            <w:tcW w:w="450" w:type="dxa"/>
            <w:vAlign w:val="center"/>
          </w:tcPr>
          <w:p w14:paraId="02AD0A96" w14:textId="77777777" w:rsidR="006350FE" w:rsidRPr="00437F01" w:rsidRDefault="006350FE" w:rsidP="00695A7D">
            <w:pPr>
              <w:pStyle w:val="TableText"/>
              <w:spacing w:after="0"/>
              <w:jc w:val="center"/>
            </w:pPr>
          </w:p>
        </w:tc>
        <w:tc>
          <w:tcPr>
            <w:tcW w:w="6030" w:type="dxa"/>
          </w:tcPr>
          <w:p w14:paraId="437BCD6C" w14:textId="77777777" w:rsidR="006350FE" w:rsidRPr="00437F01" w:rsidRDefault="006350FE" w:rsidP="00695A7D">
            <w:pPr>
              <w:pStyle w:val="TableText"/>
              <w:spacing w:after="0"/>
            </w:pPr>
          </w:p>
        </w:tc>
      </w:tr>
      <w:tr w:rsidR="006350FE" w:rsidRPr="00D00630" w14:paraId="49C1BCF6" w14:textId="77777777" w:rsidTr="00695A7D">
        <w:trPr>
          <w:cantSplit/>
          <w:trHeight w:val="630"/>
        </w:trPr>
        <w:tc>
          <w:tcPr>
            <w:tcW w:w="1890" w:type="dxa"/>
            <w:vMerge w:val="restart"/>
            <w:vAlign w:val="center"/>
          </w:tcPr>
          <w:p w14:paraId="1742F551" w14:textId="77777777" w:rsidR="006350FE" w:rsidRPr="00A50800" w:rsidRDefault="006350FE" w:rsidP="00695A7D">
            <w:pPr>
              <w:pStyle w:val="TableText"/>
              <w:spacing w:after="0"/>
              <w:rPr>
                <w:lang w:val="sv-SE"/>
              </w:rPr>
            </w:pPr>
            <w:r w:rsidRPr="00A50800">
              <w:rPr>
                <w:lang w:val="sv-SE"/>
              </w:rPr>
              <w:t>Omräknat antal Aktier som varje Teckningsoption berättigar till Teckning av</w:t>
            </w:r>
          </w:p>
        </w:tc>
        <w:tc>
          <w:tcPr>
            <w:tcW w:w="450" w:type="dxa"/>
            <w:vMerge w:val="restart"/>
            <w:vAlign w:val="center"/>
          </w:tcPr>
          <w:p w14:paraId="7EC9DCFE" w14:textId="77777777" w:rsidR="006350FE" w:rsidRPr="00437F01" w:rsidRDefault="006350FE" w:rsidP="00695A7D">
            <w:pPr>
              <w:pStyle w:val="TableText"/>
              <w:spacing w:after="0"/>
              <w:jc w:val="center"/>
            </w:pPr>
            <w:r w:rsidRPr="00437F01">
              <w:t>=</w:t>
            </w:r>
          </w:p>
        </w:tc>
        <w:tc>
          <w:tcPr>
            <w:tcW w:w="6030" w:type="dxa"/>
            <w:tcBorders>
              <w:bottom w:val="single" w:sz="4" w:space="0" w:color="auto"/>
            </w:tcBorders>
            <w:vAlign w:val="bottom"/>
          </w:tcPr>
          <w:p w14:paraId="213001CC" w14:textId="77777777" w:rsidR="006350FE" w:rsidRPr="00A50800" w:rsidRDefault="006350F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antalet Aktier efter fondemissionen</w:t>
            </w:r>
          </w:p>
        </w:tc>
      </w:tr>
      <w:tr w:rsidR="006350FE" w:rsidRPr="00437F01" w14:paraId="0ABC870C" w14:textId="77777777" w:rsidTr="00695A7D">
        <w:trPr>
          <w:cantSplit/>
        </w:trPr>
        <w:tc>
          <w:tcPr>
            <w:tcW w:w="1890" w:type="dxa"/>
            <w:vMerge/>
          </w:tcPr>
          <w:p w14:paraId="287AF8A5" w14:textId="77777777" w:rsidR="006350FE" w:rsidRPr="00A50800" w:rsidRDefault="006350FE" w:rsidP="00695A7D">
            <w:pPr>
              <w:pStyle w:val="TableText"/>
              <w:spacing w:after="0"/>
              <w:rPr>
                <w:lang w:val="sv-SE"/>
              </w:rPr>
            </w:pPr>
          </w:p>
        </w:tc>
        <w:tc>
          <w:tcPr>
            <w:tcW w:w="450" w:type="dxa"/>
            <w:vMerge/>
            <w:vAlign w:val="center"/>
          </w:tcPr>
          <w:p w14:paraId="10A18C2A" w14:textId="77777777" w:rsidR="006350FE" w:rsidRPr="00A50800" w:rsidRDefault="006350FE" w:rsidP="00695A7D">
            <w:pPr>
              <w:pStyle w:val="TableText"/>
              <w:spacing w:after="0"/>
              <w:jc w:val="center"/>
              <w:rPr>
                <w:lang w:val="sv-SE"/>
              </w:rPr>
            </w:pPr>
          </w:p>
        </w:tc>
        <w:tc>
          <w:tcPr>
            <w:tcW w:w="6030" w:type="dxa"/>
            <w:tcBorders>
              <w:top w:val="single" w:sz="4" w:space="0" w:color="auto"/>
            </w:tcBorders>
          </w:tcPr>
          <w:p w14:paraId="208ADFE8" w14:textId="77777777" w:rsidR="006350FE" w:rsidRPr="006B6AC0" w:rsidRDefault="006350FE" w:rsidP="00695A7D">
            <w:pPr>
              <w:pStyle w:val="TableText"/>
              <w:spacing w:after="0"/>
              <w:rPr>
                <w:lang w:val="sv-SE"/>
              </w:rPr>
            </w:pPr>
            <w:r w:rsidRPr="006B6AC0">
              <w:rPr>
                <w:lang w:val="sv-SE"/>
              </w:rPr>
              <w:t>Antalet Aktier före fondemissionen</w:t>
            </w:r>
          </w:p>
        </w:tc>
      </w:tr>
      <w:tr w:rsidR="006350FE" w:rsidRPr="001A6E6C" w14:paraId="61E56D8A" w14:textId="77777777" w:rsidTr="00695A7D">
        <w:trPr>
          <w:cantSplit/>
          <w:trHeight w:val="423"/>
        </w:trPr>
        <w:tc>
          <w:tcPr>
            <w:tcW w:w="1890" w:type="dxa"/>
            <w:vMerge w:val="restart"/>
            <w:vAlign w:val="center"/>
          </w:tcPr>
          <w:p w14:paraId="7D95A0EF" w14:textId="77777777" w:rsidR="006350FE" w:rsidRPr="00437F01" w:rsidRDefault="006350FE" w:rsidP="00695A7D">
            <w:pPr>
              <w:pStyle w:val="TableText"/>
              <w:spacing w:after="0"/>
              <w:rPr>
                <w:i/>
                <w:iCs/>
              </w:rPr>
            </w:pPr>
            <w:r w:rsidRPr="00437F01">
              <w:rPr>
                <w:i/>
                <w:iCs/>
              </w:rPr>
              <w:t>Re-calculated Subscription Price</w:t>
            </w:r>
          </w:p>
        </w:tc>
        <w:tc>
          <w:tcPr>
            <w:tcW w:w="450" w:type="dxa"/>
            <w:vMerge w:val="restart"/>
            <w:vAlign w:val="center"/>
          </w:tcPr>
          <w:p w14:paraId="704BFF43" w14:textId="77777777" w:rsidR="006350FE" w:rsidRPr="00437F01" w:rsidRDefault="006350FE" w:rsidP="00695A7D">
            <w:pPr>
              <w:pStyle w:val="TableText"/>
              <w:spacing w:after="0"/>
              <w:jc w:val="center"/>
              <w:rPr>
                <w:i/>
                <w:iCs/>
              </w:rPr>
            </w:pPr>
            <w:r w:rsidRPr="00437F01">
              <w:rPr>
                <w:i/>
                <w:iCs/>
              </w:rPr>
              <w:t>=</w:t>
            </w:r>
          </w:p>
        </w:tc>
        <w:tc>
          <w:tcPr>
            <w:tcW w:w="6030" w:type="dxa"/>
            <w:tcBorders>
              <w:bottom w:val="single" w:sz="4" w:space="0" w:color="auto"/>
            </w:tcBorders>
          </w:tcPr>
          <w:p w14:paraId="2E8C92B8" w14:textId="77777777" w:rsidR="006350FE" w:rsidRPr="00437F01" w:rsidRDefault="006350FE" w:rsidP="00695A7D">
            <w:pPr>
              <w:pStyle w:val="TableText"/>
              <w:spacing w:after="0"/>
              <w:rPr>
                <w:i/>
                <w:iCs/>
              </w:rPr>
            </w:pPr>
            <w:r w:rsidRPr="00437F01">
              <w:rPr>
                <w:i/>
                <w:iCs/>
              </w:rPr>
              <w:t xml:space="preserve">Previous Subscription Price x number of </w:t>
            </w:r>
            <w:r>
              <w:rPr>
                <w:i/>
                <w:iCs/>
              </w:rPr>
              <w:t>Share</w:t>
            </w:r>
            <w:r w:rsidRPr="00437F01">
              <w:rPr>
                <w:i/>
                <w:iCs/>
              </w:rPr>
              <w:t>s prior to the bonus issue</w:t>
            </w:r>
          </w:p>
        </w:tc>
      </w:tr>
      <w:tr w:rsidR="006350FE" w:rsidRPr="001A6E6C" w14:paraId="4C23F98D" w14:textId="77777777" w:rsidTr="00695A7D">
        <w:trPr>
          <w:cantSplit/>
          <w:trHeight w:val="145"/>
        </w:trPr>
        <w:tc>
          <w:tcPr>
            <w:tcW w:w="1890" w:type="dxa"/>
            <w:vMerge/>
          </w:tcPr>
          <w:p w14:paraId="39A83906" w14:textId="77777777" w:rsidR="006350FE" w:rsidRPr="00437F01" w:rsidRDefault="006350FE" w:rsidP="00695A7D">
            <w:pPr>
              <w:pStyle w:val="TableText"/>
              <w:spacing w:after="0"/>
              <w:rPr>
                <w:i/>
                <w:iCs/>
              </w:rPr>
            </w:pPr>
          </w:p>
        </w:tc>
        <w:tc>
          <w:tcPr>
            <w:tcW w:w="450" w:type="dxa"/>
            <w:vMerge/>
            <w:vAlign w:val="center"/>
          </w:tcPr>
          <w:p w14:paraId="05A0789F" w14:textId="77777777" w:rsidR="006350FE" w:rsidRPr="00437F01" w:rsidRDefault="006350FE" w:rsidP="00695A7D">
            <w:pPr>
              <w:pStyle w:val="TableText"/>
              <w:spacing w:after="0"/>
              <w:jc w:val="center"/>
              <w:rPr>
                <w:i/>
                <w:iCs/>
              </w:rPr>
            </w:pPr>
          </w:p>
        </w:tc>
        <w:tc>
          <w:tcPr>
            <w:tcW w:w="6030" w:type="dxa"/>
            <w:tcBorders>
              <w:top w:val="single" w:sz="4" w:space="0" w:color="auto"/>
            </w:tcBorders>
          </w:tcPr>
          <w:p w14:paraId="78400C47" w14:textId="77777777" w:rsidR="006350FE" w:rsidRPr="00437F01" w:rsidRDefault="006350FE" w:rsidP="00695A7D">
            <w:pPr>
              <w:pStyle w:val="TableText"/>
              <w:spacing w:after="0"/>
              <w:rPr>
                <w:i/>
                <w:iCs/>
              </w:rPr>
            </w:pPr>
            <w:r w:rsidRPr="00437F01">
              <w:rPr>
                <w:i/>
                <w:iCs/>
              </w:rPr>
              <w:t xml:space="preserve">Number of </w:t>
            </w:r>
            <w:r>
              <w:rPr>
                <w:i/>
                <w:iCs/>
              </w:rPr>
              <w:t>Share</w:t>
            </w:r>
            <w:r w:rsidRPr="00437F01">
              <w:rPr>
                <w:i/>
                <w:iCs/>
              </w:rPr>
              <w:t>s following the bonus issue</w:t>
            </w:r>
          </w:p>
        </w:tc>
      </w:tr>
      <w:tr w:rsidR="006350FE" w:rsidRPr="001A6E6C" w14:paraId="765BDD59" w14:textId="77777777" w:rsidTr="00695A7D">
        <w:trPr>
          <w:cantSplit/>
          <w:trHeight w:val="269"/>
        </w:trPr>
        <w:tc>
          <w:tcPr>
            <w:tcW w:w="1890" w:type="dxa"/>
          </w:tcPr>
          <w:p w14:paraId="1B297682" w14:textId="77777777" w:rsidR="006350FE" w:rsidRPr="00437F01" w:rsidRDefault="006350FE" w:rsidP="00695A7D">
            <w:pPr>
              <w:pStyle w:val="TableText"/>
              <w:spacing w:after="0"/>
              <w:rPr>
                <w:i/>
                <w:iCs/>
              </w:rPr>
            </w:pPr>
          </w:p>
        </w:tc>
        <w:tc>
          <w:tcPr>
            <w:tcW w:w="450" w:type="dxa"/>
            <w:vAlign w:val="center"/>
          </w:tcPr>
          <w:p w14:paraId="20B41C5D" w14:textId="77777777" w:rsidR="006350FE" w:rsidRPr="00437F01" w:rsidRDefault="006350FE" w:rsidP="00695A7D">
            <w:pPr>
              <w:pStyle w:val="TableText"/>
              <w:spacing w:after="0"/>
              <w:jc w:val="center"/>
              <w:rPr>
                <w:i/>
                <w:iCs/>
              </w:rPr>
            </w:pPr>
          </w:p>
        </w:tc>
        <w:tc>
          <w:tcPr>
            <w:tcW w:w="6030" w:type="dxa"/>
          </w:tcPr>
          <w:p w14:paraId="38B0EC09" w14:textId="77777777" w:rsidR="006350FE" w:rsidRPr="00437F01" w:rsidRDefault="006350FE" w:rsidP="00695A7D">
            <w:pPr>
              <w:pStyle w:val="TableText"/>
              <w:spacing w:after="0"/>
              <w:rPr>
                <w:i/>
                <w:iCs/>
              </w:rPr>
            </w:pPr>
          </w:p>
        </w:tc>
      </w:tr>
      <w:tr w:rsidR="006350FE" w:rsidRPr="001A6E6C" w14:paraId="1B75D000" w14:textId="77777777" w:rsidTr="00695A7D">
        <w:trPr>
          <w:cantSplit/>
          <w:trHeight w:val="612"/>
        </w:trPr>
        <w:tc>
          <w:tcPr>
            <w:tcW w:w="1890" w:type="dxa"/>
            <w:vMerge w:val="restart"/>
            <w:vAlign w:val="center"/>
          </w:tcPr>
          <w:p w14:paraId="3D47957F" w14:textId="77777777" w:rsidR="006350FE" w:rsidRPr="00437F01" w:rsidRDefault="006350FE" w:rsidP="00695A7D">
            <w:pPr>
              <w:pStyle w:val="TableText"/>
              <w:spacing w:after="0"/>
              <w:rPr>
                <w:i/>
                <w:iCs/>
              </w:rPr>
            </w:pPr>
            <w:r w:rsidRPr="00437F01">
              <w:rPr>
                <w:i/>
                <w:iCs/>
              </w:rPr>
              <w:t>Re-calculated number of Shares that each Warrant entitles to Subscribe for</w:t>
            </w:r>
          </w:p>
        </w:tc>
        <w:tc>
          <w:tcPr>
            <w:tcW w:w="450" w:type="dxa"/>
            <w:vMerge w:val="restart"/>
            <w:vAlign w:val="center"/>
          </w:tcPr>
          <w:p w14:paraId="7E3EEDD8" w14:textId="77777777" w:rsidR="006350FE" w:rsidRPr="00437F01" w:rsidRDefault="006350FE" w:rsidP="00695A7D">
            <w:pPr>
              <w:pStyle w:val="TableText"/>
              <w:spacing w:after="0"/>
              <w:jc w:val="center"/>
              <w:rPr>
                <w:i/>
                <w:iCs/>
              </w:rPr>
            </w:pPr>
            <w:r w:rsidRPr="00437F01">
              <w:rPr>
                <w:i/>
                <w:iCs/>
              </w:rPr>
              <w:t>=</w:t>
            </w:r>
          </w:p>
        </w:tc>
        <w:tc>
          <w:tcPr>
            <w:tcW w:w="6030" w:type="dxa"/>
            <w:tcBorders>
              <w:bottom w:val="single" w:sz="4" w:space="0" w:color="auto"/>
            </w:tcBorders>
          </w:tcPr>
          <w:p w14:paraId="4F3766F6" w14:textId="77777777" w:rsidR="006350FE" w:rsidRPr="00437F01" w:rsidRDefault="006350FE" w:rsidP="00695A7D">
            <w:pPr>
              <w:pStyle w:val="TableText"/>
              <w:spacing w:after="0"/>
              <w:rPr>
                <w:i/>
                <w:iCs/>
              </w:rPr>
            </w:pPr>
            <w:r w:rsidRPr="00437F01">
              <w:rPr>
                <w:i/>
                <w:iCs/>
              </w:rPr>
              <w:t>The previous number of Shares that each Warrant entitled to Subscribe for x number</w:t>
            </w:r>
            <w:r w:rsidRPr="00437F01">
              <w:rPr>
                <w:i/>
                <w:iCs/>
              </w:rPr>
              <w:br/>
              <w:t>of Shares following the bonus issue</w:t>
            </w:r>
          </w:p>
        </w:tc>
      </w:tr>
      <w:tr w:rsidR="006350FE" w:rsidRPr="001A6E6C" w14:paraId="616BC71A" w14:textId="77777777" w:rsidTr="00695A7D">
        <w:trPr>
          <w:cantSplit/>
          <w:trHeight w:val="145"/>
        </w:trPr>
        <w:tc>
          <w:tcPr>
            <w:tcW w:w="1890" w:type="dxa"/>
            <w:vMerge/>
          </w:tcPr>
          <w:p w14:paraId="11B9414E" w14:textId="77777777" w:rsidR="006350FE" w:rsidRPr="00437F01" w:rsidRDefault="006350FE" w:rsidP="00695A7D">
            <w:pPr>
              <w:pStyle w:val="TableText"/>
              <w:spacing w:after="0"/>
              <w:rPr>
                <w:i/>
                <w:iCs/>
              </w:rPr>
            </w:pPr>
          </w:p>
        </w:tc>
        <w:tc>
          <w:tcPr>
            <w:tcW w:w="450" w:type="dxa"/>
            <w:vMerge/>
          </w:tcPr>
          <w:p w14:paraId="0B0B14BF" w14:textId="77777777" w:rsidR="006350FE" w:rsidRPr="00437F01" w:rsidRDefault="006350FE" w:rsidP="00695A7D">
            <w:pPr>
              <w:pStyle w:val="TableText"/>
              <w:spacing w:after="0"/>
              <w:rPr>
                <w:i/>
                <w:iCs/>
              </w:rPr>
            </w:pPr>
          </w:p>
        </w:tc>
        <w:tc>
          <w:tcPr>
            <w:tcW w:w="6030" w:type="dxa"/>
            <w:tcBorders>
              <w:top w:val="single" w:sz="4" w:space="0" w:color="auto"/>
              <w:bottom w:val="nil"/>
            </w:tcBorders>
          </w:tcPr>
          <w:p w14:paraId="43279AD5" w14:textId="77777777" w:rsidR="006350FE" w:rsidRPr="00437F01" w:rsidRDefault="006350FE" w:rsidP="00695A7D">
            <w:pPr>
              <w:pStyle w:val="TableText"/>
              <w:spacing w:after="0"/>
              <w:rPr>
                <w:i/>
                <w:iCs/>
              </w:rPr>
            </w:pPr>
            <w:r w:rsidRPr="00437F01">
              <w:rPr>
                <w:i/>
                <w:iCs/>
              </w:rPr>
              <w:t xml:space="preserve">Number of Shares </w:t>
            </w:r>
            <w:r>
              <w:rPr>
                <w:i/>
                <w:iCs/>
              </w:rPr>
              <w:t>prior to</w:t>
            </w:r>
            <w:r w:rsidRPr="00437F01">
              <w:rPr>
                <w:i/>
                <w:iCs/>
              </w:rPr>
              <w:t xml:space="preserve"> the bonus issue</w:t>
            </w:r>
          </w:p>
        </w:tc>
      </w:tr>
      <w:tr w:rsidR="006350FE" w:rsidRPr="001A6E6C" w14:paraId="4031A597" w14:textId="77777777" w:rsidTr="00695A7D">
        <w:trPr>
          <w:cantSplit/>
          <w:trHeight w:val="145"/>
        </w:trPr>
        <w:tc>
          <w:tcPr>
            <w:tcW w:w="1890" w:type="dxa"/>
          </w:tcPr>
          <w:p w14:paraId="7EC21598" w14:textId="77777777" w:rsidR="006350FE" w:rsidRPr="00437F01" w:rsidRDefault="006350FE" w:rsidP="00695A7D">
            <w:pPr>
              <w:pStyle w:val="TableText"/>
              <w:spacing w:after="0"/>
              <w:rPr>
                <w:i/>
                <w:iCs/>
              </w:rPr>
            </w:pPr>
          </w:p>
        </w:tc>
        <w:tc>
          <w:tcPr>
            <w:tcW w:w="450" w:type="dxa"/>
            <w:tcBorders>
              <w:right w:val="nil"/>
            </w:tcBorders>
          </w:tcPr>
          <w:p w14:paraId="76C370A9" w14:textId="77777777" w:rsidR="006350FE" w:rsidRPr="00437F01" w:rsidRDefault="006350FE" w:rsidP="00695A7D">
            <w:pPr>
              <w:pStyle w:val="TableText"/>
              <w:spacing w:after="0"/>
              <w:rPr>
                <w:i/>
                <w:iCs/>
              </w:rPr>
            </w:pPr>
          </w:p>
        </w:tc>
        <w:tc>
          <w:tcPr>
            <w:tcW w:w="6030" w:type="dxa"/>
            <w:tcBorders>
              <w:top w:val="nil"/>
              <w:left w:val="nil"/>
              <w:bottom w:val="nil"/>
              <w:right w:val="nil"/>
            </w:tcBorders>
          </w:tcPr>
          <w:p w14:paraId="42C5FAC1" w14:textId="77777777" w:rsidR="006350FE" w:rsidRPr="00437F01" w:rsidRDefault="006350FE" w:rsidP="00695A7D">
            <w:pPr>
              <w:pStyle w:val="TableText"/>
              <w:spacing w:after="0"/>
              <w:rPr>
                <w:i/>
                <w:iCs/>
              </w:rPr>
            </w:pPr>
          </w:p>
        </w:tc>
      </w:tr>
    </w:tbl>
    <w:p w14:paraId="4BAA65C6" w14:textId="77777777" w:rsidR="006350FE" w:rsidRPr="00437F01" w:rsidRDefault="006350FE" w:rsidP="006350FE">
      <w:pPr>
        <w:pStyle w:val="BodyText"/>
        <w:ind w:left="720"/>
      </w:pPr>
      <w:r w:rsidRPr="00A50800">
        <w:rPr>
          <w:lang w:val="sv-SE"/>
        </w:rPr>
        <w:t>Vid omräkning enligt ovanstående form</w:t>
      </w:r>
      <w:r>
        <w:rPr>
          <w:lang w:val="sv-SE"/>
        </w:rPr>
        <w:t>ler</w:t>
      </w:r>
      <w:r w:rsidRPr="00A50800">
        <w:rPr>
          <w:lang w:val="sv-SE"/>
        </w:rPr>
        <w:t xml:space="preserve"> </w:t>
      </w:r>
      <w:r>
        <w:rPr>
          <w:lang w:val="sv-SE"/>
        </w:rPr>
        <w:t>ska</w:t>
      </w:r>
      <w:r w:rsidRPr="00A50800">
        <w:rPr>
          <w:lang w:val="sv-SE"/>
        </w:rPr>
        <w:t xml:space="preserve"> bortses från Aktier som innehas av Bolaget. Enligt ovan omräknad Teckningskurs och omräknat antal Aktier fastställs av Bolaget snarast möjligt efter bolagsstämmans beslut om fondemission, men tillämpas först efter avstämningsdagen för emissionen.</w:t>
      </w:r>
      <w:r w:rsidRPr="00A50800">
        <w:rPr>
          <w:lang w:val="sv-SE"/>
        </w:rPr>
        <w:br/>
      </w:r>
      <w:r w:rsidRPr="00437F01">
        <w:rPr>
          <w:i/>
        </w:rPr>
        <w:lastRenderedPageBreak/>
        <w:t>When recalculating in accordance with the above formula</w:t>
      </w:r>
      <w:r>
        <w:rPr>
          <w:i/>
        </w:rPr>
        <w:t>s</w:t>
      </w:r>
      <w:r w:rsidRPr="00437F01">
        <w:rPr>
          <w:i/>
        </w:rPr>
        <w:t xml:space="preserve">, any </w:t>
      </w:r>
      <w:r>
        <w:rPr>
          <w:i/>
        </w:rPr>
        <w:t>Share</w:t>
      </w:r>
      <w:r w:rsidRPr="00437F01">
        <w:rPr>
          <w:i/>
        </w:rPr>
        <w:t xml:space="preserve">s held by the Company shall be disregarded. The recalculated Subscription Price and number of Shares, recalculated in accordance with the above, shall be determined by the Company as soon as possible following the </w:t>
      </w:r>
      <w:r>
        <w:rPr>
          <w:i/>
        </w:rPr>
        <w:t>general meeting's</w:t>
      </w:r>
      <w:r w:rsidRPr="00437F01">
        <w:rPr>
          <w:i/>
        </w:rPr>
        <w:t xml:space="preserve"> resolution regarding the bonus issue, but will not be applied until after the record date for the issue.</w:t>
      </w:r>
    </w:p>
    <w:p w14:paraId="630F478D" w14:textId="77777777" w:rsidR="006350FE" w:rsidRPr="00A50800" w:rsidRDefault="006350FE" w:rsidP="007C4B62">
      <w:pPr>
        <w:pStyle w:val="BodyText"/>
        <w:numPr>
          <w:ilvl w:val="2"/>
          <w:numId w:val="57"/>
        </w:numPr>
        <w:spacing w:after="0"/>
        <w:rPr>
          <w:b/>
          <w:lang w:val="sv-SE"/>
        </w:rPr>
      </w:pPr>
      <w:r w:rsidRPr="00A50800">
        <w:rPr>
          <w:b/>
          <w:lang w:val="sv-SE"/>
        </w:rPr>
        <w:t>Sammanläggning eller uppdelning/</w:t>
      </w:r>
      <w:proofErr w:type="spellStart"/>
      <w:r w:rsidRPr="00A50800">
        <w:rPr>
          <w:b/>
          <w:i/>
          <w:lang w:val="sv-SE"/>
        </w:rPr>
        <w:t>Reverse</w:t>
      </w:r>
      <w:proofErr w:type="spellEnd"/>
      <w:r w:rsidRPr="00A50800">
        <w:rPr>
          <w:b/>
          <w:i/>
          <w:lang w:val="sv-SE"/>
        </w:rPr>
        <w:t xml:space="preserve"> split or split</w:t>
      </w:r>
    </w:p>
    <w:p w14:paraId="5C38D845" w14:textId="77777777" w:rsidR="006350FE" w:rsidRPr="00437F01" w:rsidRDefault="006350FE" w:rsidP="006350FE">
      <w:pPr>
        <w:pStyle w:val="BodyText"/>
        <w:ind w:left="720"/>
      </w:pPr>
      <w:r w:rsidRPr="00A50800">
        <w:rPr>
          <w:lang w:val="sv-SE"/>
        </w:rPr>
        <w:t xml:space="preserve">Genomför Bolaget en </w:t>
      </w:r>
      <w:r w:rsidRPr="00A50800">
        <w:rPr>
          <w:u w:val="single"/>
          <w:lang w:val="sv-SE"/>
        </w:rPr>
        <w:t>sammanläggning eller uppdelning</w:t>
      </w:r>
      <w:r w:rsidRPr="00A50800">
        <w:rPr>
          <w:lang w:val="sv-SE"/>
        </w:rPr>
        <w:t xml:space="preserve"> av Aktier </w:t>
      </w:r>
      <w:r>
        <w:rPr>
          <w:lang w:val="sv-SE"/>
        </w:rPr>
        <w:t>ska</w:t>
      </w:r>
      <w:r w:rsidRPr="00A50800">
        <w:rPr>
          <w:lang w:val="sv-SE"/>
        </w:rPr>
        <w:t xml:space="preserve"> punkt </w:t>
      </w:r>
      <w:r>
        <w:fldChar w:fldCharType="begin"/>
      </w:r>
      <w:r>
        <w:rPr>
          <w:lang w:val="sv-SE"/>
        </w:rPr>
        <w:instrText xml:space="preserve"> REF _Ref419826047 \r \h </w:instrText>
      </w:r>
      <w:r>
        <w:fldChar w:fldCharType="separate"/>
      </w:r>
      <w:r>
        <w:rPr>
          <w:lang w:val="sv-SE"/>
        </w:rPr>
        <w:t>8.2.2</w:t>
      </w:r>
      <w:r>
        <w:fldChar w:fldCharType="end"/>
      </w:r>
      <w:r w:rsidRPr="003679A8">
        <w:rPr>
          <w:lang w:val="sv-SE"/>
        </w:rPr>
        <w:t xml:space="preserve"> </w:t>
      </w:r>
      <w:r w:rsidRPr="00A50800">
        <w:rPr>
          <w:lang w:val="sv-SE"/>
        </w:rPr>
        <w:t xml:space="preserve">ovan äga motsvarande tillämpning, varvid som avstämningsdag </w:t>
      </w:r>
      <w:r>
        <w:rPr>
          <w:lang w:val="sv-SE"/>
        </w:rPr>
        <w:t>ska</w:t>
      </w:r>
      <w:r w:rsidRPr="00A50800">
        <w:rPr>
          <w:lang w:val="sv-SE"/>
        </w:rPr>
        <w:t xml:space="preserve"> anses den dag då sammanläggning respektive uppdelning, på Bolagets begäran, sker hos Euroclear.</w:t>
      </w:r>
      <w:r w:rsidRPr="00A50800">
        <w:rPr>
          <w:lang w:val="sv-SE"/>
        </w:rPr>
        <w:br/>
      </w:r>
      <w:r w:rsidRPr="00437F01">
        <w:rPr>
          <w:i/>
        </w:rPr>
        <w:t xml:space="preserve">If the Company </w:t>
      </w:r>
      <w:r w:rsidRPr="006B6AC0">
        <w:rPr>
          <w:i/>
          <w:u w:val="single"/>
        </w:rPr>
        <w:t>c</w:t>
      </w:r>
      <w:r w:rsidRPr="00437F01">
        <w:rPr>
          <w:i/>
          <w:u w:val="single"/>
        </w:rPr>
        <w:t xml:space="preserve">arries out a reverse </w:t>
      </w:r>
      <w:r>
        <w:rPr>
          <w:i/>
          <w:u w:val="single"/>
        </w:rPr>
        <w:t>share</w:t>
      </w:r>
      <w:r w:rsidRPr="00437F01">
        <w:rPr>
          <w:i/>
          <w:u w:val="single"/>
        </w:rPr>
        <w:t xml:space="preserve"> split or a </w:t>
      </w:r>
      <w:r>
        <w:rPr>
          <w:i/>
          <w:u w:val="single"/>
        </w:rPr>
        <w:t>share</w:t>
      </w:r>
      <w:r w:rsidRPr="00437F01">
        <w:rPr>
          <w:i/>
          <w:u w:val="single"/>
        </w:rPr>
        <w:t xml:space="preserve"> split</w:t>
      </w:r>
      <w:r w:rsidRPr="00437F01">
        <w:rPr>
          <w:i/>
        </w:rPr>
        <w:t xml:space="preserve">, section </w:t>
      </w:r>
      <w:r>
        <w:rPr>
          <w:i/>
        </w:rPr>
        <w:fldChar w:fldCharType="begin"/>
      </w:r>
      <w:r>
        <w:rPr>
          <w:i/>
        </w:rPr>
        <w:instrText xml:space="preserve"> REF _Ref419826047 \r \h </w:instrText>
      </w:r>
      <w:r>
        <w:rPr>
          <w:i/>
        </w:rPr>
      </w:r>
      <w:r>
        <w:rPr>
          <w:i/>
        </w:rPr>
        <w:fldChar w:fldCharType="separate"/>
      </w:r>
      <w:r>
        <w:rPr>
          <w:i/>
        </w:rPr>
        <w:t>8.2.2</w:t>
      </w:r>
      <w:r>
        <w:rPr>
          <w:i/>
        </w:rPr>
        <w:fldChar w:fldCharType="end"/>
      </w:r>
      <w:r w:rsidRPr="00437F01">
        <w:rPr>
          <w:i/>
        </w:rPr>
        <w:t xml:space="preserve"> above shall apply correspondingly, whereby the record date shall be deemed to be the date on which the reverse </w:t>
      </w:r>
      <w:r>
        <w:rPr>
          <w:i/>
        </w:rPr>
        <w:t>share</w:t>
      </w:r>
      <w:r w:rsidRPr="00437F01">
        <w:rPr>
          <w:i/>
        </w:rPr>
        <w:t xml:space="preserve"> split or </w:t>
      </w:r>
      <w:r>
        <w:rPr>
          <w:i/>
        </w:rPr>
        <w:t>share</w:t>
      </w:r>
      <w:r w:rsidRPr="00437F01">
        <w:rPr>
          <w:i/>
        </w:rPr>
        <w:t xml:space="preserve"> split is effected by Euroclear upon request by the Company.</w:t>
      </w:r>
    </w:p>
    <w:p w14:paraId="0BCDA610" w14:textId="77777777" w:rsidR="006350FE" w:rsidRPr="00437F01" w:rsidRDefault="006350FE" w:rsidP="007C4B62">
      <w:pPr>
        <w:pStyle w:val="BodyText"/>
        <w:numPr>
          <w:ilvl w:val="2"/>
          <w:numId w:val="57"/>
        </w:numPr>
        <w:spacing w:after="0"/>
        <w:rPr>
          <w:b/>
        </w:rPr>
      </w:pPr>
      <w:proofErr w:type="spellStart"/>
      <w:r w:rsidRPr="006B6AC0">
        <w:rPr>
          <w:b/>
          <w:lang w:val="en-US"/>
        </w:rPr>
        <w:t>Nyemission</w:t>
      </w:r>
      <w:proofErr w:type="spellEnd"/>
      <w:r w:rsidRPr="006B6AC0">
        <w:rPr>
          <w:b/>
          <w:lang w:val="en-US"/>
        </w:rPr>
        <w:t xml:space="preserve"> med </w:t>
      </w:r>
      <w:proofErr w:type="spellStart"/>
      <w:r w:rsidRPr="006B6AC0">
        <w:rPr>
          <w:b/>
          <w:lang w:val="en-US"/>
        </w:rPr>
        <w:t>företrädesrätt</w:t>
      </w:r>
      <w:proofErr w:type="spellEnd"/>
      <w:r w:rsidRPr="00437F01">
        <w:rPr>
          <w:b/>
        </w:rPr>
        <w:t>/</w:t>
      </w:r>
      <w:r w:rsidRPr="00437F01">
        <w:rPr>
          <w:b/>
          <w:i/>
        </w:rPr>
        <w:t xml:space="preserve">New </w:t>
      </w:r>
      <w:r>
        <w:rPr>
          <w:b/>
          <w:i/>
        </w:rPr>
        <w:t>Share</w:t>
      </w:r>
      <w:r w:rsidRPr="00437F01">
        <w:rPr>
          <w:b/>
          <w:i/>
        </w:rPr>
        <w:t xml:space="preserve"> issue in accordance with the shareholders' priority rights</w:t>
      </w:r>
    </w:p>
    <w:p w14:paraId="6B6862DD" w14:textId="77777777" w:rsidR="006350FE" w:rsidRPr="00437F01" w:rsidRDefault="006350FE" w:rsidP="006350FE">
      <w:pPr>
        <w:pStyle w:val="BodyText"/>
        <w:ind w:left="720"/>
      </w:pPr>
      <w:proofErr w:type="spellStart"/>
      <w:r w:rsidRPr="006B6AC0">
        <w:rPr>
          <w:lang w:val="en-US"/>
        </w:rPr>
        <w:t>Genomför</w:t>
      </w:r>
      <w:proofErr w:type="spellEnd"/>
      <w:r w:rsidRPr="006B6AC0">
        <w:rPr>
          <w:lang w:val="en-US"/>
        </w:rPr>
        <w:t xml:space="preserve"> </w:t>
      </w:r>
      <w:proofErr w:type="spellStart"/>
      <w:r w:rsidRPr="006B6AC0">
        <w:rPr>
          <w:lang w:val="en-US"/>
        </w:rPr>
        <w:t>Bolaget</w:t>
      </w:r>
      <w:proofErr w:type="spellEnd"/>
      <w:r w:rsidRPr="006B6AC0">
        <w:rPr>
          <w:lang w:val="en-US"/>
        </w:rPr>
        <w:t xml:space="preserve"> </w:t>
      </w:r>
      <w:proofErr w:type="spellStart"/>
      <w:r w:rsidRPr="006B6AC0">
        <w:rPr>
          <w:lang w:val="en-US"/>
        </w:rPr>
        <w:t>en</w:t>
      </w:r>
      <w:proofErr w:type="spellEnd"/>
      <w:r w:rsidRPr="006B6AC0">
        <w:rPr>
          <w:lang w:val="en-US"/>
        </w:rPr>
        <w:t xml:space="preserve"> </w:t>
      </w:r>
      <w:proofErr w:type="spellStart"/>
      <w:r w:rsidRPr="006B6AC0">
        <w:rPr>
          <w:u w:val="single"/>
          <w:lang w:val="en-US"/>
        </w:rPr>
        <w:t>nyemission</w:t>
      </w:r>
      <w:proofErr w:type="spellEnd"/>
      <w:r w:rsidRPr="006B6AC0">
        <w:rPr>
          <w:lang w:val="en-US"/>
        </w:rPr>
        <w:t xml:space="preserve"> – med </w:t>
      </w:r>
      <w:proofErr w:type="spellStart"/>
      <w:r w:rsidRPr="006B6AC0">
        <w:rPr>
          <w:lang w:val="en-US"/>
        </w:rPr>
        <w:t>företrädesrätt</w:t>
      </w:r>
      <w:proofErr w:type="spellEnd"/>
      <w:r w:rsidRPr="006B6AC0">
        <w:rPr>
          <w:lang w:val="en-US"/>
        </w:rPr>
        <w:t xml:space="preserve"> för </w:t>
      </w:r>
      <w:proofErr w:type="spellStart"/>
      <w:r w:rsidRPr="006B6AC0">
        <w:rPr>
          <w:lang w:val="en-US"/>
        </w:rPr>
        <w:t>aktieägarna</w:t>
      </w:r>
      <w:proofErr w:type="spellEnd"/>
      <w:r w:rsidRPr="006B6AC0">
        <w:rPr>
          <w:lang w:val="en-US"/>
        </w:rPr>
        <w:t xml:space="preserve"> </w:t>
      </w:r>
      <w:proofErr w:type="spellStart"/>
      <w:r w:rsidRPr="006B6AC0">
        <w:rPr>
          <w:lang w:val="en-US"/>
        </w:rPr>
        <w:t>att</w:t>
      </w:r>
      <w:proofErr w:type="spellEnd"/>
      <w:r w:rsidRPr="006B6AC0">
        <w:rPr>
          <w:lang w:val="en-US"/>
        </w:rPr>
        <w:t xml:space="preserve"> </w:t>
      </w:r>
      <w:proofErr w:type="spellStart"/>
      <w:r w:rsidRPr="006B6AC0">
        <w:rPr>
          <w:lang w:val="en-US"/>
        </w:rPr>
        <w:t>teckna</w:t>
      </w:r>
      <w:proofErr w:type="spellEnd"/>
      <w:r w:rsidRPr="006B6AC0">
        <w:rPr>
          <w:lang w:val="en-US"/>
        </w:rPr>
        <w:t xml:space="preserve"> </w:t>
      </w:r>
      <w:proofErr w:type="spellStart"/>
      <w:r w:rsidRPr="006B6AC0">
        <w:rPr>
          <w:lang w:val="en-US"/>
        </w:rPr>
        <w:t>nya</w:t>
      </w:r>
      <w:proofErr w:type="spellEnd"/>
      <w:r w:rsidRPr="006B6AC0">
        <w:rPr>
          <w:lang w:val="en-US"/>
        </w:rPr>
        <w:t xml:space="preserve"> </w:t>
      </w:r>
      <w:proofErr w:type="spellStart"/>
      <w:r w:rsidRPr="006B6AC0">
        <w:rPr>
          <w:lang w:val="en-US"/>
        </w:rPr>
        <w:t>Aktier</w:t>
      </w:r>
      <w:proofErr w:type="spellEnd"/>
      <w:r w:rsidRPr="006B6AC0">
        <w:rPr>
          <w:lang w:val="en-US"/>
        </w:rPr>
        <w:t xml:space="preserve"> mot </w:t>
      </w:r>
      <w:proofErr w:type="spellStart"/>
      <w:r w:rsidRPr="006B6AC0">
        <w:rPr>
          <w:lang w:val="en-US"/>
        </w:rPr>
        <w:t>kontant</w:t>
      </w:r>
      <w:proofErr w:type="spellEnd"/>
      <w:r w:rsidRPr="006B6AC0">
        <w:rPr>
          <w:lang w:val="en-US"/>
        </w:rPr>
        <w:t xml:space="preserve"> </w:t>
      </w:r>
      <w:proofErr w:type="spellStart"/>
      <w:r w:rsidRPr="006B6AC0">
        <w:rPr>
          <w:lang w:val="en-US"/>
        </w:rPr>
        <w:t>betalning</w:t>
      </w:r>
      <w:proofErr w:type="spellEnd"/>
      <w:r w:rsidRPr="006B6AC0">
        <w:rPr>
          <w:lang w:val="en-US"/>
        </w:rPr>
        <w:t xml:space="preserve"> </w:t>
      </w:r>
      <w:proofErr w:type="spellStart"/>
      <w:r w:rsidRPr="006B6AC0">
        <w:rPr>
          <w:lang w:val="en-US"/>
        </w:rPr>
        <w:t>eller</w:t>
      </w:r>
      <w:proofErr w:type="spellEnd"/>
      <w:r w:rsidRPr="006B6AC0">
        <w:rPr>
          <w:lang w:val="en-US"/>
        </w:rPr>
        <w:t xml:space="preserve"> </w:t>
      </w:r>
      <w:proofErr w:type="spellStart"/>
      <w:r w:rsidRPr="006B6AC0">
        <w:rPr>
          <w:lang w:val="en-US"/>
        </w:rPr>
        <w:t>kvittning</w:t>
      </w:r>
      <w:proofErr w:type="spellEnd"/>
      <w:r w:rsidRPr="006B6AC0">
        <w:rPr>
          <w:lang w:val="en-US"/>
        </w:rPr>
        <w:t xml:space="preserve"> – ska </w:t>
      </w:r>
      <w:proofErr w:type="spellStart"/>
      <w:r w:rsidRPr="006B6AC0">
        <w:rPr>
          <w:lang w:val="en-US"/>
        </w:rPr>
        <w:t>följande</w:t>
      </w:r>
      <w:proofErr w:type="spellEnd"/>
      <w:r w:rsidRPr="006B6AC0">
        <w:rPr>
          <w:lang w:val="en-US"/>
        </w:rPr>
        <w:t xml:space="preserve"> </w:t>
      </w:r>
      <w:proofErr w:type="spellStart"/>
      <w:r w:rsidRPr="006B6AC0">
        <w:rPr>
          <w:lang w:val="en-US"/>
        </w:rPr>
        <w:t>gälla</w:t>
      </w:r>
      <w:proofErr w:type="spellEnd"/>
      <w:r w:rsidRPr="006B6AC0">
        <w:rPr>
          <w:lang w:val="en-US"/>
        </w:rPr>
        <w:t xml:space="preserve"> </w:t>
      </w:r>
      <w:proofErr w:type="spellStart"/>
      <w:r w:rsidRPr="006B6AC0">
        <w:rPr>
          <w:lang w:val="en-US"/>
        </w:rPr>
        <w:t>beträffande</w:t>
      </w:r>
      <w:proofErr w:type="spellEnd"/>
      <w:r w:rsidRPr="006B6AC0">
        <w:rPr>
          <w:lang w:val="en-US"/>
        </w:rPr>
        <w:t xml:space="preserve"> </w:t>
      </w:r>
      <w:proofErr w:type="spellStart"/>
      <w:r w:rsidRPr="006B6AC0">
        <w:rPr>
          <w:lang w:val="en-US"/>
        </w:rPr>
        <w:t>rätten</w:t>
      </w:r>
      <w:proofErr w:type="spellEnd"/>
      <w:r w:rsidRPr="006B6AC0">
        <w:rPr>
          <w:lang w:val="en-US"/>
        </w:rPr>
        <w:t xml:space="preserve"> till </w:t>
      </w:r>
      <w:proofErr w:type="spellStart"/>
      <w:r w:rsidRPr="006B6AC0">
        <w:rPr>
          <w:lang w:val="en-US"/>
        </w:rPr>
        <w:t>deltagande</w:t>
      </w:r>
      <w:proofErr w:type="spellEnd"/>
      <w:r w:rsidRPr="006B6AC0">
        <w:rPr>
          <w:lang w:val="en-US"/>
        </w:rPr>
        <w:t xml:space="preserve"> </w:t>
      </w:r>
      <w:proofErr w:type="spellStart"/>
      <w:r w:rsidRPr="006B6AC0">
        <w:rPr>
          <w:lang w:val="en-US"/>
        </w:rPr>
        <w:t>i</w:t>
      </w:r>
      <w:proofErr w:type="spellEnd"/>
      <w:r w:rsidRPr="006B6AC0">
        <w:rPr>
          <w:lang w:val="en-US"/>
        </w:rPr>
        <w:t xml:space="preserve"> </w:t>
      </w:r>
      <w:proofErr w:type="spellStart"/>
      <w:r w:rsidRPr="006B6AC0">
        <w:rPr>
          <w:lang w:val="en-US"/>
        </w:rPr>
        <w:t>emissionen</w:t>
      </w:r>
      <w:proofErr w:type="spellEnd"/>
      <w:r w:rsidRPr="006B6AC0">
        <w:rPr>
          <w:lang w:val="en-US"/>
        </w:rPr>
        <w:t xml:space="preserve"> för </w:t>
      </w:r>
      <w:proofErr w:type="spellStart"/>
      <w:r w:rsidRPr="006B6AC0">
        <w:rPr>
          <w:lang w:val="en-US"/>
        </w:rPr>
        <w:t>Aktie</w:t>
      </w:r>
      <w:proofErr w:type="spellEnd"/>
      <w:r w:rsidRPr="006B6AC0">
        <w:rPr>
          <w:lang w:val="en-US"/>
        </w:rPr>
        <w:t xml:space="preserve"> </w:t>
      </w:r>
      <w:proofErr w:type="spellStart"/>
      <w:r w:rsidRPr="006B6AC0">
        <w:rPr>
          <w:lang w:val="en-US"/>
        </w:rPr>
        <w:t>som</w:t>
      </w:r>
      <w:proofErr w:type="spellEnd"/>
      <w:r w:rsidRPr="006B6AC0">
        <w:rPr>
          <w:lang w:val="en-US"/>
        </w:rPr>
        <w:t xml:space="preserve"> </w:t>
      </w:r>
      <w:proofErr w:type="spellStart"/>
      <w:r w:rsidRPr="006B6AC0">
        <w:rPr>
          <w:lang w:val="en-US"/>
        </w:rPr>
        <w:t>tillkommit</w:t>
      </w:r>
      <w:proofErr w:type="spellEnd"/>
      <w:r w:rsidRPr="006B6AC0">
        <w:rPr>
          <w:lang w:val="en-US"/>
        </w:rPr>
        <w:t xml:space="preserve"> </w:t>
      </w:r>
      <w:proofErr w:type="spellStart"/>
      <w:r w:rsidRPr="006B6AC0">
        <w:rPr>
          <w:lang w:val="en-US"/>
        </w:rPr>
        <w:t>på</w:t>
      </w:r>
      <w:proofErr w:type="spellEnd"/>
      <w:r w:rsidRPr="006B6AC0">
        <w:rPr>
          <w:lang w:val="en-US"/>
        </w:rPr>
        <w:t xml:space="preserve"> </w:t>
      </w:r>
      <w:proofErr w:type="spellStart"/>
      <w:r w:rsidRPr="006B6AC0">
        <w:rPr>
          <w:lang w:val="en-US"/>
        </w:rPr>
        <w:t>grund</w:t>
      </w:r>
      <w:proofErr w:type="spellEnd"/>
      <w:r w:rsidRPr="006B6AC0">
        <w:rPr>
          <w:lang w:val="en-US"/>
        </w:rPr>
        <w:t xml:space="preserve"> av </w:t>
      </w:r>
      <w:proofErr w:type="spellStart"/>
      <w:r w:rsidRPr="006B6AC0">
        <w:rPr>
          <w:lang w:val="en-US"/>
        </w:rPr>
        <w:t>Teckning</w:t>
      </w:r>
      <w:proofErr w:type="spellEnd"/>
      <w:r w:rsidRPr="006B6AC0">
        <w:rPr>
          <w:lang w:val="en-US"/>
        </w:rPr>
        <w:t xml:space="preserve"> med </w:t>
      </w:r>
      <w:proofErr w:type="spellStart"/>
      <w:r w:rsidRPr="006B6AC0">
        <w:rPr>
          <w:lang w:val="en-US"/>
        </w:rPr>
        <w:t>utnyttjande</w:t>
      </w:r>
      <w:proofErr w:type="spellEnd"/>
      <w:r w:rsidRPr="006B6AC0">
        <w:rPr>
          <w:lang w:val="en-US"/>
        </w:rPr>
        <w:t xml:space="preserve"> av </w:t>
      </w:r>
      <w:proofErr w:type="spellStart"/>
      <w:r w:rsidRPr="006B6AC0">
        <w:rPr>
          <w:lang w:val="en-US"/>
        </w:rPr>
        <w:t>Teckningsoption</w:t>
      </w:r>
      <w:proofErr w:type="spellEnd"/>
      <w:r w:rsidRPr="006B6AC0">
        <w:rPr>
          <w:lang w:val="en-US"/>
        </w:rPr>
        <w:t>:</w:t>
      </w:r>
      <w:r w:rsidRPr="00437F01">
        <w:br/>
      </w:r>
      <w:r w:rsidRPr="00437F01">
        <w:rPr>
          <w:i/>
        </w:rPr>
        <w:t xml:space="preserve">In the event the Company carries out a </w:t>
      </w:r>
      <w:r w:rsidRPr="00437F01">
        <w:rPr>
          <w:i/>
          <w:u w:val="single"/>
        </w:rPr>
        <w:t xml:space="preserve">new issue of </w:t>
      </w:r>
      <w:r>
        <w:rPr>
          <w:i/>
          <w:u w:val="single"/>
        </w:rPr>
        <w:t>Share</w:t>
      </w:r>
      <w:r w:rsidRPr="00437F01">
        <w:rPr>
          <w:i/>
          <w:u w:val="single"/>
        </w:rPr>
        <w:t>s</w:t>
      </w:r>
      <w:r w:rsidRPr="00437F01">
        <w:rPr>
          <w:i/>
        </w:rPr>
        <w:t xml:space="preserve"> – with </w:t>
      </w:r>
      <w:r>
        <w:rPr>
          <w:i/>
        </w:rPr>
        <w:t>preferential</w:t>
      </w:r>
      <w:r w:rsidRPr="00437F01">
        <w:rPr>
          <w:i/>
        </w:rPr>
        <w:t xml:space="preserve"> rights for shareholders to </w:t>
      </w:r>
      <w:r>
        <w:rPr>
          <w:i/>
        </w:rPr>
        <w:t>s</w:t>
      </w:r>
      <w:r w:rsidRPr="00437F01">
        <w:rPr>
          <w:i/>
        </w:rPr>
        <w:t>ubscribe for new Shares in exchange for cash payment or payment through set-off of claims – the following shall apply with respect to the right to participate in the issue for Shares which are issued as a consequence of the Subscription through exercise of Warrants:</w:t>
      </w:r>
    </w:p>
    <w:p w14:paraId="1EA5BB30" w14:textId="77777777" w:rsidR="006350FE" w:rsidRPr="00437F01" w:rsidRDefault="006350FE" w:rsidP="007C4B62">
      <w:pPr>
        <w:pStyle w:val="BodyText"/>
        <w:numPr>
          <w:ilvl w:val="4"/>
          <w:numId w:val="57"/>
        </w:numPr>
      </w:pPr>
      <w:r w:rsidRPr="00A50800">
        <w:rPr>
          <w:lang w:val="sv-SE"/>
        </w:rPr>
        <w:t xml:space="preserve">Om Bolagets Aktier vid tidpunkten för emissionen inte är föremål för marknadsnotering, </w:t>
      </w:r>
      <w:r>
        <w:rPr>
          <w:lang w:val="sv-SE"/>
        </w:rPr>
        <w:t>ska</w:t>
      </w:r>
      <w:r w:rsidRPr="00A50800">
        <w:rPr>
          <w:lang w:val="sv-SE"/>
        </w:rPr>
        <w:t xml:space="preserve"> omräkning ske, dels av Teckningskursen, dels av det antal Aktier som varje Teckningsoption ger rätt att teckna i enlighet med denna punkt </w:t>
      </w:r>
      <w:r>
        <w:rPr>
          <w:lang w:val="sv-SE"/>
        </w:rPr>
        <w:fldChar w:fldCharType="begin"/>
      </w:r>
      <w:r>
        <w:rPr>
          <w:lang w:val="sv-SE"/>
        </w:rPr>
        <w:instrText xml:space="preserve"> REF _Ref445997720 \r \h </w:instrText>
      </w:r>
      <w:r>
        <w:rPr>
          <w:lang w:val="sv-SE"/>
        </w:rPr>
      </w:r>
      <w:r>
        <w:rPr>
          <w:lang w:val="sv-SE"/>
        </w:rPr>
        <w:fldChar w:fldCharType="separate"/>
      </w:r>
      <w:r>
        <w:rPr>
          <w:lang w:val="sv-SE"/>
        </w:rPr>
        <w:t>8.2.4</w:t>
      </w:r>
      <w:r>
        <w:rPr>
          <w:lang w:val="sv-SE"/>
        </w:rPr>
        <w:fldChar w:fldCharType="end"/>
      </w:r>
      <w:r w:rsidRPr="00A50800">
        <w:rPr>
          <w:lang w:val="sv-SE"/>
        </w:rPr>
        <w:t xml:space="preserve"> angivna principer. Omräkningen</w:t>
      </w:r>
      <w:r>
        <w:rPr>
          <w:lang w:val="sv-SE"/>
        </w:rPr>
        <w:t xml:space="preserve"> ska</w:t>
      </w:r>
      <w:r w:rsidRPr="00A50800">
        <w:rPr>
          <w:lang w:val="sv-SE"/>
        </w:rPr>
        <w:t xml:space="preserve"> utföras av Bolaget</w:t>
      </w:r>
      <w:r>
        <w:rPr>
          <w:lang w:val="sv-SE"/>
        </w:rPr>
        <w:t xml:space="preserve"> och ska</w:t>
      </w:r>
      <w:r w:rsidRPr="00A50800">
        <w:rPr>
          <w:lang w:val="sv-SE"/>
        </w:rPr>
        <w:t xml:space="preserve"> ha som utgångspunkt att värdet på Teckningsoptionerna </w:t>
      </w:r>
      <w:r>
        <w:rPr>
          <w:lang w:val="sv-SE"/>
        </w:rPr>
        <w:t>ska</w:t>
      </w:r>
      <w:r w:rsidRPr="00A50800">
        <w:rPr>
          <w:lang w:val="sv-SE"/>
        </w:rPr>
        <w:t xml:space="preserve"> lämnas oförändrat.</w:t>
      </w:r>
      <w:r w:rsidRPr="00A50800">
        <w:rPr>
          <w:lang w:val="sv-SE"/>
        </w:rPr>
        <w:br/>
      </w:r>
      <w:r>
        <w:rPr>
          <w:i/>
        </w:rPr>
        <w:t xml:space="preserve">If </w:t>
      </w:r>
      <w:r w:rsidRPr="00437F01">
        <w:rPr>
          <w:i/>
        </w:rPr>
        <w:t xml:space="preserve">the Company's Shares </w:t>
      </w:r>
      <w:r>
        <w:rPr>
          <w:i/>
        </w:rPr>
        <w:t>are not</w:t>
      </w:r>
      <w:r w:rsidRPr="00437F01">
        <w:rPr>
          <w:i/>
        </w:rPr>
        <w:t xml:space="preserve"> listed</w:t>
      </w:r>
      <w:r>
        <w:rPr>
          <w:i/>
        </w:rPr>
        <w:t xml:space="preserve"> </w:t>
      </w:r>
      <w:r w:rsidRPr="00437F01">
        <w:rPr>
          <w:i/>
        </w:rPr>
        <w:t xml:space="preserve">at the time of the issuance, a recalculation of the Subscription Price and the number of Shares each Warrant entitles to subscribe for shall be adjusted in accordance with the principles set forth in this section </w:t>
      </w:r>
      <w:r>
        <w:rPr>
          <w:i/>
        </w:rPr>
        <w:fldChar w:fldCharType="begin"/>
      </w:r>
      <w:r>
        <w:rPr>
          <w:i/>
        </w:rPr>
        <w:instrText xml:space="preserve"> REF _Ref445997720 \r \h </w:instrText>
      </w:r>
      <w:r>
        <w:rPr>
          <w:i/>
        </w:rPr>
      </w:r>
      <w:r>
        <w:rPr>
          <w:i/>
        </w:rPr>
        <w:fldChar w:fldCharType="separate"/>
      </w:r>
      <w:r>
        <w:rPr>
          <w:i/>
        </w:rPr>
        <w:t>8.2.4</w:t>
      </w:r>
      <w:r>
        <w:rPr>
          <w:i/>
        </w:rPr>
        <w:fldChar w:fldCharType="end"/>
      </w:r>
      <w:r w:rsidRPr="00437F01">
        <w:rPr>
          <w:i/>
        </w:rPr>
        <w:t>. The recalculation shall be made by the Company and shall be made on the basis that the value of the Warrants shall remain unchanged.</w:t>
      </w:r>
    </w:p>
    <w:p w14:paraId="570AE080" w14:textId="77777777" w:rsidR="006350FE" w:rsidRPr="00B61BC0" w:rsidRDefault="006350FE" w:rsidP="007C4B62">
      <w:pPr>
        <w:pStyle w:val="BodyText"/>
        <w:numPr>
          <w:ilvl w:val="4"/>
          <w:numId w:val="57"/>
        </w:numPr>
      </w:pPr>
      <w:r w:rsidRPr="006B6AC0">
        <w:rPr>
          <w:lang w:val="en-US"/>
        </w:rPr>
        <w:t xml:space="preserve">Om </w:t>
      </w:r>
      <w:proofErr w:type="spellStart"/>
      <w:r w:rsidRPr="006B6AC0">
        <w:rPr>
          <w:lang w:val="en-US"/>
        </w:rPr>
        <w:t>Bolagets</w:t>
      </w:r>
      <w:proofErr w:type="spellEnd"/>
      <w:r w:rsidRPr="006B6AC0">
        <w:rPr>
          <w:lang w:val="en-US"/>
        </w:rPr>
        <w:t xml:space="preserve"> </w:t>
      </w:r>
      <w:proofErr w:type="spellStart"/>
      <w:r w:rsidRPr="006B6AC0">
        <w:rPr>
          <w:lang w:val="en-US"/>
        </w:rPr>
        <w:t>Aktier</w:t>
      </w:r>
      <w:proofErr w:type="spellEnd"/>
      <w:r w:rsidRPr="006B6AC0">
        <w:rPr>
          <w:lang w:val="en-US"/>
        </w:rPr>
        <w:t xml:space="preserve"> vid </w:t>
      </w:r>
      <w:proofErr w:type="spellStart"/>
      <w:r w:rsidRPr="006B6AC0">
        <w:rPr>
          <w:lang w:val="en-US"/>
        </w:rPr>
        <w:t>tidpunkten</w:t>
      </w:r>
      <w:proofErr w:type="spellEnd"/>
      <w:r w:rsidRPr="006B6AC0">
        <w:rPr>
          <w:lang w:val="en-US"/>
        </w:rPr>
        <w:t xml:space="preserve"> för </w:t>
      </w:r>
      <w:proofErr w:type="spellStart"/>
      <w:r w:rsidRPr="006B6AC0">
        <w:rPr>
          <w:lang w:val="en-US"/>
        </w:rPr>
        <w:t>emissionen</w:t>
      </w:r>
      <w:proofErr w:type="spellEnd"/>
      <w:r w:rsidRPr="006B6AC0">
        <w:rPr>
          <w:lang w:val="en-US"/>
        </w:rPr>
        <w:t xml:space="preserve"> </w:t>
      </w:r>
      <w:proofErr w:type="spellStart"/>
      <w:r w:rsidRPr="006B6AC0">
        <w:rPr>
          <w:lang w:val="en-US"/>
        </w:rPr>
        <w:t>är</w:t>
      </w:r>
      <w:proofErr w:type="spellEnd"/>
      <w:r w:rsidRPr="006B6AC0">
        <w:rPr>
          <w:lang w:val="en-US"/>
        </w:rPr>
        <w:t xml:space="preserve"> </w:t>
      </w:r>
      <w:proofErr w:type="spellStart"/>
      <w:r w:rsidRPr="006B6AC0">
        <w:rPr>
          <w:lang w:val="en-US"/>
        </w:rPr>
        <w:t>föremål</w:t>
      </w:r>
      <w:proofErr w:type="spellEnd"/>
      <w:r w:rsidRPr="006B6AC0">
        <w:rPr>
          <w:lang w:val="en-US"/>
        </w:rPr>
        <w:t xml:space="preserve"> för </w:t>
      </w:r>
      <w:proofErr w:type="spellStart"/>
      <w:r w:rsidRPr="006B6AC0">
        <w:rPr>
          <w:lang w:val="en-US"/>
        </w:rPr>
        <w:t>marknadsnotering</w:t>
      </w:r>
      <w:proofErr w:type="spellEnd"/>
      <w:r w:rsidRPr="006B6AC0">
        <w:rPr>
          <w:lang w:val="en-US"/>
        </w:rPr>
        <w:t xml:space="preserve">, ska </w:t>
      </w:r>
      <w:proofErr w:type="spellStart"/>
      <w:r w:rsidRPr="006B6AC0">
        <w:rPr>
          <w:lang w:val="en-US"/>
        </w:rPr>
        <w:t>följande</w:t>
      </w:r>
      <w:proofErr w:type="spellEnd"/>
      <w:r w:rsidRPr="006B6AC0">
        <w:rPr>
          <w:lang w:val="en-US"/>
        </w:rPr>
        <w:t xml:space="preserve"> </w:t>
      </w:r>
      <w:proofErr w:type="spellStart"/>
      <w:r w:rsidRPr="006B6AC0">
        <w:rPr>
          <w:lang w:val="en-US"/>
        </w:rPr>
        <w:t>gälla</w:t>
      </w:r>
      <w:proofErr w:type="spellEnd"/>
      <w:r w:rsidRPr="006B6AC0">
        <w:rPr>
          <w:lang w:val="en-US"/>
        </w:rPr>
        <w:t xml:space="preserve"> </w:t>
      </w:r>
      <w:proofErr w:type="spellStart"/>
      <w:r w:rsidRPr="006B6AC0">
        <w:rPr>
          <w:lang w:val="en-US"/>
        </w:rPr>
        <w:t>beträffande</w:t>
      </w:r>
      <w:proofErr w:type="spellEnd"/>
      <w:r w:rsidRPr="006B6AC0">
        <w:rPr>
          <w:lang w:val="en-US"/>
        </w:rPr>
        <w:t xml:space="preserve"> </w:t>
      </w:r>
      <w:proofErr w:type="spellStart"/>
      <w:r w:rsidRPr="006B6AC0">
        <w:rPr>
          <w:lang w:val="en-US"/>
        </w:rPr>
        <w:t>rätten</w:t>
      </w:r>
      <w:proofErr w:type="spellEnd"/>
      <w:r w:rsidRPr="006B6AC0">
        <w:rPr>
          <w:lang w:val="en-US"/>
        </w:rPr>
        <w:t xml:space="preserve"> </w:t>
      </w:r>
      <w:proofErr w:type="spellStart"/>
      <w:r w:rsidRPr="006B6AC0">
        <w:rPr>
          <w:lang w:val="en-US"/>
        </w:rPr>
        <w:t>att</w:t>
      </w:r>
      <w:proofErr w:type="spellEnd"/>
      <w:r w:rsidRPr="006B6AC0">
        <w:rPr>
          <w:lang w:val="en-US"/>
        </w:rPr>
        <w:t xml:space="preserve"> delta </w:t>
      </w:r>
      <w:proofErr w:type="spellStart"/>
      <w:r w:rsidRPr="006B6AC0">
        <w:rPr>
          <w:lang w:val="en-US"/>
        </w:rPr>
        <w:t>i</w:t>
      </w:r>
      <w:proofErr w:type="spellEnd"/>
      <w:r w:rsidRPr="006B6AC0">
        <w:rPr>
          <w:lang w:val="en-US"/>
        </w:rPr>
        <w:t xml:space="preserve"> </w:t>
      </w:r>
      <w:proofErr w:type="spellStart"/>
      <w:r w:rsidRPr="006B6AC0">
        <w:rPr>
          <w:lang w:val="en-US"/>
        </w:rPr>
        <w:t>emissionen</w:t>
      </w:r>
      <w:proofErr w:type="spellEnd"/>
      <w:r w:rsidRPr="006B6AC0">
        <w:rPr>
          <w:lang w:val="en-US"/>
        </w:rPr>
        <w:t>:</w:t>
      </w:r>
      <w:r w:rsidRPr="00B61BC0">
        <w:br/>
      </w:r>
      <w:r>
        <w:rPr>
          <w:i/>
        </w:rPr>
        <w:t xml:space="preserve">If the </w:t>
      </w:r>
      <w:r w:rsidRPr="00B61BC0">
        <w:rPr>
          <w:i/>
        </w:rPr>
        <w:t xml:space="preserve">Company's Shares </w:t>
      </w:r>
      <w:r>
        <w:rPr>
          <w:i/>
        </w:rPr>
        <w:t xml:space="preserve">are </w:t>
      </w:r>
      <w:r w:rsidRPr="00B61BC0">
        <w:rPr>
          <w:i/>
        </w:rPr>
        <w:t>listed at the time of the issuance, the following shall apply with respect to the rights to participate in the new issue:</w:t>
      </w:r>
    </w:p>
    <w:p w14:paraId="575373F4" w14:textId="77777777" w:rsidR="006350FE" w:rsidRPr="00437F01" w:rsidRDefault="006350FE" w:rsidP="007C4B62">
      <w:pPr>
        <w:pStyle w:val="BodyText"/>
        <w:numPr>
          <w:ilvl w:val="5"/>
          <w:numId w:val="57"/>
        </w:numPr>
      </w:pPr>
      <w:r w:rsidRPr="00B61BC0">
        <w:rPr>
          <w:lang w:val="sv-SE"/>
        </w:rPr>
        <w:t xml:space="preserve">Beslutas emissionen av styrelsen under förutsättning av bolagsstämmans godkännande eller med stöd av bolagsstämmans bemyndigande, </w:t>
      </w:r>
      <w:r>
        <w:rPr>
          <w:lang w:val="sv-SE"/>
        </w:rPr>
        <w:t>ska</w:t>
      </w:r>
      <w:r w:rsidRPr="00B61BC0">
        <w:rPr>
          <w:lang w:val="sv-SE"/>
        </w:rPr>
        <w:t xml:space="preserve"> i beslutet anges den senaste dag då Teckning </w:t>
      </w:r>
      <w:r>
        <w:rPr>
          <w:lang w:val="sv-SE"/>
        </w:rPr>
        <w:t>ska</w:t>
      </w:r>
      <w:r w:rsidRPr="00B61BC0">
        <w:rPr>
          <w:lang w:val="sv-SE"/>
        </w:rPr>
        <w:t xml:space="preserve"> vara verkställd för att Aktie, som tillkommit genom Teckning, </w:t>
      </w:r>
      <w:r>
        <w:rPr>
          <w:lang w:val="sv-SE"/>
        </w:rPr>
        <w:t>ska</w:t>
      </w:r>
      <w:r w:rsidRPr="00B61BC0">
        <w:rPr>
          <w:lang w:val="sv-SE"/>
        </w:rPr>
        <w:t xml:space="preserve"> medföra rätt att delta i emissionen. Sådan dag får inte infalla tidigare än tionde kalenderdagen efter </w:t>
      </w:r>
      <w:proofErr w:type="spellStart"/>
      <w:r w:rsidRPr="00B61BC0">
        <w:rPr>
          <w:lang w:val="sv-SE"/>
        </w:rPr>
        <w:t>emissionsbeslutet</w:t>
      </w:r>
      <w:proofErr w:type="spellEnd"/>
      <w:r w:rsidRPr="00B61BC0">
        <w:rPr>
          <w:lang w:val="sv-SE"/>
        </w:rPr>
        <w:t>.</w:t>
      </w:r>
      <w:r w:rsidRPr="00B61BC0">
        <w:rPr>
          <w:lang w:val="sv-SE"/>
        </w:rPr>
        <w:br/>
      </w:r>
      <w:r w:rsidRPr="00B61BC0">
        <w:rPr>
          <w:i/>
        </w:rPr>
        <w:t xml:space="preserve">Where the board of directors resolves to issue Shares subject to approval by the </w:t>
      </w:r>
      <w:r>
        <w:rPr>
          <w:i/>
        </w:rPr>
        <w:t>general meeting</w:t>
      </w:r>
      <w:r w:rsidRPr="00B61BC0">
        <w:rPr>
          <w:i/>
        </w:rPr>
        <w:t xml:space="preserve"> or in accordance with an authorization by the </w:t>
      </w:r>
      <w:r>
        <w:rPr>
          <w:i/>
        </w:rPr>
        <w:t>general meeting</w:t>
      </w:r>
      <w:r w:rsidRPr="00B61BC0">
        <w:rPr>
          <w:i/>
        </w:rPr>
        <w:t>, the resolution to issue Shares shall set forth the last date on which Subscription through the exercise of Warrants shall be executed in order for Shares, which is issued as a consequence of Subscription, shall entitle the Warrant Holders to participate in the issue. Such date may not be earlier than ten calendar days following the resolution to issue Shares.</w:t>
      </w:r>
    </w:p>
    <w:p w14:paraId="37942F3C" w14:textId="77777777" w:rsidR="006350FE" w:rsidRPr="00437F01" w:rsidRDefault="006350FE" w:rsidP="007C4B62">
      <w:pPr>
        <w:pStyle w:val="BodyText"/>
        <w:numPr>
          <w:ilvl w:val="5"/>
          <w:numId w:val="57"/>
        </w:numPr>
      </w:pPr>
      <w:r w:rsidRPr="00A50800">
        <w:rPr>
          <w:lang w:val="sv-SE"/>
        </w:rPr>
        <w:lastRenderedPageBreak/>
        <w:t xml:space="preserve">Beslutas emissionen av bolagsstämman, </w:t>
      </w:r>
      <w:r>
        <w:rPr>
          <w:lang w:val="sv-SE"/>
        </w:rPr>
        <w:t>ska</w:t>
      </w:r>
      <w:r w:rsidRPr="00A50800">
        <w:rPr>
          <w:lang w:val="sv-SE"/>
        </w:rPr>
        <w:t xml:space="preserve"> Teckning – som påkallas på sådan tid att Teckningen inte kan verkställas senast på tionde kalenderdagen före den bolagsstämma som beslutar om emissionen – verkställas först sedan Bolaget verkställt omräkning enligt de</w:t>
      </w:r>
      <w:r>
        <w:rPr>
          <w:lang w:val="sv-SE"/>
        </w:rPr>
        <w:t>nn</w:t>
      </w:r>
      <w:r w:rsidRPr="00A50800">
        <w:rPr>
          <w:lang w:val="sv-SE"/>
        </w:rPr>
        <w:t xml:space="preserve">a punkt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Aktie, som tillkommit på grund av sådan Teckning, registreras interimistiskt på avstämningskonto, vilket innebär att de inte har rätt att delta i emissionen.</w:t>
      </w:r>
      <w:r w:rsidRPr="00A50800">
        <w:rPr>
          <w:lang w:val="sv-SE"/>
        </w:rPr>
        <w:br/>
      </w:r>
      <w:r w:rsidRPr="00437F01">
        <w:rPr>
          <w:i/>
        </w:rPr>
        <w:t xml:space="preserve">Where the </w:t>
      </w:r>
      <w:r>
        <w:rPr>
          <w:i/>
        </w:rPr>
        <w:t>general meeting</w:t>
      </w:r>
      <w:r w:rsidRPr="00437F01">
        <w:rPr>
          <w:i/>
        </w:rPr>
        <w:t xml:space="preserve"> ha</w:t>
      </w:r>
      <w:r>
        <w:rPr>
          <w:i/>
        </w:rPr>
        <w:t>s</w:t>
      </w:r>
      <w:r w:rsidRPr="00437F01">
        <w:rPr>
          <w:i/>
        </w:rPr>
        <w:t xml:space="preserve"> resolved upon the issue, the Subscription – for which notice for Subscription is made at such time that it cannot be effected on or before the tenth calendar day prior to the </w:t>
      </w:r>
      <w:r>
        <w:rPr>
          <w:i/>
        </w:rPr>
        <w:t>general</w:t>
      </w:r>
      <w:r w:rsidRPr="00437F01">
        <w:rPr>
          <w:i/>
        </w:rPr>
        <w:t xml:space="preserve"> meeting which decides upon the issue – shall be effected only after the Company has effected recalculation in accordance with this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Shares which are issued </w:t>
      </w:r>
      <w:proofErr w:type="gramStart"/>
      <w:r w:rsidRPr="00437F01">
        <w:rPr>
          <w:i/>
        </w:rPr>
        <w:t>as a consequence of</w:t>
      </w:r>
      <w:proofErr w:type="gramEnd"/>
      <w:r w:rsidRPr="00437F01">
        <w:rPr>
          <w:i/>
        </w:rPr>
        <w:t xml:space="preserve"> such Subscription shall be registered on an interim basis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ry account and shall not entitle to participation in the issue.</w:t>
      </w:r>
    </w:p>
    <w:p w14:paraId="4AE4D13C" w14:textId="77777777" w:rsidR="006350FE" w:rsidRPr="00437F01" w:rsidRDefault="006350FE" w:rsidP="006350FE">
      <w:pPr>
        <w:pStyle w:val="BodyText"/>
        <w:ind w:left="720"/>
      </w:pPr>
      <w:r w:rsidRPr="00A50800">
        <w:rPr>
          <w:lang w:val="sv-SE"/>
        </w:rPr>
        <w:t xml:space="preserve">Vid Teckning som verkställts på sådan tid att rätt till deltagande i nyemissionen inte uppkommer tillämpas en omräknad Teckningskurs liksom en omräkning av det antal Aktier som varje Teckningsoption berättigar till Teckning av. </w:t>
      </w:r>
      <w:proofErr w:type="spellStart"/>
      <w:r w:rsidRPr="00437F01">
        <w:t>Omräkningarna</w:t>
      </w:r>
      <w:proofErr w:type="spellEnd"/>
      <w:r w:rsidRPr="00437F01">
        <w:t xml:space="preserve"> </w:t>
      </w:r>
      <w:proofErr w:type="spellStart"/>
      <w:r w:rsidRPr="00437F01">
        <w:t>utför</w:t>
      </w:r>
      <w:r>
        <w:t>s</w:t>
      </w:r>
      <w:proofErr w:type="spellEnd"/>
      <w:r w:rsidRPr="00437F01">
        <w:t xml:space="preserve"> </w:t>
      </w:r>
      <w:proofErr w:type="spellStart"/>
      <w:r w:rsidRPr="00437F01">
        <w:t>av</w:t>
      </w:r>
      <w:proofErr w:type="spellEnd"/>
      <w:r w:rsidRPr="00437F01">
        <w:t xml:space="preserve"> </w:t>
      </w:r>
      <w:proofErr w:type="spellStart"/>
      <w:r w:rsidRPr="00437F01">
        <w:t>Bolaget</w:t>
      </w:r>
      <w:proofErr w:type="spellEnd"/>
      <w:r w:rsidRPr="00437F01">
        <w:t xml:space="preserve"> </w:t>
      </w:r>
      <w:proofErr w:type="spellStart"/>
      <w:r w:rsidRPr="00437F01">
        <w:t>enligt</w:t>
      </w:r>
      <w:proofErr w:type="spellEnd"/>
      <w:r w:rsidRPr="00437F01">
        <w:t xml:space="preserve"> </w:t>
      </w:r>
      <w:proofErr w:type="spellStart"/>
      <w:r w:rsidRPr="00437F01">
        <w:t>nedan</w:t>
      </w:r>
      <w:proofErr w:type="spellEnd"/>
      <w:r w:rsidRPr="00437F01">
        <w:t>:</w:t>
      </w:r>
      <w:r w:rsidRPr="00437F01">
        <w:br/>
      </w:r>
      <w:r w:rsidRPr="00437F01">
        <w:rPr>
          <w:i/>
        </w:rPr>
        <w:t>Where Subscription is made at such time that no right to participate in the new issue arises, a recalculated Subscription Price as well as a recalculated number of Shares which each Warrant entitles to subscribe for shall apply. Recalculations shall be made by the Company in accordance with the following formulas:</w:t>
      </w:r>
    </w:p>
    <w:tbl>
      <w:tblPr>
        <w:tblW w:w="8370" w:type="dxa"/>
        <w:tblInd w:w="630" w:type="dxa"/>
        <w:tblLook w:val="04A0" w:firstRow="1" w:lastRow="0" w:firstColumn="1" w:lastColumn="0" w:noHBand="0" w:noVBand="1"/>
      </w:tblPr>
      <w:tblGrid>
        <w:gridCol w:w="2125"/>
        <w:gridCol w:w="574"/>
        <w:gridCol w:w="5664"/>
        <w:gridCol w:w="7"/>
      </w:tblGrid>
      <w:tr w:rsidR="006350FE" w:rsidRPr="00D00630" w14:paraId="068240B0" w14:textId="77777777" w:rsidTr="00695A7D">
        <w:trPr>
          <w:gridAfter w:val="1"/>
          <w:wAfter w:w="7" w:type="dxa"/>
          <w:cantSplit/>
          <w:trHeight w:val="675"/>
        </w:trPr>
        <w:tc>
          <w:tcPr>
            <w:tcW w:w="2126" w:type="dxa"/>
            <w:vMerge w:val="restart"/>
            <w:vAlign w:val="center"/>
          </w:tcPr>
          <w:p w14:paraId="473BCCBA" w14:textId="77777777" w:rsidR="006350FE" w:rsidRPr="006B6AC0" w:rsidRDefault="006350FE" w:rsidP="00695A7D">
            <w:pPr>
              <w:pStyle w:val="TableText"/>
              <w:spacing w:after="0"/>
              <w:rPr>
                <w:lang w:val="sv-SE"/>
              </w:rPr>
            </w:pPr>
            <w:r w:rsidRPr="006B6AC0">
              <w:rPr>
                <w:lang w:val="sv-SE"/>
              </w:rPr>
              <w:t>Omräknad</w:t>
            </w:r>
            <w:r w:rsidRPr="006B6AC0">
              <w:rPr>
                <w:lang w:val="sv-SE"/>
              </w:rPr>
              <w:br/>
              <w:t>Teckningskurs</w:t>
            </w:r>
          </w:p>
        </w:tc>
        <w:tc>
          <w:tcPr>
            <w:tcW w:w="574" w:type="dxa"/>
            <w:vMerge w:val="restart"/>
            <w:vAlign w:val="center"/>
          </w:tcPr>
          <w:p w14:paraId="5C29E4EB" w14:textId="77777777" w:rsidR="006350FE" w:rsidRPr="00437F01" w:rsidRDefault="006350FE" w:rsidP="00695A7D">
            <w:pPr>
              <w:pStyle w:val="TableText"/>
              <w:spacing w:after="0"/>
              <w:jc w:val="center"/>
            </w:pPr>
            <w:r w:rsidRPr="00437F01">
              <w:t>=</w:t>
            </w:r>
          </w:p>
        </w:tc>
        <w:tc>
          <w:tcPr>
            <w:tcW w:w="5663" w:type="dxa"/>
            <w:tcBorders>
              <w:bottom w:val="single" w:sz="4" w:space="0" w:color="auto"/>
            </w:tcBorders>
          </w:tcPr>
          <w:p w14:paraId="4E3FF40C" w14:textId="77777777" w:rsidR="006350FE" w:rsidRPr="00A50800" w:rsidRDefault="006350F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w:t>
            </w:r>
            <w:r>
              <w:rPr>
                <w:lang w:val="sv-SE"/>
              </w:rPr>
              <w:t>Aktie</w:t>
            </w:r>
            <w:r w:rsidRPr="00A50800">
              <w:rPr>
                <w:lang w:val="sv-SE"/>
              </w:rPr>
              <w:t xml:space="preserve">ns genomsnittliga aktiekurs under den i </w:t>
            </w:r>
            <w:proofErr w:type="spellStart"/>
            <w:r w:rsidRPr="00A50800">
              <w:rPr>
                <w:lang w:val="sv-SE"/>
              </w:rPr>
              <w:t>emissionsbeslutet</w:t>
            </w:r>
            <w:proofErr w:type="spellEnd"/>
            <w:r w:rsidRPr="00A50800">
              <w:rPr>
                <w:lang w:val="sv-SE"/>
              </w:rPr>
              <w:t xml:space="preserve"> fastställda </w:t>
            </w:r>
            <w:r>
              <w:rPr>
                <w:lang w:val="sv-SE"/>
              </w:rPr>
              <w:t>t</w:t>
            </w:r>
            <w:r w:rsidRPr="00A50800">
              <w:rPr>
                <w:lang w:val="sv-SE"/>
              </w:rPr>
              <w:t>eckningstiden (</w:t>
            </w:r>
            <w:r>
              <w:rPr>
                <w:lang w:val="sv-SE"/>
              </w:rPr>
              <w:t>Aktie</w:t>
            </w:r>
            <w:r w:rsidRPr="00A50800">
              <w:rPr>
                <w:lang w:val="sv-SE"/>
              </w:rPr>
              <w:t>ns genomsnittskurs)</w:t>
            </w:r>
          </w:p>
        </w:tc>
      </w:tr>
      <w:tr w:rsidR="006350FE" w:rsidRPr="00D00630" w14:paraId="3AA28F79" w14:textId="77777777" w:rsidTr="00695A7D">
        <w:trPr>
          <w:gridAfter w:val="1"/>
          <w:wAfter w:w="7" w:type="dxa"/>
          <w:cantSplit/>
        </w:trPr>
        <w:tc>
          <w:tcPr>
            <w:tcW w:w="2126" w:type="dxa"/>
            <w:vMerge/>
          </w:tcPr>
          <w:p w14:paraId="4DF8489F" w14:textId="77777777" w:rsidR="006350FE" w:rsidRPr="00A50800" w:rsidRDefault="006350FE" w:rsidP="00695A7D">
            <w:pPr>
              <w:pStyle w:val="TableText"/>
              <w:spacing w:after="0"/>
              <w:rPr>
                <w:lang w:val="sv-SE"/>
              </w:rPr>
            </w:pPr>
          </w:p>
        </w:tc>
        <w:tc>
          <w:tcPr>
            <w:tcW w:w="574" w:type="dxa"/>
            <w:vMerge/>
            <w:vAlign w:val="center"/>
          </w:tcPr>
          <w:p w14:paraId="4906EDCD" w14:textId="77777777" w:rsidR="006350FE" w:rsidRPr="00A50800" w:rsidRDefault="006350FE" w:rsidP="00695A7D">
            <w:pPr>
              <w:pStyle w:val="TableText"/>
              <w:spacing w:after="0"/>
              <w:jc w:val="center"/>
              <w:rPr>
                <w:lang w:val="sv-SE"/>
              </w:rPr>
            </w:pPr>
          </w:p>
        </w:tc>
        <w:tc>
          <w:tcPr>
            <w:tcW w:w="5663" w:type="dxa"/>
            <w:tcBorders>
              <w:top w:val="single" w:sz="4" w:space="0" w:color="auto"/>
            </w:tcBorders>
          </w:tcPr>
          <w:p w14:paraId="29DDBCD9" w14:textId="77777777" w:rsidR="006350FE" w:rsidRPr="00A50800" w:rsidRDefault="006350FE" w:rsidP="00695A7D">
            <w:pPr>
              <w:pStyle w:val="TableText"/>
              <w:spacing w:after="0"/>
              <w:rPr>
                <w:lang w:val="sv-SE"/>
              </w:rPr>
            </w:pPr>
            <w:r w:rsidRPr="00A50800">
              <w:rPr>
                <w:lang w:val="sv-SE"/>
              </w:rPr>
              <w:t>Aktiens genomsnittskurs ökad med det på grundval därav framräknade teoretiska värdet på teckningsrätten</w:t>
            </w:r>
          </w:p>
        </w:tc>
      </w:tr>
      <w:tr w:rsidR="006350FE" w:rsidRPr="00D00630" w14:paraId="573B762C" w14:textId="77777777" w:rsidTr="00695A7D">
        <w:trPr>
          <w:cantSplit/>
        </w:trPr>
        <w:tc>
          <w:tcPr>
            <w:tcW w:w="2126" w:type="dxa"/>
            <w:vAlign w:val="center"/>
          </w:tcPr>
          <w:p w14:paraId="0966E91B" w14:textId="77777777" w:rsidR="006350FE" w:rsidRPr="00A50800" w:rsidRDefault="006350FE" w:rsidP="00695A7D">
            <w:pPr>
              <w:pStyle w:val="TableText"/>
              <w:spacing w:after="0"/>
              <w:rPr>
                <w:i/>
                <w:lang w:val="sv-SE"/>
              </w:rPr>
            </w:pPr>
          </w:p>
        </w:tc>
        <w:tc>
          <w:tcPr>
            <w:tcW w:w="574" w:type="dxa"/>
            <w:vAlign w:val="center"/>
          </w:tcPr>
          <w:p w14:paraId="4C09639C" w14:textId="77777777" w:rsidR="006350FE" w:rsidRPr="00A50800" w:rsidRDefault="006350FE" w:rsidP="00695A7D">
            <w:pPr>
              <w:pStyle w:val="TableText"/>
              <w:spacing w:after="0"/>
              <w:jc w:val="center"/>
              <w:rPr>
                <w:lang w:val="sv-SE"/>
              </w:rPr>
            </w:pPr>
          </w:p>
        </w:tc>
        <w:tc>
          <w:tcPr>
            <w:tcW w:w="5670" w:type="dxa"/>
            <w:gridSpan w:val="2"/>
          </w:tcPr>
          <w:p w14:paraId="1F3F375C" w14:textId="77777777" w:rsidR="006350FE" w:rsidRPr="00A50800" w:rsidRDefault="006350FE" w:rsidP="00695A7D">
            <w:pPr>
              <w:pStyle w:val="TableText"/>
              <w:spacing w:after="0"/>
              <w:rPr>
                <w:lang w:val="sv-SE"/>
              </w:rPr>
            </w:pPr>
          </w:p>
        </w:tc>
      </w:tr>
      <w:tr w:rsidR="006350FE" w:rsidRPr="00D00630" w14:paraId="2C6B61FC" w14:textId="77777777" w:rsidTr="00695A7D">
        <w:trPr>
          <w:gridAfter w:val="1"/>
          <w:wAfter w:w="7" w:type="dxa"/>
          <w:cantSplit/>
        </w:trPr>
        <w:tc>
          <w:tcPr>
            <w:tcW w:w="2126" w:type="dxa"/>
            <w:vMerge w:val="restart"/>
            <w:vAlign w:val="center"/>
          </w:tcPr>
          <w:p w14:paraId="1F316734" w14:textId="77777777" w:rsidR="006350FE" w:rsidRPr="00A50800" w:rsidRDefault="006350FE" w:rsidP="00695A7D">
            <w:pPr>
              <w:pStyle w:val="TableText"/>
              <w:spacing w:after="0"/>
              <w:rPr>
                <w:lang w:val="sv-SE"/>
              </w:rPr>
            </w:pPr>
            <w:r w:rsidRPr="00A50800">
              <w:rPr>
                <w:lang w:val="sv-SE"/>
              </w:rPr>
              <w:t>Omräknat antal Aktier som varje Teckningsoption berättigar till Teckning av</w:t>
            </w:r>
          </w:p>
        </w:tc>
        <w:tc>
          <w:tcPr>
            <w:tcW w:w="574" w:type="dxa"/>
            <w:vMerge w:val="restart"/>
            <w:vAlign w:val="center"/>
          </w:tcPr>
          <w:p w14:paraId="4550FAF9" w14:textId="77777777" w:rsidR="006350FE" w:rsidRPr="00437F01" w:rsidRDefault="006350FE" w:rsidP="00695A7D">
            <w:pPr>
              <w:pStyle w:val="TableText"/>
              <w:spacing w:after="0"/>
              <w:jc w:val="center"/>
              <w:rPr>
                <w:highlight w:val="magenta"/>
              </w:rPr>
            </w:pPr>
            <w:r w:rsidRPr="00437F01">
              <w:t>=</w:t>
            </w:r>
          </w:p>
        </w:tc>
        <w:tc>
          <w:tcPr>
            <w:tcW w:w="5663" w:type="dxa"/>
            <w:tcBorders>
              <w:bottom w:val="single" w:sz="4" w:space="0" w:color="auto"/>
            </w:tcBorders>
          </w:tcPr>
          <w:p w14:paraId="4EB90E6E" w14:textId="77777777" w:rsidR="006350FE" w:rsidRPr="00A50800" w:rsidRDefault="006350F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(Aktiens genomsnittskurs ökad med det på grundval därav framräknade teoretiska värdet på teckningsrätten)</w:t>
            </w:r>
          </w:p>
        </w:tc>
      </w:tr>
      <w:tr w:rsidR="006350FE" w:rsidRPr="00437F01" w14:paraId="503896B9" w14:textId="77777777" w:rsidTr="00695A7D">
        <w:trPr>
          <w:gridAfter w:val="1"/>
          <w:wAfter w:w="7" w:type="dxa"/>
          <w:cantSplit/>
        </w:trPr>
        <w:tc>
          <w:tcPr>
            <w:tcW w:w="2126" w:type="dxa"/>
            <w:vMerge/>
          </w:tcPr>
          <w:p w14:paraId="2E9ADA16" w14:textId="77777777" w:rsidR="006350FE" w:rsidRPr="00A50800" w:rsidRDefault="006350FE" w:rsidP="00695A7D">
            <w:pPr>
              <w:pStyle w:val="TableText"/>
              <w:spacing w:after="0"/>
              <w:rPr>
                <w:lang w:val="sv-SE"/>
              </w:rPr>
            </w:pPr>
          </w:p>
        </w:tc>
        <w:tc>
          <w:tcPr>
            <w:tcW w:w="574" w:type="dxa"/>
            <w:vMerge/>
            <w:vAlign w:val="center"/>
          </w:tcPr>
          <w:p w14:paraId="05AD5A28" w14:textId="77777777" w:rsidR="006350FE" w:rsidRPr="00A50800" w:rsidRDefault="006350FE" w:rsidP="00695A7D">
            <w:pPr>
              <w:pStyle w:val="TableText"/>
              <w:spacing w:after="0"/>
              <w:jc w:val="center"/>
              <w:rPr>
                <w:lang w:val="sv-SE"/>
              </w:rPr>
            </w:pPr>
          </w:p>
        </w:tc>
        <w:tc>
          <w:tcPr>
            <w:tcW w:w="5663" w:type="dxa"/>
          </w:tcPr>
          <w:p w14:paraId="6668740A" w14:textId="77777777" w:rsidR="006350FE" w:rsidRPr="006B6AC0" w:rsidRDefault="006350FE" w:rsidP="00695A7D">
            <w:pPr>
              <w:pStyle w:val="TableText"/>
              <w:spacing w:after="0"/>
              <w:rPr>
                <w:lang w:val="sv-SE"/>
              </w:rPr>
            </w:pPr>
            <w:r w:rsidRPr="006B6AC0">
              <w:rPr>
                <w:lang w:val="sv-SE"/>
              </w:rPr>
              <w:t>Aktiens genomsnittskurs</w:t>
            </w:r>
          </w:p>
        </w:tc>
      </w:tr>
      <w:tr w:rsidR="006350FE" w:rsidRPr="001A6E6C" w14:paraId="5649F0D5" w14:textId="77777777" w:rsidTr="00695A7D">
        <w:trPr>
          <w:gridAfter w:val="1"/>
          <w:wAfter w:w="7" w:type="dxa"/>
          <w:cantSplit/>
        </w:trPr>
        <w:tc>
          <w:tcPr>
            <w:tcW w:w="2126" w:type="dxa"/>
            <w:vMerge w:val="restart"/>
            <w:vAlign w:val="center"/>
          </w:tcPr>
          <w:p w14:paraId="25FB110C" w14:textId="77777777" w:rsidR="006350FE" w:rsidRPr="00437F01" w:rsidRDefault="006350FE" w:rsidP="00695A7D">
            <w:pPr>
              <w:pStyle w:val="TableText"/>
              <w:spacing w:after="0"/>
            </w:pPr>
            <w:r w:rsidRPr="00437F01">
              <w:rPr>
                <w:i/>
              </w:rPr>
              <w:t>Recalculated Subscription Price</w:t>
            </w:r>
          </w:p>
        </w:tc>
        <w:tc>
          <w:tcPr>
            <w:tcW w:w="574" w:type="dxa"/>
            <w:vMerge w:val="restart"/>
            <w:vAlign w:val="center"/>
          </w:tcPr>
          <w:p w14:paraId="2BC9CB08" w14:textId="77777777" w:rsidR="006350FE" w:rsidRPr="00437F01" w:rsidRDefault="006350FE" w:rsidP="00695A7D">
            <w:pPr>
              <w:pStyle w:val="TableText"/>
              <w:spacing w:after="0"/>
              <w:jc w:val="center"/>
            </w:pPr>
            <w:r w:rsidRPr="00437F01">
              <w:t>=</w:t>
            </w:r>
          </w:p>
        </w:tc>
        <w:tc>
          <w:tcPr>
            <w:tcW w:w="5663" w:type="dxa"/>
            <w:tcBorders>
              <w:bottom w:val="single" w:sz="4" w:space="0" w:color="auto"/>
            </w:tcBorders>
          </w:tcPr>
          <w:p w14:paraId="777ECB4B" w14:textId="77777777" w:rsidR="006350FE" w:rsidRPr="00437F01" w:rsidRDefault="006350FE" w:rsidP="00695A7D">
            <w:pPr>
              <w:pStyle w:val="TableText"/>
              <w:spacing w:after="0"/>
            </w:pPr>
            <w:r w:rsidRPr="00437F01">
              <w:rPr>
                <w:i/>
              </w:rPr>
              <w:t xml:space="preserve">The Subscription Price x the average share price of the Share during the </w:t>
            </w:r>
            <w:r>
              <w:rPr>
                <w:i/>
              </w:rPr>
              <w:t>s</w:t>
            </w:r>
            <w:r w:rsidRPr="00437F01">
              <w:rPr>
                <w:i/>
              </w:rPr>
              <w:t xml:space="preserve">ubscription </w:t>
            </w:r>
            <w:r>
              <w:rPr>
                <w:i/>
              </w:rPr>
              <w:t>p</w:t>
            </w:r>
            <w:r w:rsidRPr="00437F01">
              <w:rPr>
                <w:i/>
              </w:rPr>
              <w:t>eriod set forth in the issue resolution</w:t>
            </w:r>
            <w:r>
              <w:rPr>
                <w:i/>
              </w:rPr>
              <w:t xml:space="preserve"> </w:t>
            </w:r>
            <w:r w:rsidRPr="00437F01">
              <w:rPr>
                <w:i/>
              </w:rPr>
              <w:t>(average price of Share)</w:t>
            </w:r>
          </w:p>
        </w:tc>
      </w:tr>
      <w:tr w:rsidR="006350FE" w:rsidRPr="001A6E6C" w14:paraId="63D10721" w14:textId="77777777" w:rsidTr="00695A7D">
        <w:trPr>
          <w:gridAfter w:val="1"/>
          <w:wAfter w:w="7" w:type="dxa"/>
          <w:cantSplit/>
        </w:trPr>
        <w:tc>
          <w:tcPr>
            <w:tcW w:w="2126" w:type="dxa"/>
            <w:vMerge/>
          </w:tcPr>
          <w:p w14:paraId="6DA90D7E" w14:textId="77777777" w:rsidR="006350FE" w:rsidRPr="00437F01" w:rsidRDefault="006350FE" w:rsidP="00695A7D">
            <w:pPr>
              <w:pStyle w:val="TableText"/>
              <w:spacing w:after="0"/>
            </w:pPr>
          </w:p>
        </w:tc>
        <w:tc>
          <w:tcPr>
            <w:tcW w:w="574" w:type="dxa"/>
            <w:vMerge/>
            <w:vAlign w:val="center"/>
          </w:tcPr>
          <w:p w14:paraId="09778D1E" w14:textId="77777777" w:rsidR="006350FE" w:rsidRPr="00437F01" w:rsidRDefault="006350FE" w:rsidP="00695A7D">
            <w:pPr>
              <w:pStyle w:val="TableText"/>
              <w:spacing w:after="0"/>
              <w:jc w:val="center"/>
            </w:pPr>
          </w:p>
        </w:tc>
        <w:tc>
          <w:tcPr>
            <w:tcW w:w="5663" w:type="dxa"/>
            <w:tcBorders>
              <w:top w:val="single" w:sz="4" w:space="0" w:color="auto"/>
            </w:tcBorders>
          </w:tcPr>
          <w:p w14:paraId="4A6D7291" w14:textId="77777777" w:rsidR="006350FE" w:rsidRPr="00437F01" w:rsidRDefault="006350FE" w:rsidP="00695A7D">
            <w:pPr>
              <w:pStyle w:val="TableText"/>
              <w:spacing w:after="0"/>
            </w:pPr>
            <w:r w:rsidRPr="00437F01">
              <w:rPr>
                <w:i/>
              </w:rPr>
              <w:t>The average price of Share increased by the theoretical value of the subscription right calculated on the basis thereof</w:t>
            </w:r>
          </w:p>
        </w:tc>
      </w:tr>
      <w:tr w:rsidR="006350FE" w:rsidRPr="001A6E6C" w14:paraId="211BF3E7" w14:textId="77777777" w:rsidTr="00695A7D">
        <w:trPr>
          <w:cantSplit/>
        </w:trPr>
        <w:tc>
          <w:tcPr>
            <w:tcW w:w="2126" w:type="dxa"/>
            <w:vAlign w:val="center"/>
          </w:tcPr>
          <w:p w14:paraId="650B70C0" w14:textId="77777777" w:rsidR="006350FE" w:rsidRPr="00437F01" w:rsidRDefault="006350FE" w:rsidP="00695A7D">
            <w:pPr>
              <w:pStyle w:val="TableText"/>
              <w:spacing w:after="0"/>
              <w:rPr>
                <w:i/>
              </w:rPr>
            </w:pPr>
          </w:p>
        </w:tc>
        <w:tc>
          <w:tcPr>
            <w:tcW w:w="574" w:type="dxa"/>
            <w:vAlign w:val="center"/>
          </w:tcPr>
          <w:p w14:paraId="02F167F2" w14:textId="77777777" w:rsidR="006350FE" w:rsidRPr="00437F01" w:rsidRDefault="006350FE" w:rsidP="00695A7D">
            <w:pPr>
              <w:pStyle w:val="TableText"/>
              <w:spacing w:after="0"/>
              <w:jc w:val="center"/>
            </w:pPr>
          </w:p>
        </w:tc>
        <w:tc>
          <w:tcPr>
            <w:tcW w:w="5670" w:type="dxa"/>
            <w:gridSpan w:val="2"/>
          </w:tcPr>
          <w:p w14:paraId="022D5B80" w14:textId="77777777" w:rsidR="006350FE" w:rsidRPr="00437F01" w:rsidRDefault="006350FE" w:rsidP="00695A7D">
            <w:pPr>
              <w:pStyle w:val="TableText"/>
              <w:spacing w:after="0"/>
            </w:pPr>
          </w:p>
        </w:tc>
      </w:tr>
      <w:tr w:rsidR="006350FE" w:rsidRPr="001A6E6C" w14:paraId="6C7BA592" w14:textId="77777777" w:rsidTr="00695A7D">
        <w:trPr>
          <w:cantSplit/>
        </w:trPr>
        <w:tc>
          <w:tcPr>
            <w:tcW w:w="2126" w:type="dxa"/>
            <w:vMerge w:val="restart"/>
            <w:vAlign w:val="center"/>
          </w:tcPr>
          <w:p w14:paraId="4868AA72" w14:textId="77777777" w:rsidR="006350FE" w:rsidRPr="00437F01" w:rsidRDefault="006350FE" w:rsidP="00695A7D">
            <w:pPr>
              <w:pStyle w:val="TableText"/>
              <w:spacing w:after="0"/>
            </w:pPr>
            <w:r w:rsidRPr="00437F01">
              <w:rPr>
                <w:i/>
              </w:rPr>
              <w:t>Recalculated number of Shares that each Warrant entitles to Subscribe for</w:t>
            </w:r>
          </w:p>
        </w:tc>
        <w:tc>
          <w:tcPr>
            <w:tcW w:w="574" w:type="dxa"/>
            <w:vMerge w:val="restart"/>
            <w:vAlign w:val="center"/>
          </w:tcPr>
          <w:p w14:paraId="725FBF30" w14:textId="77777777" w:rsidR="006350FE" w:rsidRPr="00437F01" w:rsidRDefault="006350FE" w:rsidP="00695A7D">
            <w:pPr>
              <w:pStyle w:val="TableText"/>
              <w:spacing w:after="0"/>
              <w:jc w:val="center"/>
            </w:pPr>
            <w:r w:rsidRPr="00437F01">
              <w:t>=</w:t>
            </w:r>
          </w:p>
        </w:tc>
        <w:tc>
          <w:tcPr>
            <w:tcW w:w="5670" w:type="dxa"/>
            <w:gridSpan w:val="2"/>
            <w:tcBorders>
              <w:bottom w:val="single" w:sz="4" w:space="0" w:color="auto"/>
            </w:tcBorders>
          </w:tcPr>
          <w:p w14:paraId="5E36843B" w14:textId="77777777" w:rsidR="006350FE" w:rsidRPr="00437F01" w:rsidRDefault="006350FE" w:rsidP="00695A7D">
            <w:pPr>
              <w:pStyle w:val="TableText"/>
              <w:spacing w:after="0"/>
            </w:pPr>
            <w:r w:rsidRPr="00437F01">
              <w:rPr>
                <w:i/>
              </w:rPr>
              <w:t>The previous number of Shares that each Warrant entitled to subscribe for x (the average price of Share increased by the theoretical value of the subscription right calculated on the basis thereof)</w:t>
            </w:r>
          </w:p>
        </w:tc>
      </w:tr>
      <w:tr w:rsidR="006350FE" w:rsidRPr="001A6E6C" w14:paraId="4395981B" w14:textId="77777777" w:rsidTr="00695A7D">
        <w:trPr>
          <w:cantSplit/>
        </w:trPr>
        <w:tc>
          <w:tcPr>
            <w:tcW w:w="2126" w:type="dxa"/>
            <w:vMerge/>
          </w:tcPr>
          <w:p w14:paraId="5E8BBF95" w14:textId="77777777" w:rsidR="006350FE" w:rsidRPr="00437F01" w:rsidRDefault="006350FE" w:rsidP="00695A7D">
            <w:pPr>
              <w:pStyle w:val="TableText"/>
              <w:spacing w:after="0"/>
            </w:pPr>
          </w:p>
        </w:tc>
        <w:tc>
          <w:tcPr>
            <w:tcW w:w="574" w:type="dxa"/>
            <w:vMerge/>
          </w:tcPr>
          <w:p w14:paraId="3241A68C" w14:textId="77777777" w:rsidR="006350FE" w:rsidRPr="00437F01" w:rsidRDefault="006350FE" w:rsidP="00695A7D">
            <w:pPr>
              <w:pStyle w:val="TableText"/>
              <w:spacing w:after="0"/>
            </w:pPr>
          </w:p>
        </w:tc>
        <w:tc>
          <w:tcPr>
            <w:tcW w:w="5670" w:type="dxa"/>
            <w:gridSpan w:val="2"/>
          </w:tcPr>
          <w:p w14:paraId="1B9F2686" w14:textId="77777777" w:rsidR="006350FE" w:rsidRPr="00437F01" w:rsidRDefault="006350FE" w:rsidP="00695A7D">
            <w:pPr>
              <w:pStyle w:val="TableText"/>
              <w:spacing w:after="0"/>
            </w:pPr>
            <w:r w:rsidRPr="00437F01">
              <w:rPr>
                <w:i/>
              </w:rPr>
              <w:t>The average price of Share</w:t>
            </w:r>
          </w:p>
        </w:tc>
      </w:tr>
      <w:tr w:rsidR="006350FE" w:rsidRPr="001A6E6C" w14:paraId="4233DCF3" w14:textId="77777777" w:rsidTr="00695A7D">
        <w:trPr>
          <w:gridAfter w:val="1"/>
          <w:wAfter w:w="7" w:type="dxa"/>
          <w:cantSplit/>
        </w:trPr>
        <w:tc>
          <w:tcPr>
            <w:tcW w:w="2126" w:type="dxa"/>
          </w:tcPr>
          <w:p w14:paraId="5CF90AD7" w14:textId="77777777" w:rsidR="006350FE" w:rsidRPr="00437F01" w:rsidRDefault="006350FE" w:rsidP="00695A7D">
            <w:pPr>
              <w:pStyle w:val="TableText"/>
              <w:spacing w:after="0"/>
            </w:pPr>
          </w:p>
        </w:tc>
        <w:tc>
          <w:tcPr>
            <w:tcW w:w="574" w:type="dxa"/>
          </w:tcPr>
          <w:p w14:paraId="5921BB70" w14:textId="77777777" w:rsidR="006350FE" w:rsidRPr="00437F01" w:rsidRDefault="006350FE" w:rsidP="00695A7D">
            <w:pPr>
              <w:pStyle w:val="TableText"/>
              <w:spacing w:after="0"/>
            </w:pPr>
          </w:p>
        </w:tc>
        <w:tc>
          <w:tcPr>
            <w:tcW w:w="5670" w:type="dxa"/>
          </w:tcPr>
          <w:p w14:paraId="7E208FA6" w14:textId="77777777" w:rsidR="006350FE" w:rsidRPr="00437F01" w:rsidRDefault="006350FE" w:rsidP="00695A7D">
            <w:pPr>
              <w:pStyle w:val="TableText"/>
              <w:spacing w:after="0"/>
              <w:rPr>
                <w:i/>
              </w:rPr>
            </w:pPr>
          </w:p>
        </w:tc>
      </w:tr>
    </w:tbl>
    <w:p w14:paraId="5AB023AD" w14:textId="77777777" w:rsidR="006350FE" w:rsidRPr="00437F01" w:rsidRDefault="006350FE" w:rsidP="006350FE">
      <w:pPr>
        <w:pStyle w:val="BodyText"/>
        <w:ind w:left="720"/>
      </w:pPr>
      <w:r w:rsidRPr="00A50800">
        <w:rPr>
          <w:lang w:val="sv-SE"/>
        </w:rPr>
        <w:t xml:space="preserve">Aktiens genomsnittskurs </w:t>
      </w:r>
      <w:r>
        <w:rPr>
          <w:lang w:val="sv-SE"/>
        </w:rPr>
        <w:t>ska</w:t>
      </w:r>
      <w:r w:rsidRPr="00A50800">
        <w:rPr>
          <w:lang w:val="sv-SE"/>
        </w:rPr>
        <w:t xml:space="preserve"> anses motsvara genomsnittet av det för varje handelsdag under teckningstiden framräknade medeltalet av den under dagen noterade högsta och lägsta betalkursen för </w:t>
      </w:r>
      <w:r>
        <w:rPr>
          <w:lang w:val="sv-SE"/>
        </w:rPr>
        <w:t>Aktie</w:t>
      </w:r>
      <w:r w:rsidRPr="00A50800">
        <w:rPr>
          <w:lang w:val="sv-SE"/>
        </w:rPr>
        <w:t xml:space="preserve">n enligt marknadsnotering. I avsaknad av notering av betalkurs </w:t>
      </w:r>
      <w:r>
        <w:rPr>
          <w:lang w:val="sv-SE"/>
        </w:rPr>
        <w:t>ska</w:t>
      </w:r>
      <w:r w:rsidRPr="00A50800">
        <w:rPr>
          <w:lang w:val="sv-SE"/>
        </w:rPr>
        <w:t xml:space="preserve"> i stället den som slutkurs noterade köpkursen ingå i beräkningen. Dag utan notering av vare sig betalkurs eller köpkurs </w:t>
      </w:r>
      <w:r>
        <w:rPr>
          <w:lang w:val="sv-SE"/>
        </w:rPr>
        <w:t>ska</w:t>
      </w:r>
      <w:r w:rsidRPr="00A50800">
        <w:rPr>
          <w:lang w:val="sv-SE"/>
        </w:rPr>
        <w:t xml:space="preserve"> inte ingå i beräkningen.</w:t>
      </w:r>
      <w:r w:rsidRPr="00A50800">
        <w:rPr>
          <w:lang w:val="sv-SE"/>
        </w:rPr>
        <w:br/>
      </w:r>
      <w:r w:rsidRPr="00437F01">
        <w:rPr>
          <w:i/>
        </w:rPr>
        <w:t xml:space="preserve">The average price of a Share shall be deemed to correspond to the average for each trading day during the </w:t>
      </w:r>
      <w:r>
        <w:rPr>
          <w:i/>
        </w:rPr>
        <w:t>s</w:t>
      </w:r>
      <w:r w:rsidRPr="00437F01">
        <w:rPr>
          <w:i/>
        </w:rPr>
        <w:t xml:space="preserve">ubscription </w:t>
      </w:r>
      <w:r>
        <w:rPr>
          <w:i/>
        </w:rPr>
        <w:t>p</w:t>
      </w:r>
      <w:r w:rsidRPr="00437F01">
        <w:rPr>
          <w:i/>
        </w:rPr>
        <w:t>eriod of the calculated mean value of the highest and lowest price paid for the Share according to market quotation. In the absence of a quoted paid price, the bid price which is quoted as the closing price shall form the basis for the calculation. Days when no paid price or bid price is quoted, shall be excluded from the calculation.</w:t>
      </w:r>
    </w:p>
    <w:p w14:paraId="3255960A" w14:textId="77777777" w:rsidR="006350FE" w:rsidRPr="00437F01" w:rsidRDefault="006350FE" w:rsidP="006350FE">
      <w:pPr>
        <w:pStyle w:val="BodyText"/>
        <w:ind w:left="720"/>
      </w:pPr>
      <w:r w:rsidRPr="006B6AC0">
        <w:rPr>
          <w:lang w:val="en-US"/>
        </w:rPr>
        <w:lastRenderedPageBreak/>
        <w:t xml:space="preserve">Det </w:t>
      </w:r>
      <w:proofErr w:type="spellStart"/>
      <w:r w:rsidRPr="006B6AC0">
        <w:rPr>
          <w:lang w:val="en-US"/>
        </w:rPr>
        <w:t>teoretiska</w:t>
      </w:r>
      <w:proofErr w:type="spellEnd"/>
      <w:r w:rsidRPr="006B6AC0">
        <w:rPr>
          <w:lang w:val="en-US"/>
        </w:rPr>
        <w:t xml:space="preserve"> </w:t>
      </w:r>
      <w:proofErr w:type="spellStart"/>
      <w:r w:rsidRPr="006B6AC0">
        <w:rPr>
          <w:lang w:val="en-US"/>
        </w:rPr>
        <w:t>värdet</w:t>
      </w:r>
      <w:proofErr w:type="spellEnd"/>
      <w:r w:rsidRPr="006B6AC0">
        <w:rPr>
          <w:lang w:val="en-US"/>
        </w:rPr>
        <w:t xml:space="preserve"> </w:t>
      </w:r>
      <w:proofErr w:type="spellStart"/>
      <w:r w:rsidRPr="006B6AC0">
        <w:rPr>
          <w:lang w:val="en-US"/>
        </w:rPr>
        <w:t>på</w:t>
      </w:r>
      <w:proofErr w:type="spellEnd"/>
      <w:r w:rsidRPr="006B6AC0">
        <w:rPr>
          <w:lang w:val="en-US"/>
        </w:rPr>
        <w:t xml:space="preserve"> </w:t>
      </w:r>
      <w:proofErr w:type="spellStart"/>
      <w:r w:rsidRPr="006B6AC0">
        <w:rPr>
          <w:lang w:val="en-US"/>
        </w:rPr>
        <w:t>teckningsrätten</w:t>
      </w:r>
      <w:proofErr w:type="spellEnd"/>
      <w:r w:rsidRPr="006B6AC0">
        <w:rPr>
          <w:lang w:val="en-US"/>
        </w:rPr>
        <w:t xml:space="preserve"> </w:t>
      </w:r>
      <w:proofErr w:type="spellStart"/>
      <w:r w:rsidRPr="006B6AC0">
        <w:rPr>
          <w:lang w:val="en-US"/>
        </w:rPr>
        <w:t>framräknas</w:t>
      </w:r>
      <w:proofErr w:type="spellEnd"/>
      <w:r w:rsidRPr="006B6AC0">
        <w:rPr>
          <w:lang w:val="en-US"/>
        </w:rPr>
        <w:t xml:space="preserve"> </w:t>
      </w:r>
      <w:proofErr w:type="spellStart"/>
      <w:r w:rsidRPr="006B6AC0">
        <w:rPr>
          <w:lang w:val="en-US"/>
        </w:rPr>
        <w:t>enligt</w:t>
      </w:r>
      <w:proofErr w:type="spellEnd"/>
      <w:r w:rsidRPr="006B6AC0">
        <w:rPr>
          <w:lang w:val="en-US"/>
        </w:rPr>
        <w:t xml:space="preserve"> </w:t>
      </w:r>
      <w:proofErr w:type="spellStart"/>
      <w:r w:rsidRPr="006B6AC0">
        <w:rPr>
          <w:lang w:val="en-US"/>
        </w:rPr>
        <w:t>följande</w:t>
      </w:r>
      <w:proofErr w:type="spellEnd"/>
      <w:r w:rsidRPr="006B6AC0">
        <w:rPr>
          <w:lang w:val="en-US"/>
        </w:rPr>
        <w:t xml:space="preserve"> </w:t>
      </w:r>
      <w:proofErr w:type="spellStart"/>
      <w:r w:rsidRPr="006B6AC0">
        <w:rPr>
          <w:lang w:val="en-US"/>
        </w:rPr>
        <w:t>formel</w:t>
      </w:r>
      <w:proofErr w:type="spellEnd"/>
      <w:r w:rsidRPr="006B6AC0">
        <w:rPr>
          <w:lang w:val="en-US"/>
        </w:rPr>
        <w:t>:</w:t>
      </w:r>
      <w:r w:rsidRPr="00437F01">
        <w:br/>
      </w:r>
      <w:r w:rsidRPr="00437F01">
        <w:rPr>
          <w:i/>
        </w:rPr>
        <w:t>The theoretical value of the subscription right shall be calculated according to the following formula:</w:t>
      </w:r>
    </w:p>
    <w:tbl>
      <w:tblPr>
        <w:tblW w:w="0" w:type="auto"/>
        <w:tblInd w:w="630" w:type="dxa"/>
        <w:tblBorders>
          <w:top w:val="nil"/>
          <w:left w:val="nil"/>
          <w:bottom w:val="nil"/>
          <w:right w:val="nil"/>
          <w:insideH w:val="nil"/>
          <w:insideV w:val="nil"/>
        </w:tblBorders>
        <w:tblLook w:val="04A0" w:firstRow="1" w:lastRow="0" w:firstColumn="1" w:lastColumn="0" w:noHBand="0" w:noVBand="1"/>
      </w:tblPr>
      <w:tblGrid>
        <w:gridCol w:w="2126"/>
        <w:gridCol w:w="567"/>
        <w:gridCol w:w="5677"/>
      </w:tblGrid>
      <w:tr w:rsidR="006350FE" w:rsidRPr="00D00630" w14:paraId="15E32650" w14:textId="77777777" w:rsidTr="00695A7D">
        <w:trPr>
          <w:cantSplit/>
        </w:trPr>
        <w:tc>
          <w:tcPr>
            <w:tcW w:w="2126" w:type="dxa"/>
            <w:vMerge w:val="restart"/>
            <w:vAlign w:val="center"/>
          </w:tcPr>
          <w:p w14:paraId="1869D095" w14:textId="77777777" w:rsidR="006350FE" w:rsidRPr="00437F01" w:rsidRDefault="006350FE" w:rsidP="00695A7D">
            <w:pPr>
              <w:pStyle w:val="TableText"/>
              <w:spacing w:after="0"/>
            </w:pPr>
            <w:proofErr w:type="spellStart"/>
            <w:r w:rsidRPr="00437F01">
              <w:t>Teckningsrättens</w:t>
            </w:r>
            <w:proofErr w:type="spellEnd"/>
            <w:r w:rsidRPr="00437F01">
              <w:t xml:space="preserve"> </w:t>
            </w:r>
            <w:proofErr w:type="spellStart"/>
            <w:r w:rsidRPr="00437F01">
              <w:t>värde</w:t>
            </w:r>
            <w:proofErr w:type="spellEnd"/>
          </w:p>
        </w:tc>
        <w:tc>
          <w:tcPr>
            <w:tcW w:w="567" w:type="dxa"/>
            <w:vMerge w:val="restart"/>
            <w:vAlign w:val="center"/>
          </w:tcPr>
          <w:p w14:paraId="2E739A87" w14:textId="77777777" w:rsidR="006350FE" w:rsidRPr="00437F01" w:rsidRDefault="006350FE" w:rsidP="00695A7D">
            <w:pPr>
              <w:pStyle w:val="TableText"/>
              <w:spacing w:after="0"/>
            </w:pPr>
            <w:r w:rsidRPr="00437F01">
              <w:t>=</w:t>
            </w:r>
          </w:p>
        </w:tc>
        <w:tc>
          <w:tcPr>
            <w:tcW w:w="5677" w:type="dxa"/>
            <w:tcBorders>
              <w:bottom w:val="single" w:sz="4" w:space="0" w:color="auto"/>
            </w:tcBorders>
          </w:tcPr>
          <w:p w14:paraId="23FC01F0" w14:textId="77777777" w:rsidR="006350FE" w:rsidRPr="00A50800" w:rsidRDefault="006350FE" w:rsidP="00695A7D">
            <w:pPr>
              <w:pStyle w:val="TableText"/>
              <w:spacing w:after="0"/>
              <w:rPr>
                <w:lang w:val="sv-SE"/>
              </w:rPr>
            </w:pPr>
            <w:r w:rsidRPr="00A50800">
              <w:rPr>
                <w:lang w:val="sv-SE"/>
              </w:rPr>
              <w:t xml:space="preserve">Det </w:t>
            </w:r>
            <w:r w:rsidRPr="00463194">
              <w:rPr>
                <w:lang w:val="sv-SE"/>
              </w:rPr>
              <w:t>antal</w:t>
            </w:r>
            <w:r w:rsidRPr="00A50800">
              <w:rPr>
                <w:lang w:val="sv-SE"/>
              </w:rPr>
              <w:t xml:space="preserve"> nya Aktier som högst kan komma att utges enligt </w:t>
            </w:r>
            <w:proofErr w:type="spellStart"/>
            <w:r w:rsidRPr="00A50800">
              <w:rPr>
                <w:lang w:val="sv-SE"/>
              </w:rPr>
              <w:t>emissionsbeslutet</w:t>
            </w:r>
            <w:proofErr w:type="spellEnd"/>
            <w:r w:rsidRPr="00A50800">
              <w:rPr>
                <w:lang w:val="sv-SE"/>
              </w:rPr>
              <w:t xml:space="preserve"> </w:t>
            </w:r>
            <w:r w:rsidRPr="00A50800">
              <w:rPr>
                <w:i/>
                <w:lang w:val="sv-SE"/>
              </w:rPr>
              <w:t>x</w:t>
            </w:r>
            <w:r w:rsidRPr="00A50800">
              <w:rPr>
                <w:lang w:val="sv-SE"/>
              </w:rPr>
              <w:t xml:space="preserve"> (</w:t>
            </w:r>
            <w:r>
              <w:rPr>
                <w:lang w:val="sv-SE"/>
              </w:rPr>
              <w:t>Aktie</w:t>
            </w:r>
            <w:r w:rsidRPr="00A50800">
              <w:rPr>
                <w:lang w:val="sv-SE"/>
              </w:rPr>
              <w:t>ns genomsnittskurs minus teckningskursen för den nya Aktien)</w:t>
            </w:r>
          </w:p>
        </w:tc>
      </w:tr>
      <w:tr w:rsidR="006350FE" w:rsidRPr="00437F01" w14:paraId="27FB0C68" w14:textId="77777777" w:rsidTr="00695A7D">
        <w:trPr>
          <w:cantSplit/>
        </w:trPr>
        <w:tc>
          <w:tcPr>
            <w:tcW w:w="2126" w:type="dxa"/>
            <w:vMerge/>
          </w:tcPr>
          <w:p w14:paraId="46418189" w14:textId="77777777" w:rsidR="006350FE" w:rsidRPr="00A50800" w:rsidRDefault="006350FE" w:rsidP="00695A7D">
            <w:pPr>
              <w:pStyle w:val="TableText"/>
              <w:spacing w:after="0"/>
              <w:rPr>
                <w:lang w:val="sv-SE"/>
              </w:rPr>
            </w:pPr>
          </w:p>
        </w:tc>
        <w:tc>
          <w:tcPr>
            <w:tcW w:w="567" w:type="dxa"/>
            <w:vMerge/>
          </w:tcPr>
          <w:p w14:paraId="5A1340A1" w14:textId="77777777" w:rsidR="006350FE" w:rsidRPr="00A50800" w:rsidRDefault="006350FE" w:rsidP="00695A7D">
            <w:pPr>
              <w:pStyle w:val="TableText"/>
              <w:spacing w:after="0"/>
              <w:rPr>
                <w:lang w:val="sv-SE"/>
              </w:rPr>
            </w:pPr>
          </w:p>
        </w:tc>
        <w:tc>
          <w:tcPr>
            <w:tcW w:w="5677" w:type="dxa"/>
            <w:tcBorders>
              <w:top w:val="single" w:sz="4" w:space="0" w:color="auto"/>
            </w:tcBorders>
          </w:tcPr>
          <w:p w14:paraId="2FA354DA" w14:textId="77777777" w:rsidR="006350FE" w:rsidRPr="00437F01" w:rsidRDefault="006350FE" w:rsidP="00695A7D">
            <w:pPr>
              <w:pStyle w:val="TableText"/>
              <w:spacing w:after="0"/>
            </w:pPr>
            <w:proofErr w:type="spellStart"/>
            <w:r w:rsidRPr="00437F01">
              <w:t>Antalet</w:t>
            </w:r>
            <w:proofErr w:type="spellEnd"/>
            <w:r w:rsidRPr="00437F01">
              <w:t xml:space="preserve"> </w:t>
            </w:r>
            <w:proofErr w:type="spellStart"/>
            <w:r w:rsidRPr="00437F01">
              <w:t>Aktier</w:t>
            </w:r>
            <w:proofErr w:type="spellEnd"/>
            <w:r w:rsidRPr="00437F01">
              <w:t xml:space="preserve"> </w:t>
            </w:r>
            <w:proofErr w:type="spellStart"/>
            <w:r w:rsidRPr="00437F01">
              <w:t>före</w:t>
            </w:r>
            <w:proofErr w:type="spellEnd"/>
            <w:r w:rsidRPr="00437F01">
              <w:t xml:space="preserve"> </w:t>
            </w:r>
            <w:proofErr w:type="spellStart"/>
            <w:r w:rsidRPr="00437F01">
              <w:t>emissionsbeslutet</w:t>
            </w:r>
            <w:proofErr w:type="spellEnd"/>
          </w:p>
        </w:tc>
      </w:tr>
      <w:tr w:rsidR="006350FE" w:rsidRPr="001A6E6C" w14:paraId="6CCF29A6" w14:textId="77777777" w:rsidTr="00695A7D">
        <w:trPr>
          <w:cantSplit/>
        </w:trPr>
        <w:tc>
          <w:tcPr>
            <w:tcW w:w="2126" w:type="dxa"/>
            <w:vMerge w:val="restart"/>
            <w:vAlign w:val="center"/>
          </w:tcPr>
          <w:p w14:paraId="6517CA1F" w14:textId="77777777" w:rsidR="006350FE" w:rsidRPr="00437F01" w:rsidRDefault="006350FE" w:rsidP="00695A7D">
            <w:pPr>
              <w:pStyle w:val="TableText"/>
              <w:spacing w:after="0"/>
            </w:pPr>
            <w:r w:rsidRPr="00437F01">
              <w:rPr>
                <w:i/>
              </w:rPr>
              <w:t>The value of a subscription right</w:t>
            </w:r>
          </w:p>
        </w:tc>
        <w:tc>
          <w:tcPr>
            <w:tcW w:w="567" w:type="dxa"/>
            <w:vMerge w:val="restart"/>
            <w:vAlign w:val="center"/>
          </w:tcPr>
          <w:p w14:paraId="5CB1E705" w14:textId="77777777" w:rsidR="006350FE" w:rsidRPr="00437F01" w:rsidRDefault="006350FE" w:rsidP="00695A7D">
            <w:pPr>
              <w:pStyle w:val="TableText"/>
              <w:spacing w:after="0"/>
            </w:pPr>
            <w:r w:rsidRPr="00437F01">
              <w:t>=</w:t>
            </w:r>
          </w:p>
        </w:tc>
        <w:tc>
          <w:tcPr>
            <w:tcW w:w="5677" w:type="dxa"/>
            <w:tcBorders>
              <w:bottom w:val="single" w:sz="4" w:space="0" w:color="auto"/>
            </w:tcBorders>
          </w:tcPr>
          <w:p w14:paraId="2FF889E7" w14:textId="77777777" w:rsidR="006350FE" w:rsidRPr="00437F01" w:rsidRDefault="006350FE" w:rsidP="00695A7D">
            <w:pPr>
              <w:pStyle w:val="TableText"/>
              <w:spacing w:after="0"/>
              <w:rPr>
                <w:i/>
              </w:rPr>
            </w:pPr>
            <w:r w:rsidRPr="00437F01">
              <w:rPr>
                <w:i/>
              </w:rPr>
              <w:t xml:space="preserve">The </w:t>
            </w:r>
            <w:r w:rsidRPr="006B6AC0">
              <w:t>maximum</w:t>
            </w:r>
            <w:r w:rsidRPr="00437F01">
              <w:rPr>
                <w:i/>
              </w:rPr>
              <w:t xml:space="preserve"> number of new Shares which may be issued pursuant to the issue resolution x (the average price of share minus the Subscription Price for the new Share)</w:t>
            </w:r>
          </w:p>
        </w:tc>
      </w:tr>
      <w:tr w:rsidR="006350FE" w:rsidRPr="001A6E6C" w14:paraId="5446D9E0" w14:textId="77777777" w:rsidTr="00695A7D">
        <w:trPr>
          <w:cantSplit/>
        </w:trPr>
        <w:tc>
          <w:tcPr>
            <w:tcW w:w="2126" w:type="dxa"/>
            <w:vMerge/>
          </w:tcPr>
          <w:p w14:paraId="627DB120" w14:textId="77777777" w:rsidR="006350FE" w:rsidRPr="00437F01" w:rsidRDefault="006350FE" w:rsidP="00695A7D">
            <w:pPr>
              <w:pStyle w:val="TableText"/>
              <w:spacing w:after="0"/>
            </w:pPr>
          </w:p>
        </w:tc>
        <w:tc>
          <w:tcPr>
            <w:tcW w:w="567" w:type="dxa"/>
            <w:vMerge/>
          </w:tcPr>
          <w:p w14:paraId="0B010127" w14:textId="77777777" w:rsidR="006350FE" w:rsidRPr="00437F01" w:rsidRDefault="006350FE" w:rsidP="00695A7D">
            <w:pPr>
              <w:pStyle w:val="TableText"/>
              <w:spacing w:after="0"/>
            </w:pPr>
          </w:p>
        </w:tc>
        <w:tc>
          <w:tcPr>
            <w:tcW w:w="5677" w:type="dxa"/>
            <w:tcBorders>
              <w:top w:val="single" w:sz="4" w:space="0" w:color="auto"/>
              <w:bottom w:val="nil"/>
            </w:tcBorders>
          </w:tcPr>
          <w:p w14:paraId="4095F78E" w14:textId="77777777" w:rsidR="006350FE" w:rsidRPr="00437F01" w:rsidRDefault="006350FE" w:rsidP="00695A7D">
            <w:pPr>
              <w:pStyle w:val="TableText"/>
              <w:spacing w:after="0"/>
            </w:pPr>
            <w:r w:rsidRPr="006B6AC0">
              <w:rPr>
                <w:i/>
                <w:iCs/>
              </w:rPr>
              <w:t>The number of Shares prior to the issue resolution</w:t>
            </w:r>
          </w:p>
        </w:tc>
      </w:tr>
      <w:tr w:rsidR="006350FE" w:rsidRPr="001A6E6C" w14:paraId="0BA18425" w14:textId="77777777" w:rsidTr="00695A7D">
        <w:trPr>
          <w:cantSplit/>
        </w:trPr>
        <w:tc>
          <w:tcPr>
            <w:tcW w:w="2126" w:type="dxa"/>
          </w:tcPr>
          <w:p w14:paraId="3D2157AB" w14:textId="77777777" w:rsidR="006350FE" w:rsidRPr="00437F01" w:rsidRDefault="006350FE" w:rsidP="00695A7D">
            <w:pPr>
              <w:pStyle w:val="TableText"/>
              <w:spacing w:after="0"/>
            </w:pPr>
          </w:p>
        </w:tc>
        <w:tc>
          <w:tcPr>
            <w:tcW w:w="567" w:type="dxa"/>
            <w:tcBorders>
              <w:right w:val="nil"/>
            </w:tcBorders>
          </w:tcPr>
          <w:p w14:paraId="432D072C" w14:textId="77777777" w:rsidR="006350FE" w:rsidRPr="00437F01" w:rsidRDefault="006350FE" w:rsidP="00695A7D">
            <w:pPr>
              <w:pStyle w:val="TableText"/>
              <w:spacing w:after="0"/>
            </w:pPr>
          </w:p>
        </w:tc>
        <w:tc>
          <w:tcPr>
            <w:tcW w:w="5677" w:type="dxa"/>
            <w:tcBorders>
              <w:top w:val="nil"/>
              <w:left w:val="nil"/>
              <w:bottom w:val="nil"/>
              <w:right w:val="nil"/>
            </w:tcBorders>
          </w:tcPr>
          <w:p w14:paraId="31790AD6" w14:textId="77777777" w:rsidR="006350FE" w:rsidRPr="002A1EA0" w:rsidRDefault="006350FE" w:rsidP="00695A7D">
            <w:pPr>
              <w:pStyle w:val="TableText"/>
              <w:spacing w:after="120"/>
              <w:rPr>
                <w:i/>
                <w:iCs/>
              </w:rPr>
            </w:pPr>
          </w:p>
        </w:tc>
      </w:tr>
    </w:tbl>
    <w:p w14:paraId="4E572F18" w14:textId="77777777" w:rsidR="006350FE" w:rsidRPr="00437F01" w:rsidRDefault="006350FE" w:rsidP="006350FE">
      <w:pPr>
        <w:pStyle w:val="BodyText"/>
        <w:ind w:left="720"/>
      </w:pPr>
      <w:r w:rsidRPr="00A50800">
        <w:rPr>
          <w:lang w:val="sv-SE"/>
        </w:rPr>
        <w:t xml:space="preserve">Vid omräkning enligt ovanstående formel </w:t>
      </w:r>
      <w:r>
        <w:rPr>
          <w:lang w:val="sv-SE"/>
        </w:rPr>
        <w:t>ska</w:t>
      </w:r>
      <w:r w:rsidRPr="00A50800">
        <w:rPr>
          <w:lang w:val="sv-SE"/>
        </w:rPr>
        <w:t xml:space="preserve"> bortses från Aktier som innehas av Bolaget. Uppstår ett negativt värde, </w:t>
      </w:r>
      <w:r>
        <w:rPr>
          <w:lang w:val="sv-SE"/>
        </w:rPr>
        <w:t>ska</w:t>
      </w:r>
      <w:r w:rsidRPr="00A50800">
        <w:rPr>
          <w:lang w:val="sv-SE"/>
        </w:rPr>
        <w:t xml:space="preserve"> det teoretiska värdet på teckningsrätten bestämmas till noll.</w:t>
      </w:r>
      <w:r w:rsidRPr="00A50800">
        <w:rPr>
          <w:lang w:val="sv-SE"/>
        </w:rPr>
        <w:br/>
      </w:r>
      <w:r w:rsidRPr="00437F01">
        <w:rPr>
          <w:i/>
        </w:rPr>
        <w:t>When recalculating in accordance with the above formula, any Shares held by the Company shall be disregarded. If a negative value arises, the theoretical value of the subscription right shall be determined to be zero.</w:t>
      </w:r>
    </w:p>
    <w:p w14:paraId="01B699A5" w14:textId="77777777" w:rsidR="006350FE" w:rsidRPr="00437F01" w:rsidRDefault="006350FE" w:rsidP="006350FE">
      <w:pPr>
        <w:pStyle w:val="BodyText"/>
        <w:ind w:left="720"/>
      </w:pPr>
      <w:r w:rsidRPr="00A50800">
        <w:rPr>
          <w:lang w:val="sv-SE"/>
        </w:rPr>
        <w:t xml:space="preserve">Enligt ovan omräknad Teckningskurs och omräknat antal Aktier </w:t>
      </w:r>
      <w:r>
        <w:rPr>
          <w:lang w:val="sv-SE"/>
        </w:rPr>
        <w:t>ska</w:t>
      </w:r>
      <w:r w:rsidRPr="00A50800">
        <w:rPr>
          <w:lang w:val="sv-SE"/>
        </w:rPr>
        <w:t xml:space="preserve"> fastställas av Bolaget två Bankdagar efter </w:t>
      </w:r>
      <w:r>
        <w:rPr>
          <w:lang w:val="sv-SE"/>
        </w:rPr>
        <w:t>t</w:t>
      </w:r>
      <w:r w:rsidRPr="00A50800">
        <w:rPr>
          <w:lang w:val="sv-SE"/>
        </w:rPr>
        <w:t xml:space="preserve">eckningstidens utgång och </w:t>
      </w:r>
      <w:r>
        <w:rPr>
          <w:lang w:val="sv-SE"/>
        </w:rPr>
        <w:t>ska</w:t>
      </w:r>
      <w:r w:rsidRPr="00A50800">
        <w:rPr>
          <w:lang w:val="sv-SE"/>
        </w:rPr>
        <w:t xml:space="preserve"> tillämpas vid Teckning, som verkställs därefter.</w:t>
      </w:r>
      <w:r w:rsidRPr="00A50800">
        <w:rPr>
          <w:lang w:val="sv-SE"/>
        </w:rPr>
        <w:br/>
      </w:r>
      <w:r w:rsidRPr="00437F01">
        <w:rPr>
          <w:i/>
        </w:rPr>
        <w:t xml:space="preserve">The recalculated Subscription Price and the recalculated number of Shares </w:t>
      </w:r>
      <w:proofErr w:type="gramStart"/>
      <w:r w:rsidRPr="00437F01">
        <w:rPr>
          <w:i/>
        </w:rPr>
        <w:t>as set</w:t>
      </w:r>
      <w:proofErr w:type="gramEnd"/>
      <w:r w:rsidRPr="00437F01">
        <w:rPr>
          <w:i/>
        </w:rPr>
        <w:t xml:space="preserve"> forth above shall be determined by the Company two Business days after the expiration of the </w:t>
      </w:r>
      <w:r>
        <w:rPr>
          <w:i/>
        </w:rPr>
        <w:t>s</w:t>
      </w:r>
      <w:r w:rsidRPr="00437F01">
        <w:rPr>
          <w:i/>
        </w:rPr>
        <w:t xml:space="preserve">ubscription </w:t>
      </w:r>
      <w:proofErr w:type="gramStart"/>
      <w:r>
        <w:rPr>
          <w:i/>
        </w:rPr>
        <w:t>p</w:t>
      </w:r>
      <w:r w:rsidRPr="00437F01">
        <w:rPr>
          <w:i/>
        </w:rPr>
        <w:t>eriod and</w:t>
      </w:r>
      <w:proofErr w:type="gramEnd"/>
      <w:r w:rsidRPr="00437F01">
        <w:rPr>
          <w:i/>
        </w:rPr>
        <w:t xml:space="preserve"> shall apply to Subscriptions executed thereafter.</w:t>
      </w:r>
    </w:p>
    <w:p w14:paraId="5530EDF6" w14:textId="77777777" w:rsidR="006350FE" w:rsidRPr="00437F01" w:rsidRDefault="006350FE" w:rsidP="006350FE">
      <w:pPr>
        <w:pStyle w:val="BodyText"/>
        <w:ind w:left="720"/>
      </w:pPr>
      <w:r w:rsidRPr="002645AA">
        <w:rPr>
          <w:lang w:val="sv-SE"/>
        </w:rPr>
        <w:t xml:space="preserve">Under tiden till dess att omräknad Teckningskurs och omräknat antal Aktier som varje Teckningsoption berättigar till Teckning av fastställts, verkställs Teckning endast preliminärt, varvid det antal Aktier, som varje Teckningsoption före omräkning berättigar till Teckning av, upptas interimistiskt på avstämningskonto. Dessutom noteras särskilt att varje Teckningsoption efter omräkningar kan berättiga till ytterligare Aktier. </w:t>
      </w:r>
      <w:proofErr w:type="spellStart"/>
      <w:r w:rsidRPr="006B6AC0">
        <w:rPr>
          <w:lang w:val="en-US"/>
        </w:rPr>
        <w:t>Slutlig</w:t>
      </w:r>
      <w:proofErr w:type="spellEnd"/>
      <w:r w:rsidRPr="006B6AC0">
        <w:rPr>
          <w:lang w:val="en-US"/>
        </w:rPr>
        <w:t xml:space="preserve"> </w:t>
      </w:r>
      <w:proofErr w:type="spellStart"/>
      <w:r w:rsidRPr="006B6AC0">
        <w:rPr>
          <w:lang w:val="en-US"/>
        </w:rPr>
        <w:t>registrering</w:t>
      </w:r>
      <w:proofErr w:type="spellEnd"/>
      <w:r w:rsidRPr="006B6AC0">
        <w:rPr>
          <w:lang w:val="en-US"/>
        </w:rPr>
        <w:t xml:space="preserve"> </w:t>
      </w:r>
      <w:proofErr w:type="spellStart"/>
      <w:r w:rsidRPr="006B6AC0">
        <w:rPr>
          <w:lang w:val="en-US"/>
        </w:rPr>
        <w:t>på</w:t>
      </w:r>
      <w:proofErr w:type="spellEnd"/>
      <w:r w:rsidRPr="006B6AC0">
        <w:rPr>
          <w:lang w:val="en-US"/>
        </w:rPr>
        <w:t xml:space="preserve"> </w:t>
      </w:r>
      <w:proofErr w:type="spellStart"/>
      <w:r w:rsidRPr="006B6AC0">
        <w:rPr>
          <w:lang w:val="en-US"/>
        </w:rPr>
        <w:t>avstämningskontot</w:t>
      </w:r>
      <w:proofErr w:type="spellEnd"/>
      <w:r w:rsidRPr="006B6AC0">
        <w:rPr>
          <w:lang w:val="en-US"/>
        </w:rPr>
        <w:t xml:space="preserve"> </w:t>
      </w:r>
      <w:proofErr w:type="spellStart"/>
      <w:r w:rsidRPr="006B6AC0">
        <w:rPr>
          <w:lang w:val="en-US"/>
        </w:rPr>
        <w:t>sker</w:t>
      </w:r>
      <w:proofErr w:type="spellEnd"/>
      <w:r w:rsidRPr="006B6AC0">
        <w:rPr>
          <w:lang w:val="en-US"/>
        </w:rPr>
        <w:t xml:space="preserve"> sedan </w:t>
      </w:r>
      <w:proofErr w:type="spellStart"/>
      <w:r w:rsidRPr="006B6AC0">
        <w:rPr>
          <w:lang w:val="en-US"/>
        </w:rPr>
        <w:t>omräkningarna</w:t>
      </w:r>
      <w:proofErr w:type="spellEnd"/>
      <w:r w:rsidRPr="006B6AC0">
        <w:rPr>
          <w:lang w:val="en-US"/>
        </w:rPr>
        <w:t xml:space="preserve"> </w:t>
      </w:r>
      <w:proofErr w:type="spellStart"/>
      <w:r w:rsidRPr="006B6AC0">
        <w:rPr>
          <w:lang w:val="en-US"/>
        </w:rPr>
        <w:t>fastställts</w:t>
      </w:r>
      <w:proofErr w:type="spellEnd"/>
      <w:r w:rsidRPr="006B6AC0">
        <w:rPr>
          <w:lang w:val="en-US"/>
        </w:rPr>
        <w:t>.</w:t>
      </w:r>
      <w:r w:rsidRPr="00437F01">
        <w:br/>
      </w:r>
      <w:r w:rsidRPr="00437F01">
        <w:rPr>
          <w:i/>
        </w:rPr>
        <w:t xml:space="preserve">During the period until the recalculated Subscription Price and recalculated number of Shares that each Warrant entitles to subscribe for are determined, Subscription shall only be executed on a preliminary basis, whereupon the full number of Shares according to the not yet recalculated number of Shares will be registered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on an interim basis. In addition, a special note shall be recorded to the effect that the Warrant may entitle the </w:t>
      </w:r>
      <w:r>
        <w:rPr>
          <w:i/>
        </w:rPr>
        <w:t xml:space="preserve">Warrant </w:t>
      </w:r>
      <w:r w:rsidRPr="00437F01">
        <w:rPr>
          <w:i/>
        </w:rPr>
        <w:t xml:space="preserve">Holder to additional shares pursuant to the recalculated number of Shares. Final registration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shall be </w:t>
      </w:r>
      <w:proofErr w:type="gramStart"/>
      <w:r w:rsidRPr="00437F01">
        <w:rPr>
          <w:i/>
        </w:rPr>
        <w:t>effected</w:t>
      </w:r>
      <w:proofErr w:type="gramEnd"/>
      <w:r w:rsidRPr="00437F01">
        <w:rPr>
          <w:i/>
        </w:rPr>
        <w:t xml:space="preserve"> following the determination of the recalculations.</w:t>
      </w:r>
    </w:p>
    <w:p w14:paraId="5125D7DA" w14:textId="77777777" w:rsidR="006350FE" w:rsidRPr="00437F01" w:rsidRDefault="006350FE" w:rsidP="007C4B62">
      <w:pPr>
        <w:pStyle w:val="BodyText"/>
        <w:numPr>
          <w:ilvl w:val="2"/>
          <w:numId w:val="57"/>
        </w:numPr>
        <w:spacing w:after="0"/>
        <w:rPr>
          <w:b/>
        </w:rPr>
      </w:pPr>
      <w:proofErr w:type="spellStart"/>
      <w:r w:rsidRPr="006B6AC0">
        <w:rPr>
          <w:b/>
          <w:lang w:val="en-US"/>
        </w:rPr>
        <w:t>Nyemission</w:t>
      </w:r>
      <w:proofErr w:type="spellEnd"/>
      <w:r w:rsidRPr="006B6AC0">
        <w:rPr>
          <w:b/>
          <w:lang w:val="en-US"/>
        </w:rPr>
        <w:t xml:space="preserve"> av </w:t>
      </w:r>
      <w:proofErr w:type="spellStart"/>
      <w:r w:rsidRPr="006B6AC0">
        <w:rPr>
          <w:b/>
          <w:lang w:val="en-US"/>
        </w:rPr>
        <w:t>teckningsoptioner</w:t>
      </w:r>
      <w:proofErr w:type="spellEnd"/>
      <w:r w:rsidRPr="006B6AC0">
        <w:rPr>
          <w:b/>
          <w:lang w:val="en-US"/>
        </w:rPr>
        <w:t xml:space="preserve"> </w:t>
      </w:r>
      <w:proofErr w:type="spellStart"/>
      <w:r w:rsidRPr="006B6AC0">
        <w:rPr>
          <w:b/>
          <w:lang w:val="en-US"/>
        </w:rPr>
        <w:t>eller</w:t>
      </w:r>
      <w:proofErr w:type="spellEnd"/>
      <w:r w:rsidRPr="006B6AC0">
        <w:rPr>
          <w:b/>
          <w:lang w:val="en-US"/>
        </w:rPr>
        <w:t xml:space="preserve"> </w:t>
      </w:r>
      <w:proofErr w:type="spellStart"/>
      <w:r w:rsidRPr="006B6AC0">
        <w:rPr>
          <w:b/>
          <w:lang w:val="en-US"/>
        </w:rPr>
        <w:t>konvertibler</w:t>
      </w:r>
      <w:proofErr w:type="spellEnd"/>
      <w:r w:rsidRPr="006B6AC0">
        <w:rPr>
          <w:b/>
          <w:lang w:val="en-US"/>
        </w:rPr>
        <w:t xml:space="preserve"> med </w:t>
      </w:r>
      <w:proofErr w:type="spellStart"/>
      <w:r w:rsidRPr="006B6AC0">
        <w:rPr>
          <w:b/>
          <w:lang w:val="en-US"/>
        </w:rPr>
        <w:t>företrädesrätt</w:t>
      </w:r>
      <w:proofErr w:type="spellEnd"/>
      <w:r w:rsidRPr="00437F01">
        <w:rPr>
          <w:b/>
        </w:rPr>
        <w:t>/</w:t>
      </w:r>
      <w:r w:rsidRPr="00437F01">
        <w:rPr>
          <w:b/>
          <w:i/>
        </w:rPr>
        <w:t>Issue of warrants and convertibles in accordance with the shareholders' priority rights</w:t>
      </w:r>
    </w:p>
    <w:p w14:paraId="33D69CBD" w14:textId="77777777" w:rsidR="006350FE" w:rsidRPr="00437F01" w:rsidRDefault="006350FE" w:rsidP="006350FE">
      <w:pPr>
        <w:pStyle w:val="BodyText"/>
        <w:ind w:left="720"/>
      </w:pPr>
      <w:r w:rsidRPr="00A50800">
        <w:rPr>
          <w:lang w:val="sv-SE"/>
        </w:rPr>
        <w:t xml:space="preserve">Genomför Bolaget en </w:t>
      </w:r>
      <w:r w:rsidRPr="00A50800">
        <w:rPr>
          <w:u w:val="single"/>
          <w:lang w:val="sv-SE"/>
        </w:rPr>
        <w:t xml:space="preserve">emission enligt 14 kap. eller 15 kap. </w:t>
      </w:r>
      <w:r>
        <w:rPr>
          <w:u w:val="single"/>
          <w:lang w:val="sv-SE"/>
        </w:rPr>
        <w:t>A</w:t>
      </w:r>
      <w:r w:rsidRPr="00A50800">
        <w:rPr>
          <w:u w:val="single"/>
          <w:lang w:val="sv-SE"/>
        </w:rPr>
        <w:t>ktiebolagslagen</w:t>
      </w:r>
      <w:r w:rsidRPr="00A50800">
        <w:rPr>
          <w:lang w:val="sv-SE"/>
        </w:rPr>
        <w:t xml:space="preserve"> – med företrädesrätt för aktieägarna och mot kontant betalning eller genom kvittning – </w:t>
      </w:r>
      <w:r>
        <w:rPr>
          <w:lang w:val="sv-SE"/>
        </w:rPr>
        <w:t>ska</w:t>
      </w:r>
      <w:r w:rsidRPr="00A50800">
        <w:rPr>
          <w:lang w:val="sv-SE"/>
        </w:rPr>
        <w:t xml:space="preserve"> beträffande rätten till deltagande i emissionen för Aktie, som tillkommit på grund av Teckning med utnyttjande av Teckningsoption bestämmelserna i punkterna</w:t>
      </w:r>
      <w:r w:rsidRPr="003679A8">
        <w:rPr>
          <w:szCs w:val="22"/>
          <w:lang w:val="sv-SE"/>
        </w:rPr>
        <w:t xml:space="preserve"> </w:t>
      </w:r>
      <w:r>
        <w:rPr>
          <w:szCs w:val="22"/>
          <w:lang w:val="sv-SE"/>
        </w:rPr>
        <w:fldChar w:fldCharType="begin"/>
      </w:r>
      <w:r>
        <w:rPr>
          <w:szCs w:val="22"/>
          <w:lang w:val="sv-SE"/>
        </w:rPr>
        <w:instrText xml:space="preserve"> REF _Ref167349330 \r \h </w:instrText>
      </w:r>
      <w:r>
        <w:rPr>
          <w:szCs w:val="22"/>
          <w:lang w:val="sv-SE"/>
        </w:rPr>
      </w:r>
      <w:r>
        <w:rPr>
          <w:szCs w:val="22"/>
          <w:lang w:val="sv-SE"/>
        </w:rPr>
        <w:fldChar w:fldCharType="separate"/>
      </w:r>
      <w:r>
        <w:rPr>
          <w:szCs w:val="22"/>
          <w:lang w:val="sv-SE"/>
        </w:rPr>
        <w:t>8.2.4.I</w:t>
      </w:r>
      <w:r>
        <w:rPr>
          <w:szCs w:val="22"/>
          <w:lang w:val="sv-SE"/>
        </w:rPr>
        <w:fldChar w:fldCharType="end"/>
      </w:r>
      <w:r w:rsidRPr="00A50800">
        <w:rPr>
          <w:lang w:val="sv-SE"/>
        </w:rPr>
        <w:t xml:space="preserve">, och </w:t>
      </w:r>
      <w:r>
        <w:rPr>
          <w:szCs w:val="22"/>
        </w:rPr>
        <w:fldChar w:fldCharType="begin"/>
      </w:r>
      <w:r>
        <w:rPr>
          <w:lang w:val="sv-SE"/>
        </w:rPr>
        <w:instrText xml:space="preserve"> REF _Ref167349244 \r \h </w:instrText>
      </w:r>
      <w:r>
        <w:rPr>
          <w:szCs w:val="22"/>
        </w:rPr>
      </w:r>
      <w:r>
        <w:rPr>
          <w:szCs w:val="22"/>
        </w:rPr>
        <w:fldChar w:fldCharType="separate"/>
      </w:r>
      <w:r>
        <w:rPr>
          <w:lang w:val="sv-SE"/>
        </w:rPr>
        <w:t>8.2.4.II</w:t>
      </w:r>
      <w:r>
        <w:rPr>
          <w:szCs w:val="22"/>
        </w:rPr>
        <w:fldChar w:fldCharType="end"/>
      </w:r>
      <w:r w:rsidRPr="00A50800">
        <w:rPr>
          <w:lang w:val="sv-SE"/>
        </w:rPr>
        <w:t xml:space="preserve"> första stycket (i) och (ii) ovan äga motsvarande tillämpning.</w:t>
      </w:r>
      <w:r w:rsidRPr="00A50800">
        <w:rPr>
          <w:lang w:val="sv-SE"/>
        </w:rPr>
        <w:br/>
      </w:r>
      <w:r w:rsidRPr="00437F01">
        <w:rPr>
          <w:i/>
        </w:rPr>
        <w:t>Where the Company carries out an</w:t>
      </w:r>
      <w:r w:rsidRPr="00437F01">
        <w:rPr>
          <w:i/>
          <w:u w:val="single"/>
        </w:rPr>
        <w:t xml:space="preserve"> issue in accordance with Ch. 14 or Ch. 15 of the </w:t>
      </w:r>
      <w:r>
        <w:rPr>
          <w:i/>
          <w:u w:val="single"/>
        </w:rPr>
        <w:t xml:space="preserve">Swedish </w:t>
      </w:r>
      <w:r w:rsidRPr="00437F01">
        <w:rPr>
          <w:i/>
          <w:u w:val="single"/>
        </w:rPr>
        <w:t>Companies Act</w:t>
      </w:r>
      <w:r w:rsidRPr="00437F01">
        <w:rPr>
          <w:i/>
        </w:rPr>
        <w:t xml:space="preserve"> – with </w:t>
      </w:r>
      <w:r>
        <w:rPr>
          <w:i/>
        </w:rPr>
        <w:t>preferential</w:t>
      </w:r>
      <w:r w:rsidRPr="00437F01">
        <w:rPr>
          <w:i/>
        </w:rPr>
        <w:t xml:space="preserve"> rights for the shareholders in exchange for cash payment or payment through set-off of claims – the provisions contained in sections </w:t>
      </w:r>
      <w:r>
        <w:rPr>
          <w:i/>
          <w:szCs w:val="22"/>
        </w:rPr>
        <w:fldChar w:fldCharType="begin"/>
      </w:r>
      <w:r>
        <w:rPr>
          <w:i/>
        </w:rPr>
        <w:instrText xml:space="preserve"> REF _Ref167349330 \r \h </w:instrText>
      </w:r>
      <w:r>
        <w:rPr>
          <w:i/>
          <w:szCs w:val="22"/>
        </w:rPr>
      </w:r>
      <w:r>
        <w:rPr>
          <w:i/>
          <w:szCs w:val="22"/>
        </w:rPr>
        <w:fldChar w:fldCharType="separate"/>
      </w:r>
      <w:r>
        <w:rPr>
          <w:i/>
        </w:rPr>
        <w:t>8.2.4.I</w:t>
      </w:r>
      <w:r>
        <w:rPr>
          <w:i/>
          <w:szCs w:val="22"/>
        </w:rPr>
        <w:fldChar w:fldCharType="end"/>
      </w:r>
      <w:r w:rsidRPr="00437F01">
        <w:rPr>
          <w:i/>
        </w:rPr>
        <w:t xml:space="preserve">, and </w:t>
      </w:r>
      <w:r>
        <w:rPr>
          <w:i/>
          <w:szCs w:val="22"/>
        </w:rPr>
        <w:fldChar w:fldCharType="begin"/>
      </w:r>
      <w:r>
        <w:rPr>
          <w:i/>
        </w:rPr>
        <w:instrText xml:space="preserve"> REF _Ref167349244 \r \h </w:instrText>
      </w:r>
      <w:r>
        <w:rPr>
          <w:i/>
          <w:szCs w:val="22"/>
        </w:rPr>
      </w:r>
      <w:r>
        <w:rPr>
          <w:i/>
          <w:szCs w:val="22"/>
        </w:rPr>
        <w:fldChar w:fldCharType="separate"/>
      </w:r>
      <w:r>
        <w:rPr>
          <w:i/>
        </w:rPr>
        <w:t>8.2.4.II</w:t>
      </w:r>
      <w:r>
        <w:rPr>
          <w:i/>
          <w:szCs w:val="22"/>
        </w:rPr>
        <w:fldChar w:fldCharType="end"/>
      </w:r>
      <w:r w:rsidRPr="00437F01">
        <w:rPr>
          <w:i/>
        </w:rPr>
        <w:t xml:space="preserve"> first paragraph (</w:t>
      </w:r>
      <w:proofErr w:type="spellStart"/>
      <w:r w:rsidRPr="00437F01">
        <w:rPr>
          <w:i/>
        </w:rPr>
        <w:t>i</w:t>
      </w:r>
      <w:proofErr w:type="spellEnd"/>
      <w:r w:rsidRPr="00437F01">
        <w:rPr>
          <w:i/>
        </w:rPr>
        <w:t>) and (ii), shall apply correspondingly, with respect to the right to participate in the issue for Shares that have been issued as a consequence of Subscription through exercise of the Warrant.</w:t>
      </w:r>
    </w:p>
    <w:p w14:paraId="4B47D0A2" w14:textId="77777777" w:rsidR="006350FE" w:rsidRPr="00437F01" w:rsidRDefault="006350FE" w:rsidP="007C4B62">
      <w:pPr>
        <w:pStyle w:val="BodyText"/>
        <w:numPr>
          <w:ilvl w:val="0"/>
          <w:numId w:val="58"/>
        </w:numPr>
        <w:ind w:firstLine="0"/>
      </w:pPr>
      <w:r w:rsidRPr="00A50800">
        <w:rPr>
          <w:rFonts w:eastAsia="Times New Roman"/>
          <w:lang w:val="sv-SE"/>
        </w:rPr>
        <w:lastRenderedPageBreak/>
        <w:t xml:space="preserve">Om Bolagets Aktier eller teckningsrätter vid tidpunkten för emissionen inte är föremål för marknadsnotering, </w:t>
      </w:r>
      <w:r>
        <w:rPr>
          <w:rFonts w:eastAsia="Times New Roman"/>
          <w:lang w:val="sv-SE"/>
        </w:rPr>
        <w:t>ska</w:t>
      </w:r>
      <w:r w:rsidRPr="00A50800">
        <w:rPr>
          <w:rFonts w:eastAsia="Times New Roman"/>
          <w:lang w:val="sv-SE"/>
        </w:rPr>
        <w:t xml:space="preserve"> omräkning ske, dels av Teckningskursen, dels av det antal Aktier som varje Teckningsoption ger rätt att teckna i enlighet med denna punkt </w:t>
      </w:r>
      <w:r>
        <w:fldChar w:fldCharType="begin"/>
      </w:r>
      <w:r>
        <w:rPr>
          <w:rFonts w:eastAsia="Times New Roman"/>
          <w:lang w:val="sv-SE"/>
        </w:rPr>
        <w:instrText xml:space="preserve"> REF _Ref445997868 \r \h </w:instrText>
      </w:r>
      <w:r>
        <w:fldChar w:fldCharType="separate"/>
      </w:r>
      <w:r>
        <w:rPr>
          <w:rFonts w:eastAsia="Times New Roman"/>
          <w:lang w:val="sv-SE"/>
        </w:rPr>
        <w:t>8.2.5</w:t>
      </w:r>
      <w:r>
        <w:fldChar w:fldCharType="end"/>
      </w:r>
      <w:r w:rsidRPr="00A50800">
        <w:rPr>
          <w:rFonts w:eastAsia="Times New Roman"/>
          <w:lang w:val="sv-SE"/>
        </w:rPr>
        <w:t xml:space="preserve"> angivna principer. Omräkningen </w:t>
      </w:r>
      <w:r>
        <w:rPr>
          <w:rFonts w:eastAsia="Times New Roman"/>
          <w:lang w:val="sv-SE"/>
        </w:rPr>
        <w:t>ska</w:t>
      </w:r>
      <w:r w:rsidRPr="00A50800">
        <w:rPr>
          <w:rFonts w:eastAsia="Times New Roman"/>
          <w:lang w:val="sv-SE"/>
        </w:rPr>
        <w:t xml:space="preserve"> utföras av Bolaget</w:t>
      </w:r>
      <w:r>
        <w:rPr>
          <w:rFonts w:eastAsia="Times New Roman"/>
          <w:lang w:val="sv-SE"/>
        </w:rPr>
        <w:t xml:space="preserve"> och</w:t>
      </w:r>
      <w:r w:rsidRPr="00A50800">
        <w:rPr>
          <w:rFonts w:eastAsia="Times New Roman"/>
          <w:lang w:val="sv-SE"/>
        </w:rPr>
        <w:t xml:space="preserve"> </w:t>
      </w:r>
      <w:r>
        <w:rPr>
          <w:rFonts w:eastAsia="Times New Roman"/>
          <w:lang w:val="sv-SE"/>
        </w:rPr>
        <w:t>ska</w:t>
      </w:r>
      <w:r w:rsidRPr="00A50800">
        <w:rPr>
          <w:rFonts w:eastAsia="Times New Roman"/>
          <w:lang w:val="sv-SE"/>
        </w:rPr>
        <w:t xml:space="preserve"> ha som utgångspunkt att värdet på Teckningsoptionerna </w:t>
      </w:r>
      <w:r>
        <w:rPr>
          <w:rFonts w:eastAsia="Times New Roman"/>
          <w:lang w:val="sv-SE"/>
        </w:rPr>
        <w:t>ska</w:t>
      </w:r>
      <w:r w:rsidRPr="00A50800">
        <w:rPr>
          <w:rFonts w:eastAsia="Times New Roman"/>
          <w:lang w:val="sv-SE"/>
        </w:rPr>
        <w:t xml:space="preserve"> lämnas oförändrat.</w:t>
      </w:r>
      <w:r w:rsidRPr="00A50800">
        <w:rPr>
          <w:rFonts w:eastAsia="Times New Roman"/>
          <w:lang w:val="sv-SE"/>
        </w:rPr>
        <w:br/>
      </w:r>
      <w:r w:rsidRPr="00437F01">
        <w:rPr>
          <w:i/>
        </w:rPr>
        <w:t>Should the Company's Shares or subscription rights not be listed, at the time of the issuance, a recalculation of the Subscription Price and the number of Shares each Warrant entitles to subscribe for shall be adjusted in accordance with the principles set forth in this section </w:t>
      </w:r>
      <w:r>
        <w:rPr>
          <w:i/>
        </w:rPr>
        <w:fldChar w:fldCharType="begin"/>
      </w:r>
      <w:r>
        <w:rPr>
          <w:i/>
        </w:rPr>
        <w:instrText xml:space="preserve"> REF _Ref445997868 \r \h </w:instrText>
      </w:r>
      <w:r>
        <w:rPr>
          <w:i/>
        </w:rPr>
      </w:r>
      <w:r>
        <w:rPr>
          <w:i/>
        </w:rPr>
        <w:fldChar w:fldCharType="separate"/>
      </w:r>
      <w:r>
        <w:rPr>
          <w:i/>
        </w:rPr>
        <w:t>8.2.5</w:t>
      </w:r>
      <w:r>
        <w:rPr>
          <w:i/>
        </w:rPr>
        <w:fldChar w:fldCharType="end"/>
      </w:r>
      <w:r w:rsidRPr="00437F01">
        <w:rPr>
          <w:i/>
        </w:rPr>
        <w:t>. The recalculation shall be made by the Company and shall be made on the basis that the value of the Warrants shall remain unchanged.</w:t>
      </w:r>
    </w:p>
    <w:p w14:paraId="1D1BA5C1" w14:textId="77777777" w:rsidR="006350FE" w:rsidRPr="00437F01" w:rsidRDefault="006350FE" w:rsidP="007C4B62">
      <w:pPr>
        <w:pStyle w:val="BodyText"/>
        <w:numPr>
          <w:ilvl w:val="0"/>
          <w:numId w:val="58"/>
        </w:numPr>
        <w:ind w:firstLine="0"/>
      </w:pPr>
      <w:r w:rsidRPr="00A50800">
        <w:rPr>
          <w:rFonts w:eastAsia="Times New Roman"/>
          <w:lang w:val="sv-SE"/>
        </w:rPr>
        <w:t xml:space="preserve">Om Bolagets Aktier eller teckningsrätter vid tidpunkten för emissionen är föremål för marknadsnotering, </w:t>
      </w:r>
      <w:r>
        <w:rPr>
          <w:rFonts w:eastAsia="Times New Roman"/>
          <w:lang w:val="sv-SE"/>
        </w:rPr>
        <w:t>ska</w:t>
      </w:r>
      <w:r w:rsidRPr="00A50800">
        <w:rPr>
          <w:rFonts w:eastAsia="Times New Roman"/>
          <w:lang w:val="sv-SE"/>
        </w:rPr>
        <w:t xml:space="preserve"> vid Teckning som verkställts på sådan tid att rätt till deltagande i </w:t>
      </w:r>
      <w:r w:rsidRPr="00F40CE0">
        <w:rPr>
          <w:rFonts w:eastAsia="Times New Roman"/>
          <w:lang w:val="sv-SE"/>
        </w:rPr>
        <w:t xml:space="preserve">emissionen inte uppkommer tillämpas en omräknad Teckningskurs liksom en omräkning av det antal Aktier som varje Teckningsoption berättigar till Teckning av. </w:t>
      </w:r>
      <w:proofErr w:type="spellStart"/>
      <w:r w:rsidRPr="006B6AC0">
        <w:rPr>
          <w:rFonts w:eastAsia="Times New Roman"/>
          <w:lang w:val="en-US"/>
        </w:rPr>
        <w:t>Omräkningarna</w:t>
      </w:r>
      <w:proofErr w:type="spellEnd"/>
      <w:r w:rsidRPr="006B6AC0">
        <w:rPr>
          <w:rFonts w:eastAsia="Times New Roman"/>
          <w:lang w:val="en-US"/>
        </w:rPr>
        <w:t xml:space="preserve"> </w:t>
      </w:r>
      <w:proofErr w:type="spellStart"/>
      <w:r w:rsidRPr="006B6AC0">
        <w:rPr>
          <w:rFonts w:eastAsia="Times New Roman"/>
          <w:lang w:val="en-US"/>
        </w:rPr>
        <w:t>utförs</w:t>
      </w:r>
      <w:proofErr w:type="spellEnd"/>
      <w:r w:rsidRPr="006B6AC0">
        <w:rPr>
          <w:rFonts w:eastAsia="Times New Roman"/>
          <w:lang w:val="en-US"/>
        </w:rPr>
        <w:t xml:space="preserve"> av </w:t>
      </w:r>
      <w:proofErr w:type="spellStart"/>
      <w:r w:rsidRPr="006B6AC0">
        <w:rPr>
          <w:rFonts w:eastAsia="Times New Roman"/>
          <w:lang w:val="en-US"/>
        </w:rPr>
        <w:t>Bolaget</w:t>
      </w:r>
      <w:proofErr w:type="spellEnd"/>
      <w:r w:rsidRPr="006B6AC0">
        <w:rPr>
          <w:rFonts w:eastAsia="Times New Roman"/>
          <w:lang w:val="en-US"/>
        </w:rPr>
        <w:t xml:space="preserve"> </w:t>
      </w:r>
      <w:proofErr w:type="spellStart"/>
      <w:r w:rsidRPr="006B6AC0">
        <w:rPr>
          <w:rFonts w:eastAsia="Times New Roman"/>
          <w:lang w:val="en-US"/>
        </w:rPr>
        <w:t>enligt</w:t>
      </w:r>
      <w:proofErr w:type="spellEnd"/>
      <w:r w:rsidRPr="006B6AC0">
        <w:rPr>
          <w:rFonts w:eastAsia="Times New Roman"/>
          <w:lang w:val="en-US"/>
        </w:rPr>
        <w:t xml:space="preserve"> </w:t>
      </w:r>
      <w:proofErr w:type="spellStart"/>
      <w:r w:rsidRPr="006B6AC0">
        <w:rPr>
          <w:rFonts w:eastAsia="Times New Roman"/>
          <w:lang w:val="en-US"/>
        </w:rPr>
        <w:t>följande</w:t>
      </w:r>
      <w:proofErr w:type="spellEnd"/>
      <w:r w:rsidRPr="006B6AC0">
        <w:rPr>
          <w:rFonts w:eastAsia="Times New Roman"/>
          <w:lang w:val="en-US"/>
        </w:rPr>
        <w:t xml:space="preserve"> </w:t>
      </w:r>
      <w:proofErr w:type="spellStart"/>
      <w:r w:rsidRPr="006B6AC0">
        <w:rPr>
          <w:rFonts w:eastAsia="Times New Roman"/>
          <w:lang w:val="en-US"/>
        </w:rPr>
        <w:t>formler</w:t>
      </w:r>
      <w:proofErr w:type="spellEnd"/>
      <w:r w:rsidRPr="006B6AC0">
        <w:rPr>
          <w:rFonts w:eastAsia="Times New Roman"/>
          <w:lang w:val="en-US"/>
        </w:rPr>
        <w:t>:</w:t>
      </w:r>
      <w:r w:rsidRPr="00437F01">
        <w:rPr>
          <w:rFonts w:eastAsia="Times New Roman"/>
        </w:rPr>
        <w:br/>
      </w:r>
      <w:r w:rsidRPr="00437F01">
        <w:rPr>
          <w:i/>
        </w:rPr>
        <w:t>Should the Company's Shares or subscription rights be listed at the time of the issuance, where Subscription is made at such time that no right to participate in the issue arises, a recalculated Subscription Price as well as a recalculated number of Shares which each Warrant entitles to Subscribe for shall be applied. Recalculations shall be made by the Company in accordance with the following formulas:</w:t>
      </w:r>
    </w:p>
    <w:tbl>
      <w:tblPr>
        <w:tblW w:w="8370" w:type="dxa"/>
        <w:tblInd w:w="630" w:type="dxa"/>
        <w:tblBorders>
          <w:top w:val="nil"/>
          <w:left w:val="nil"/>
          <w:bottom w:val="nil"/>
          <w:right w:val="nil"/>
          <w:insideH w:val="nil"/>
          <w:insideV w:val="nil"/>
        </w:tblBorders>
        <w:tblLook w:val="04A0" w:firstRow="1" w:lastRow="0" w:firstColumn="1" w:lastColumn="0" w:noHBand="0" w:noVBand="1"/>
      </w:tblPr>
      <w:tblGrid>
        <w:gridCol w:w="2160"/>
        <w:gridCol w:w="540"/>
        <w:gridCol w:w="5670"/>
      </w:tblGrid>
      <w:tr w:rsidR="006350FE" w:rsidRPr="00D00630" w14:paraId="46EBF254" w14:textId="77777777" w:rsidTr="00695A7D">
        <w:trPr>
          <w:cantSplit/>
        </w:trPr>
        <w:tc>
          <w:tcPr>
            <w:tcW w:w="2160" w:type="dxa"/>
            <w:vMerge w:val="restart"/>
            <w:vAlign w:val="center"/>
          </w:tcPr>
          <w:p w14:paraId="48B29ADB" w14:textId="77777777" w:rsidR="006350FE" w:rsidRPr="00437F01" w:rsidRDefault="006350FE" w:rsidP="00695A7D">
            <w:pPr>
              <w:pStyle w:val="TableText"/>
              <w:spacing w:after="0"/>
            </w:pPr>
            <w:proofErr w:type="spellStart"/>
            <w:r w:rsidRPr="00437F01">
              <w:t>Omräknad</w:t>
            </w:r>
            <w:proofErr w:type="spellEnd"/>
            <w:r w:rsidRPr="00437F01">
              <w:t xml:space="preserve"> </w:t>
            </w:r>
            <w:proofErr w:type="spellStart"/>
            <w:r w:rsidRPr="00437F01">
              <w:t>Teckningskurs</w:t>
            </w:r>
            <w:proofErr w:type="spellEnd"/>
          </w:p>
        </w:tc>
        <w:tc>
          <w:tcPr>
            <w:tcW w:w="540" w:type="dxa"/>
            <w:vMerge w:val="restart"/>
            <w:vAlign w:val="center"/>
          </w:tcPr>
          <w:p w14:paraId="06EB90D0" w14:textId="77777777" w:rsidR="006350FE" w:rsidRPr="00437F01" w:rsidRDefault="006350FE" w:rsidP="00695A7D">
            <w:pPr>
              <w:pStyle w:val="TableText"/>
              <w:spacing w:after="0"/>
            </w:pPr>
            <w:r w:rsidRPr="00437F01">
              <w:t>=</w:t>
            </w:r>
          </w:p>
        </w:tc>
        <w:tc>
          <w:tcPr>
            <w:tcW w:w="5670" w:type="dxa"/>
            <w:tcBorders>
              <w:bottom w:val="single" w:sz="4" w:space="0" w:color="auto"/>
            </w:tcBorders>
          </w:tcPr>
          <w:p w14:paraId="161F3975" w14:textId="77777777" w:rsidR="006350FE" w:rsidRPr="00A50800" w:rsidRDefault="006350F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w:t>
            </w:r>
            <w:r>
              <w:rPr>
                <w:lang w:val="sv-SE"/>
              </w:rPr>
              <w:t>Aktie</w:t>
            </w:r>
            <w:r w:rsidRPr="00A50800">
              <w:rPr>
                <w:lang w:val="sv-SE"/>
              </w:rPr>
              <w:t xml:space="preserve">ns genomsnittliga aktiekurs under den i </w:t>
            </w:r>
            <w:proofErr w:type="spellStart"/>
            <w:r w:rsidRPr="00A50800">
              <w:rPr>
                <w:lang w:val="sv-SE"/>
              </w:rPr>
              <w:t>emissionsbeslutet</w:t>
            </w:r>
            <w:proofErr w:type="spellEnd"/>
            <w:r w:rsidRPr="00A50800">
              <w:rPr>
                <w:lang w:val="sv-SE"/>
              </w:rPr>
              <w:t xml:space="preserve"> fastställda teckningstiden (Aktiens genomsnittskurs)</w:t>
            </w:r>
          </w:p>
        </w:tc>
      </w:tr>
      <w:tr w:rsidR="006350FE" w:rsidRPr="00D00630" w14:paraId="11182D43" w14:textId="77777777" w:rsidTr="00695A7D">
        <w:trPr>
          <w:cantSplit/>
        </w:trPr>
        <w:tc>
          <w:tcPr>
            <w:tcW w:w="2160" w:type="dxa"/>
            <w:vMerge/>
          </w:tcPr>
          <w:p w14:paraId="64BC5C87" w14:textId="77777777" w:rsidR="006350FE" w:rsidRPr="00A50800" w:rsidRDefault="006350FE" w:rsidP="00695A7D">
            <w:pPr>
              <w:pStyle w:val="TableText"/>
              <w:spacing w:after="0"/>
              <w:rPr>
                <w:lang w:val="sv-SE"/>
              </w:rPr>
            </w:pPr>
          </w:p>
        </w:tc>
        <w:tc>
          <w:tcPr>
            <w:tcW w:w="540" w:type="dxa"/>
            <w:vMerge/>
          </w:tcPr>
          <w:p w14:paraId="293682FB" w14:textId="77777777" w:rsidR="006350FE" w:rsidRPr="00A50800" w:rsidRDefault="006350FE" w:rsidP="00695A7D">
            <w:pPr>
              <w:pStyle w:val="TableText"/>
              <w:spacing w:after="0"/>
              <w:rPr>
                <w:lang w:val="sv-SE"/>
              </w:rPr>
            </w:pPr>
          </w:p>
        </w:tc>
        <w:tc>
          <w:tcPr>
            <w:tcW w:w="5670" w:type="dxa"/>
            <w:tcBorders>
              <w:top w:val="single" w:sz="4" w:space="0" w:color="auto"/>
              <w:bottom w:val="nil"/>
            </w:tcBorders>
          </w:tcPr>
          <w:p w14:paraId="2B4BAC27" w14:textId="77777777" w:rsidR="006350FE" w:rsidRPr="00A50800" w:rsidRDefault="006350FE" w:rsidP="00695A7D">
            <w:pPr>
              <w:pStyle w:val="TableText"/>
              <w:spacing w:after="0"/>
              <w:rPr>
                <w:lang w:val="sv-SE"/>
              </w:rPr>
            </w:pPr>
            <w:r w:rsidRPr="00A50800">
              <w:rPr>
                <w:lang w:val="sv-SE"/>
              </w:rPr>
              <w:t>Aktiens genomsnittskurs ökad med teckningsrättens värde</w:t>
            </w:r>
          </w:p>
        </w:tc>
      </w:tr>
      <w:tr w:rsidR="006350FE" w:rsidRPr="00D00630" w14:paraId="7E8C42A3" w14:textId="77777777" w:rsidTr="00695A7D">
        <w:trPr>
          <w:cantSplit/>
        </w:trPr>
        <w:tc>
          <w:tcPr>
            <w:tcW w:w="2160" w:type="dxa"/>
          </w:tcPr>
          <w:p w14:paraId="678D15B1" w14:textId="77777777" w:rsidR="006350FE" w:rsidRPr="00A50800" w:rsidRDefault="006350FE" w:rsidP="00695A7D">
            <w:pPr>
              <w:pStyle w:val="TableText"/>
              <w:spacing w:after="0"/>
              <w:rPr>
                <w:lang w:val="sv-SE"/>
              </w:rPr>
            </w:pPr>
          </w:p>
        </w:tc>
        <w:tc>
          <w:tcPr>
            <w:tcW w:w="540" w:type="dxa"/>
            <w:tcBorders>
              <w:right w:val="nil"/>
            </w:tcBorders>
          </w:tcPr>
          <w:p w14:paraId="2A86038A" w14:textId="77777777" w:rsidR="006350FE" w:rsidRPr="00A50800" w:rsidRDefault="006350FE" w:rsidP="00695A7D">
            <w:pPr>
              <w:pStyle w:val="TableText"/>
              <w:spacing w:after="0"/>
              <w:rPr>
                <w:lang w:val="sv-SE"/>
              </w:rPr>
            </w:pPr>
          </w:p>
        </w:tc>
        <w:tc>
          <w:tcPr>
            <w:tcW w:w="5670" w:type="dxa"/>
            <w:tcBorders>
              <w:top w:val="nil"/>
              <w:left w:val="nil"/>
              <w:bottom w:val="nil"/>
              <w:right w:val="nil"/>
            </w:tcBorders>
          </w:tcPr>
          <w:p w14:paraId="72428F9C" w14:textId="77777777" w:rsidR="006350FE" w:rsidRPr="00A50800" w:rsidRDefault="006350FE" w:rsidP="00695A7D">
            <w:pPr>
              <w:pStyle w:val="TableText"/>
              <w:spacing w:after="0"/>
              <w:rPr>
                <w:lang w:val="sv-SE"/>
              </w:rPr>
            </w:pPr>
          </w:p>
        </w:tc>
      </w:tr>
      <w:tr w:rsidR="006350FE" w:rsidRPr="00D00630" w14:paraId="4FB523CC" w14:textId="77777777" w:rsidTr="00695A7D">
        <w:trPr>
          <w:cantSplit/>
        </w:trPr>
        <w:tc>
          <w:tcPr>
            <w:tcW w:w="2160" w:type="dxa"/>
            <w:vMerge w:val="restart"/>
            <w:vAlign w:val="center"/>
          </w:tcPr>
          <w:p w14:paraId="65E567DD" w14:textId="77777777" w:rsidR="006350FE" w:rsidRPr="00A50800" w:rsidRDefault="006350FE" w:rsidP="00695A7D">
            <w:pPr>
              <w:pStyle w:val="TableText"/>
              <w:spacing w:after="0"/>
              <w:rPr>
                <w:lang w:val="sv-SE"/>
              </w:rPr>
            </w:pPr>
            <w:r w:rsidRPr="00A50800">
              <w:rPr>
                <w:lang w:val="sv-SE"/>
              </w:rPr>
              <w:t>Omräknat antal Aktier som varje Teckningsoption berättigar till Teckning av</w:t>
            </w:r>
          </w:p>
        </w:tc>
        <w:tc>
          <w:tcPr>
            <w:tcW w:w="540" w:type="dxa"/>
            <w:vMerge w:val="restart"/>
            <w:vAlign w:val="center"/>
          </w:tcPr>
          <w:p w14:paraId="2CCE84D8" w14:textId="77777777" w:rsidR="006350FE" w:rsidRPr="00437F01" w:rsidRDefault="006350FE" w:rsidP="00695A7D">
            <w:pPr>
              <w:pStyle w:val="TableText"/>
              <w:spacing w:after="0"/>
            </w:pPr>
            <w:r w:rsidRPr="00437F01">
              <w:t>=</w:t>
            </w:r>
          </w:p>
        </w:tc>
        <w:tc>
          <w:tcPr>
            <w:tcW w:w="5670" w:type="dxa"/>
            <w:tcBorders>
              <w:top w:val="nil"/>
              <w:bottom w:val="single" w:sz="4" w:space="0" w:color="auto"/>
            </w:tcBorders>
          </w:tcPr>
          <w:p w14:paraId="09CB1A1B" w14:textId="77777777" w:rsidR="006350FE" w:rsidRPr="00A50800" w:rsidRDefault="006350F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(Aktiens genomsnittskurs ökad med teckningsrättens värde)</w:t>
            </w:r>
          </w:p>
        </w:tc>
      </w:tr>
      <w:tr w:rsidR="006350FE" w:rsidRPr="00437F01" w14:paraId="16A15BC0" w14:textId="77777777" w:rsidTr="00695A7D">
        <w:trPr>
          <w:cantSplit/>
        </w:trPr>
        <w:tc>
          <w:tcPr>
            <w:tcW w:w="2160" w:type="dxa"/>
            <w:vMerge/>
          </w:tcPr>
          <w:p w14:paraId="732B2678" w14:textId="77777777" w:rsidR="006350FE" w:rsidRPr="00A50800" w:rsidRDefault="006350FE" w:rsidP="00695A7D">
            <w:pPr>
              <w:pStyle w:val="TableText"/>
              <w:spacing w:after="0"/>
              <w:rPr>
                <w:lang w:val="sv-SE"/>
              </w:rPr>
            </w:pPr>
          </w:p>
        </w:tc>
        <w:tc>
          <w:tcPr>
            <w:tcW w:w="540" w:type="dxa"/>
            <w:vMerge/>
          </w:tcPr>
          <w:p w14:paraId="596FAFDF" w14:textId="77777777" w:rsidR="006350FE" w:rsidRPr="00A50800" w:rsidRDefault="006350FE" w:rsidP="00695A7D">
            <w:pPr>
              <w:pStyle w:val="TableText"/>
              <w:spacing w:after="0"/>
              <w:rPr>
                <w:lang w:val="sv-SE"/>
              </w:rPr>
            </w:pPr>
          </w:p>
        </w:tc>
        <w:tc>
          <w:tcPr>
            <w:tcW w:w="5670" w:type="dxa"/>
            <w:tcBorders>
              <w:top w:val="single" w:sz="4" w:space="0" w:color="auto"/>
            </w:tcBorders>
          </w:tcPr>
          <w:p w14:paraId="2CBAD59B" w14:textId="77777777" w:rsidR="006350FE" w:rsidRPr="00437F01" w:rsidRDefault="006350FE" w:rsidP="00695A7D">
            <w:pPr>
              <w:pStyle w:val="TableText"/>
              <w:spacing w:after="0"/>
            </w:pPr>
            <w:r w:rsidRPr="006B6AC0">
              <w:rPr>
                <w:lang w:val="sv-SE"/>
              </w:rPr>
              <w:t>Aktiens</w:t>
            </w:r>
            <w:r w:rsidRPr="00437F01">
              <w:t xml:space="preserve"> </w:t>
            </w:r>
            <w:proofErr w:type="spellStart"/>
            <w:r w:rsidRPr="00437F01">
              <w:t>genomsnittskurs</w:t>
            </w:r>
            <w:proofErr w:type="spellEnd"/>
          </w:p>
        </w:tc>
      </w:tr>
      <w:tr w:rsidR="006350FE" w:rsidRPr="001A6E6C" w14:paraId="110A0AB6" w14:textId="77777777" w:rsidTr="00695A7D">
        <w:trPr>
          <w:cantSplit/>
        </w:trPr>
        <w:tc>
          <w:tcPr>
            <w:tcW w:w="2160" w:type="dxa"/>
            <w:vMerge w:val="restart"/>
            <w:vAlign w:val="center"/>
          </w:tcPr>
          <w:p w14:paraId="47499051" w14:textId="77777777" w:rsidR="006350FE" w:rsidRPr="00437F01" w:rsidRDefault="006350FE" w:rsidP="00695A7D">
            <w:pPr>
              <w:pStyle w:val="TableText"/>
              <w:spacing w:after="0"/>
            </w:pPr>
            <w:r w:rsidRPr="00437F01">
              <w:rPr>
                <w:i/>
              </w:rPr>
              <w:t>Recalculated Subscription Price</w:t>
            </w:r>
          </w:p>
        </w:tc>
        <w:tc>
          <w:tcPr>
            <w:tcW w:w="540" w:type="dxa"/>
            <w:vMerge w:val="restart"/>
            <w:vAlign w:val="center"/>
          </w:tcPr>
          <w:p w14:paraId="6C325CC6" w14:textId="77777777" w:rsidR="006350FE" w:rsidRPr="00437F01" w:rsidRDefault="006350FE" w:rsidP="00695A7D">
            <w:pPr>
              <w:pStyle w:val="TableText"/>
              <w:spacing w:after="0"/>
            </w:pPr>
            <w:r w:rsidRPr="00437F01">
              <w:t>=</w:t>
            </w:r>
          </w:p>
        </w:tc>
        <w:tc>
          <w:tcPr>
            <w:tcW w:w="5670" w:type="dxa"/>
            <w:tcBorders>
              <w:bottom w:val="single" w:sz="4" w:space="0" w:color="auto"/>
            </w:tcBorders>
          </w:tcPr>
          <w:p w14:paraId="631E009A" w14:textId="77777777" w:rsidR="006350FE" w:rsidRPr="00437F01" w:rsidRDefault="006350FE" w:rsidP="00695A7D">
            <w:pPr>
              <w:pStyle w:val="TableText"/>
              <w:spacing w:after="0"/>
            </w:pPr>
            <w:r w:rsidRPr="00437F01">
              <w:rPr>
                <w:i/>
              </w:rPr>
              <w:t>Previous Subscription Price x the average share price of the share during the Subscription Period set forth in the resolution approving the issue (average price of Share)</w:t>
            </w:r>
          </w:p>
        </w:tc>
      </w:tr>
      <w:tr w:rsidR="006350FE" w:rsidRPr="001A6E6C" w14:paraId="7C400B39" w14:textId="77777777" w:rsidTr="00695A7D">
        <w:trPr>
          <w:cantSplit/>
        </w:trPr>
        <w:tc>
          <w:tcPr>
            <w:tcW w:w="2160" w:type="dxa"/>
            <w:vMerge/>
          </w:tcPr>
          <w:p w14:paraId="494997C5" w14:textId="77777777" w:rsidR="006350FE" w:rsidRPr="00437F01" w:rsidRDefault="006350FE" w:rsidP="00695A7D">
            <w:pPr>
              <w:pStyle w:val="TableText"/>
              <w:spacing w:after="0"/>
            </w:pPr>
          </w:p>
        </w:tc>
        <w:tc>
          <w:tcPr>
            <w:tcW w:w="540" w:type="dxa"/>
            <w:vMerge/>
          </w:tcPr>
          <w:p w14:paraId="27504E7D" w14:textId="77777777" w:rsidR="006350FE" w:rsidRPr="00437F01" w:rsidRDefault="006350FE" w:rsidP="00695A7D">
            <w:pPr>
              <w:pStyle w:val="TableText"/>
              <w:spacing w:after="0"/>
            </w:pPr>
          </w:p>
        </w:tc>
        <w:tc>
          <w:tcPr>
            <w:tcW w:w="5670" w:type="dxa"/>
            <w:tcBorders>
              <w:top w:val="single" w:sz="4" w:space="0" w:color="auto"/>
              <w:bottom w:val="nil"/>
            </w:tcBorders>
          </w:tcPr>
          <w:p w14:paraId="4EDFD6CB" w14:textId="77777777" w:rsidR="006350FE" w:rsidRPr="00437F01" w:rsidRDefault="006350FE" w:rsidP="00695A7D">
            <w:pPr>
              <w:pStyle w:val="TableText"/>
              <w:spacing w:after="0"/>
            </w:pPr>
            <w:r w:rsidRPr="00437F01">
              <w:rPr>
                <w:i/>
              </w:rPr>
              <w:t>The average price of Share increased by the value of the subscription right</w:t>
            </w:r>
          </w:p>
        </w:tc>
      </w:tr>
      <w:tr w:rsidR="006350FE" w:rsidRPr="001A6E6C" w14:paraId="43DE65CC" w14:textId="77777777" w:rsidTr="00695A7D">
        <w:trPr>
          <w:cantSplit/>
        </w:trPr>
        <w:tc>
          <w:tcPr>
            <w:tcW w:w="2160" w:type="dxa"/>
          </w:tcPr>
          <w:p w14:paraId="3FFB95F9" w14:textId="77777777" w:rsidR="006350FE" w:rsidRPr="00437F01" w:rsidRDefault="006350FE" w:rsidP="00695A7D">
            <w:pPr>
              <w:pStyle w:val="TableText"/>
              <w:spacing w:after="0"/>
            </w:pPr>
          </w:p>
        </w:tc>
        <w:tc>
          <w:tcPr>
            <w:tcW w:w="540" w:type="dxa"/>
            <w:tcBorders>
              <w:right w:val="nil"/>
            </w:tcBorders>
          </w:tcPr>
          <w:p w14:paraId="31B54C7F" w14:textId="77777777" w:rsidR="006350FE" w:rsidRPr="00437F01" w:rsidRDefault="006350FE" w:rsidP="00695A7D">
            <w:pPr>
              <w:pStyle w:val="TableText"/>
              <w:spacing w:after="0"/>
            </w:pPr>
          </w:p>
        </w:tc>
        <w:tc>
          <w:tcPr>
            <w:tcW w:w="5670" w:type="dxa"/>
            <w:tcBorders>
              <w:top w:val="nil"/>
              <w:left w:val="nil"/>
              <w:bottom w:val="nil"/>
              <w:right w:val="nil"/>
            </w:tcBorders>
          </w:tcPr>
          <w:p w14:paraId="13447237" w14:textId="77777777" w:rsidR="006350FE" w:rsidRPr="00437F01" w:rsidRDefault="006350FE" w:rsidP="00695A7D">
            <w:pPr>
              <w:pStyle w:val="TableText"/>
              <w:spacing w:after="0"/>
              <w:rPr>
                <w:i/>
              </w:rPr>
            </w:pPr>
          </w:p>
        </w:tc>
      </w:tr>
      <w:tr w:rsidR="006350FE" w:rsidRPr="001A6E6C" w14:paraId="337D2524" w14:textId="77777777" w:rsidTr="00695A7D">
        <w:trPr>
          <w:cantSplit/>
        </w:trPr>
        <w:tc>
          <w:tcPr>
            <w:tcW w:w="2160" w:type="dxa"/>
            <w:vMerge w:val="restart"/>
            <w:vAlign w:val="center"/>
          </w:tcPr>
          <w:p w14:paraId="45F41754" w14:textId="77777777" w:rsidR="006350FE" w:rsidRPr="00437F01" w:rsidRDefault="006350FE" w:rsidP="00695A7D">
            <w:pPr>
              <w:pStyle w:val="TableText"/>
              <w:spacing w:after="0"/>
            </w:pPr>
            <w:r w:rsidRPr="00437F01">
              <w:rPr>
                <w:i/>
              </w:rPr>
              <w:t>Recalculated number of Shares that each Warrant entitles to Subscribe for</w:t>
            </w:r>
          </w:p>
        </w:tc>
        <w:tc>
          <w:tcPr>
            <w:tcW w:w="540" w:type="dxa"/>
            <w:vMerge w:val="restart"/>
            <w:vAlign w:val="center"/>
          </w:tcPr>
          <w:p w14:paraId="402FD1A6" w14:textId="77777777" w:rsidR="006350FE" w:rsidRPr="00437F01" w:rsidRDefault="006350FE" w:rsidP="00695A7D">
            <w:pPr>
              <w:pStyle w:val="TableText"/>
              <w:spacing w:after="0"/>
            </w:pPr>
            <w:r w:rsidRPr="00437F01">
              <w:t>=</w:t>
            </w:r>
          </w:p>
        </w:tc>
        <w:tc>
          <w:tcPr>
            <w:tcW w:w="5670" w:type="dxa"/>
            <w:tcBorders>
              <w:top w:val="nil"/>
              <w:bottom w:val="single" w:sz="4" w:space="0" w:color="auto"/>
            </w:tcBorders>
          </w:tcPr>
          <w:p w14:paraId="058AA8DF" w14:textId="77777777" w:rsidR="006350FE" w:rsidRPr="00437F01" w:rsidRDefault="006350FE" w:rsidP="00695A7D">
            <w:pPr>
              <w:pStyle w:val="TableText"/>
              <w:spacing w:after="0"/>
            </w:pPr>
            <w:r w:rsidRPr="00437F01">
              <w:rPr>
                <w:i/>
              </w:rPr>
              <w:t>Previous number of Shares that each Warrant entitles to Subscribe for x (the average price of Share increased by the value of the subscription right)</w:t>
            </w:r>
          </w:p>
        </w:tc>
      </w:tr>
      <w:tr w:rsidR="006350FE" w:rsidRPr="00437F01" w14:paraId="52CDE11B" w14:textId="77777777" w:rsidTr="00695A7D">
        <w:trPr>
          <w:cantSplit/>
          <w:trHeight w:val="70"/>
        </w:trPr>
        <w:tc>
          <w:tcPr>
            <w:tcW w:w="2160" w:type="dxa"/>
            <w:vMerge/>
          </w:tcPr>
          <w:p w14:paraId="63069D68" w14:textId="77777777" w:rsidR="006350FE" w:rsidRPr="00437F01" w:rsidRDefault="006350FE" w:rsidP="00695A7D">
            <w:pPr>
              <w:pStyle w:val="TableText"/>
              <w:spacing w:after="0"/>
            </w:pPr>
          </w:p>
        </w:tc>
        <w:tc>
          <w:tcPr>
            <w:tcW w:w="540" w:type="dxa"/>
            <w:vMerge/>
          </w:tcPr>
          <w:p w14:paraId="0FD19BFD" w14:textId="77777777" w:rsidR="006350FE" w:rsidRPr="00437F01" w:rsidRDefault="006350FE" w:rsidP="00695A7D">
            <w:pPr>
              <w:pStyle w:val="TableText"/>
              <w:spacing w:after="0"/>
            </w:pPr>
          </w:p>
        </w:tc>
        <w:tc>
          <w:tcPr>
            <w:tcW w:w="5670" w:type="dxa"/>
            <w:tcBorders>
              <w:top w:val="single" w:sz="4" w:space="0" w:color="auto"/>
              <w:bottom w:val="nil"/>
            </w:tcBorders>
          </w:tcPr>
          <w:p w14:paraId="775A0064" w14:textId="77777777" w:rsidR="006350FE" w:rsidRPr="00437F01" w:rsidRDefault="006350FE" w:rsidP="00695A7D">
            <w:pPr>
              <w:pStyle w:val="TableText"/>
              <w:spacing w:after="0"/>
            </w:pPr>
            <w:r w:rsidRPr="00437F01">
              <w:rPr>
                <w:i/>
              </w:rPr>
              <w:t>Average price of Share</w:t>
            </w:r>
          </w:p>
        </w:tc>
      </w:tr>
      <w:tr w:rsidR="006350FE" w:rsidRPr="00437F01" w14:paraId="397298E1" w14:textId="77777777" w:rsidTr="00695A7D">
        <w:trPr>
          <w:cantSplit/>
          <w:trHeight w:val="70"/>
        </w:trPr>
        <w:tc>
          <w:tcPr>
            <w:tcW w:w="2160" w:type="dxa"/>
          </w:tcPr>
          <w:p w14:paraId="3F41AE7D" w14:textId="77777777" w:rsidR="006350FE" w:rsidRPr="00437F01" w:rsidRDefault="006350FE" w:rsidP="00695A7D">
            <w:pPr>
              <w:pStyle w:val="TableText"/>
              <w:spacing w:after="0"/>
            </w:pPr>
          </w:p>
        </w:tc>
        <w:tc>
          <w:tcPr>
            <w:tcW w:w="540" w:type="dxa"/>
            <w:tcBorders>
              <w:right w:val="nil"/>
            </w:tcBorders>
          </w:tcPr>
          <w:p w14:paraId="55CFB78B" w14:textId="77777777" w:rsidR="006350FE" w:rsidRPr="00437F01" w:rsidRDefault="006350FE" w:rsidP="00695A7D">
            <w:pPr>
              <w:pStyle w:val="TableText"/>
              <w:spacing w:after="0"/>
            </w:pPr>
          </w:p>
        </w:tc>
        <w:tc>
          <w:tcPr>
            <w:tcW w:w="5670" w:type="dxa"/>
            <w:tcBorders>
              <w:top w:val="nil"/>
              <w:left w:val="nil"/>
              <w:bottom w:val="nil"/>
              <w:right w:val="nil"/>
            </w:tcBorders>
          </w:tcPr>
          <w:p w14:paraId="1CC129F0" w14:textId="77777777" w:rsidR="006350FE" w:rsidRPr="00437F01" w:rsidRDefault="006350FE" w:rsidP="00695A7D">
            <w:pPr>
              <w:pStyle w:val="TableText"/>
              <w:spacing w:after="0"/>
              <w:rPr>
                <w:i/>
              </w:rPr>
            </w:pPr>
          </w:p>
        </w:tc>
      </w:tr>
    </w:tbl>
    <w:p w14:paraId="7C5FCE85" w14:textId="77777777" w:rsidR="006350FE" w:rsidRPr="00437F01" w:rsidRDefault="006350FE" w:rsidP="006350FE">
      <w:pPr>
        <w:pStyle w:val="BodyText"/>
        <w:ind w:left="720"/>
      </w:pPr>
      <w:r w:rsidRPr="00A50800">
        <w:rPr>
          <w:lang w:val="sv-SE"/>
        </w:rPr>
        <w:t xml:space="preserve">Teckningsrättens värde </w:t>
      </w:r>
      <w:r>
        <w:rPr>
          <w:lang w:val="sv-SE"/>
        </w:rPr>
        <w:t>ska</w:t>
      </w:r>
      <w:r w:rsidRPr="00A50800">
        <w:rPr>
          <w:lang w:val="sv-SE"/>
        </w:rPr>
        <w:t xml:space="preserve"> anses motsvara genomsnittet av det för varje handelsdag under </w:t>
      </w:r>
      <w:r w:rsidRPr="00A05113">
        <w:rPr>
          <w:lang w:val="sv-SE"/>
        </w:rPr>
        <w:t>teckningstiden</w:t>
      </w:r>
      <w:r w:rsidRPr="00A50800">
        <w:rPr>
          <w:lang w:val="sv-SE"/>
        </w:rPr>
        <w:t xml:space="preserve"> framräknade medeltalet av den under dagen noterade högsta och lägsta betalkursen för teckningsrätten enligt marknadsnotering. I avsaknad av notering av betalkurs </w:t>
      </w:r>
      <w:r>
        <w:rPr>
          <w:lang w:val="sv-SE"/>
        </w:rPr>
        <w:t>ska</w:t>
      </w:r>
      <w:r w:rsidRPr="00A50800">
        <w:rPr>
          <w:lang w:val="sv-SE"/>
        </w:rPr>
        <w:t xml:space="preserve"> i stället den som slutkurs noterade köpkursen ingå i beräkningen. Dag utan notering av vare sig betalkurs eller köpkurs </w:t>
      </w:r>
      <w:r>
        <w:rPr>
          <w:lang w:val="sv-SE"/>
        </w:rPr>
        <w:t>ska</w:t>
      </w:r>
      <w:r w:rsidRPr="00A50800">
        <w:rPr>
          <w:lang w:val="sv-SE"/>
        </w:rPr>
        <w:t xml:space="preserve"> inte ingå i beräkningen.</w:t>
      </w:r>
      <w:r w:rsidRPr="00A50800">
        <w:rPr>
          <w:lang w:val="sv-SE"/>
        </w:rPr>
        <w:br/>
      </w:r>
      <w:r w:rsidRPr="00437F01">
        <w:rPr>
          <w:i/>
        </w:rPr>
        <w:t xml:space="preserve">The value of the subscription right shall be deemed to correspond to the average mean value of the highest and lowest prices paid for such rights each trading day during the </w:t>
      </w:r>
      <w:r>
        <w:rPr>
          <w:i/>
        </w:rPr>
        <w:t>s</w:t>
      </w:r>
      <w:r w:rsidRPr="00437F01">
        <w:rPr>
          <w:i/>
        </w:rPr>
        <w:t xml:space="preserve">ubscription </w:t>
      </w:r>
      <w:r>
        <w:rPr>
          <w:i/>
        </w:rPr>
        <w:t>p</w:t>
      </w:r>
      <w:r w:rsidRPr="00437F01">
        <w:rPr>
          <w:i/>
        </w:rPr>
        <w:t>eriod according to market quotation. In the absence of a quoted paid price, the final bid price shall form the basis for the calculation. Days when no paid price or bid price is quoted, shall be excluded from the calculation.</w:t>
      </w:r>
    </w:p>
    <w:p w14:paraId="0282BBE8" w14:textId="77777777" w:rsidR="006350FE" w:rsidRPr="00437F01" w:rsidRDefault="006350FE" w:rsidP="006350FE">
      <w:pPr>
        <w:pStyle w:val="BodyText"/>
        <w:ind w:left="720"/>
      </w:pPr>
      <w:r w:rsidRPr="00A50800">
        <w:rPr>
          <w:lang w:val="sv-SE"/>
        </w:rPr>
        <w:lastRenderedPageBreak/>
        <w:t xml:space="preserve">Enligt </w:t>
      </w:r>
      <w:r w:rsidRPr="00A05113">
        <w:rPr>
          <w:lang w:val="sv-SE"/>
        </w:rPr>
        <w:t>ovan</w:t>
      </w:r>
      <w:r w:rsidRPr="00A50800">
        <w:rPr>
          <w:lang w:val="sv-SE"/>
        </w:rPr>
        <w:t xml:space="preserve"> omräknad Teckningskurs och omräknat antal Aktier </w:t>
      </w:r>
      <w:r>
        <w:rPr>
          <w:lang w:val="sv-SE"/>
        </w:rPr>
        <w:t>ska</w:t>
      </w:r>
      <w:r w:rsidRPr="00A50800">
        <w:rPr>
          <w:lang w:val="sv-SE"/>
        </w:rPr>
        <w:t xml:space="preserve"> fastställas av Bolaget två Bankdagar efter </w:t>
      </w:r>
      <w:r>
        <w:rPr>
          <w:lang w:val="sv-SE"/>
        </w:rPr>
        <w:t>t</w:t>
      </w:r>
      <w:r w:rsidRPr="00A50800">
        <w:rPr>
          <w:lang w:val="sv-SE"/>
        </w:rPr>
        <w:t xml:space="preserve">eckningstidens utgång och </w:t>
      </w:r>
      <w:r>
        <w:rPr>
          <w:lang w:val="sv-SE"/>
        </w:rPr>
        <w:t>ska</w:t>
      </w:r>
      <w:r w:rsidRPr="00A50800">
        <w:rPr>
          <w:lang w:val="sv-SE"/>
        </w:rPr>
        <w:t xml:space="preserve"> tillämpas vid Teckning, som verkställs därefter.</w:t>
      </w:r>
      <w:r w:rsidRPr="00A50800">
        <w:rPr>
          <w:lang w:val="sv-SE"/>
        </w:rPr>
        <w:br/>
      </w:r>
      <w:r w:rsidRPr="00437F01">
        <w:rPr>
          <w:i/>
        </w:rPr>
        <w:t xml:space="preserve">The recalculated Subscription Price and the recalculated number of Shares </w:t>
      </w:r>
      <w:proofErr w:type="gramStart"/>
      <w:r w:rsidRPr="00437F01">
        <w:rPr>
          <w:i/>
        </w:rPr>
        <w:t>as set</w:t>
      </w:r>
      <w:proofErr w:type="gramEnd"/>
      <w:r w:rsidRPr="00437F01">
        <w:rPr>
          <w:i/>
        </w:rPr>
        <w:t xml:space="preserve"> forth above shall be determined by the Company two Business Days after the expiration of the </w:t>
      </w:r>
      <w:r>
        <w:rPr>
          <w:i/>
        </w:rPr>
        <w:t>s</w:t>
      </w:r>
      <w:r w:rsidRPr="00437F01">
        <w:rPr>
          <w:i/>
        </w:rPr>
        <w:t xml:space="preserve">ubscription </w:t>
      </w:r>
      <w:proofErr w:type="gramStart"/>
      <w:r>
        <w:rPr>
          <w:i/>
        </w:rPr>
        <w:t>p</w:t>
      </w:r>
      <w:r w:rsidRPr="00437F01">
        <w:rPr>
          <w:i/>
        </w:rPr>
        <w:t>eriod and</w:t>
      </w:r>
      <w:proofErr w:type="gramEnd"/>
      <w:r w:rsidRPr="00437F01">
        <w:rPr>
          <w:i/>
        </w:rPr>
        <w:t xml:space="preserve"> shall apply to Subscriptions made after such time.</w:t>
      </w:r>
    </w:p>
    <w:p w14:paraId="6C6F62DC" w14:textId="77777777" w:rsidR="006350FE" w:rsidRDefault="006350FE" w:rsidP="006350FE">
      <w:pPr>
        <w:pStyle w:val="BodyText"/>
        <w:ind w:left="720"/>
        <w:rPr>
          <w:i/>
        </w:rPr>
      </w:pPr>
      <w:r w:rsidRPr="00A50800">
        <w:rPr>
          <w:lang w:val="sv-SE"/>
        </w:rPr>
        <w:t xml:space="preserve">Vid </w:t>
      </w:r>
      <w:r w:rsidRPr="00A05113">
        <w:rPr>
          <w:lang w:val="sv-SE"/>
        </w:rPr>
        <w:t>anmälan</w:t>
      </w:r>
      <w:r w:rsidRPr="00A50800">
        <w:rPr>
          <w:lang w:val="sv-SE"/>
        </w:rPr>
        <w:t xml:space="preserve"> om Teckning som sker under tiden fram till dess att omräknad Teckningskurs och omräknat antal Aktier som varje Teckningsoption berättigar till Teckning av fastställts, </w:t>
      </w:r>
      <w:r>
        <w:rPr>
          <w:lang w:val="sv-SE"/>
        </w:rPr>
        <w:t>ska</w:t>
      </w:r>
      <w:r w:rsidRPr="00A50800">
        <w:rPr>
          <w:lang w:val="sv-SE"/>
        </w:rPr>
        <w:t xml:space="preserve"> bestämmelserna i punkt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sista stycket ovan, äga motsvarande tillämpning.</w:t>
      </w:r>
      <w:r w:rsidRPr="00A50800">
        <w:rPr>
          <w:lang w:val="sv-SE"/>
        </w:rPr>
        <w:br/>
      </w:r>
      <w:r w:rsidRPr="00437F01">
        <w:rPr>
          <w:i/>
        </w:rPr>
        <w:t xml:space="preserve">In relation to notice of Subscription effected during the period until the re-calculated Subscription Price and recalculated number of Shares have been determined, the provisions set forth in the final paragraph of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above shall apply correspondingly.</w:t>
      </w:r>
    </w:p>
    <w:p w14:paraId="083078E1" w14:textId="77777777" w:rsidR="006350FE" w:rsidRPr="00437F01" w:rsidRDefault="006350FE" w:rsidP="007C4B62">
      <w:pPr>
        <w:pStyle w:val="BodyText"/>
        <w:numPr>
          <w:ilvl w:val="2"/>
          <w:numId w:val="57"/>
        </w:numPr>
        <w:spacing w:after="0"/>
        <w:rPr>
          <w:b/>
        </w:rPr>
      </w:pPr>
      <w:r w:rsidRPr="006B6AC0">
        <w:rPr>
          <w:b/>
          <w:lang w:val="sv-SE"/>
        </w:rPr>
        <w:t>Andra riktade erbjudanden till aktieägarna</w:t>
      </w:r>
      <w:r w:rsidRPr="00437F01">
        <w:rPr>
          <w:b/>
        </w:rPr>
        <w:t>/</w:t>
      </w:r>
      <w:r w:rsidRPr="00437F01">
        <w:rPr>
          <w:b/>
          <w:i/>
        </w:rPr>
        <w:t>Other offers directed to the shareholders</w:t>
      </w:r>
    </w:p>
    <w:p w14:paraId="469A09F5" w14:textId="77777777" w:rsidR="006350FE" w:rsidRPr="00437F01" w:rsidRDefault="006350FE" w:rsidP="006350FE">
      <w:pPr>
        <w:pStyle w:val="BodyText"/>
        <w:ind w:left="720"/>
      </w:pPr>
      <w:proofErr w:type="spellStart"/>
      <w:r w:rsidRPr="00EE396E">
        <w:rPr>
          <w:lang w:val="en-US"/>
        </w:rPr>
        <w:t>Skulle</w:t>
      </w:r>
      <w:proofErr w:type="spellEnd"/>
      <w:r w:rsidRPr="00EE396E">
        <w:rPr>
          <w:lang w:val="en-US"/>
        </w:rPr>
        <w:t xml:space="preserve"> </w:t>
      </w:r>
      <w:proofErr w:type="spellStart"/>
      <w:r w:rsidRPr="00EE396E">
        <w:rPr>
          <w:lang w:val="en-US"/>
        </w:rPr>
        <w:t>Bolaget</w:t>
      </w:r>
      <w:proofErr w:type="spellEnd"/>
      <w:r w:rsidRPr="00EE396E">
        <w:rPr>
          <w:lang w:val="en-US"/>
        </w:rPr>
        <w:t xml:space="preserve"> </w:t>
      </w:r>
      <w:proofErr w:type="spellStart"/>
      <w:r w:rsidRPr="00EE396E">
        <w:rPr>
          <w:lang w:val="en-US"/>
        </w:rPr>
        <w:t>i</w:t>
      </w:r>
      <w:proofErr w:type="spellEnd"/>
      <w:r w:rsidRPr="00EE396E">
        <w:rPr>
          <w:lang w:val="en-US"/>
        </w:rPr>
        <w:t xml:space="preserve"> </w:t>
      </w:r>
      <w:proofErr w:type="spellStart"/>
      <w:r w:rsidRPr="00EE396E">
        <w:rPr>
          <w:lang w:val="en-US"/>
        </w:rPr>
        <w:t>andra</w:t>
      </w:r>
      <w:proofErr w:type="spellEnd"/>
      <w:r w:rsidRPr="00EE396E">
        <w:rPr>
          <w:lang w:val="en-US"/>
        </w:rPr>
        <w:t xml:space="preserve"> fall </w:t>
      </w:r>
      <w:proofErr w:type="spellStart"/>
      <w:r w:rsidRPr="00EE396E">
        <w:rPr>
          <w:lang w:val="en-US"/>
        </w:rPr>
        <w:t>än</w:t>
      </w:r>
      <w:proofErr w:type="spellEnd"/>
      <w:r w:rsidRPr="00EE396E">
        <w:rPr>
          <w:lang w:val="en-US"/>
        </w:rPr>
        <w:t xml:space="preserve"> </w:t>
      </w:r>
      <w:proofErr w:type="spellStart"/>
      <w:r w:rsidRPr="00EE396E">
        <w:rPr>
          <w:lang w:val="en-US"/>
        </w:rPr>
        <w:t>som</w:t>
      </w:r>
      <w:proofErr w:type="spellEnd"/>
      <w:r w:rsidRPr="00EE396E">
        <w:rPr>
          <w:lang w:val="en-US"/>
        </w:rPr>
        <w:t xml:space="preserve"> </w:t>
      </w:r>
      <w:proofErr w:type="spellStart"/>
      <w:r w:rsidRPr="00EE396E">
        <w:rPr>
          <w:lang w:val="en-US"/>
        </w:rPr>
        <w:t>avses</w:t>
      </w:r>
      <w:proofErr w:type="spellEnd"/>
      <w:r w:rsidRPr="00EE396E">
        <w:rPr>
          <w:lang w:val="en-US"/>
        </w:rPr>
        <w:t xml:space="preserve"> </w:t>
      </w:r>
      <w:proofErr w:type="spellStart"/>
      <w:r w:rsidRPr="00EE396E">
        <w:rPr>
          <w:lang w:val="en-US"/>
        </w:rPr>
        <w:t>i</w:t>
      </w:r>
      <w:proofErr w:type="spellEnd"/>
      <w:r w:rsidRPr="00EE396E">
        <w:rPr>
          <w:lang w:val="en-US"/>
        </w:rPr>
        <w:t xml:space="preserve"> </w:t>
      </w:r>
      <w:proofErr w:type="spellStart"/>
      <w:r w:rsidRPr="00EE396E">
        <w:rPr>
          <w:lang w:val="en-US"/>
        </w:rPr>
        <w:t>punkterna</w:t>
      </w:r>
      <w:proofErr w:type="spellEnd"/>
      <w:r w:rsidRPr="00EE396E">
        <w:rPr>
          <w:lang w:val="en-US"/>
        </w:rPr>
        <w:t xml:space="preserve"> </w:t>
      </w:r>
      <w:r w:rsidRPr="008570D1">
        <w:rPr>
          <w:szCs w:val="22"/>
          <w:lang w:val="sv-SE"/>
        </w:rPr>
        <w:fldChar w:fldCharType="begin"/>
      </w:r>
      <w:r w:rsidRPr="00EE396E">
        <w:rPr>
          <w:lang w:val="en-US"/>
        </w:rPr>
        <w:instrText xml:space="preserve"> REF _Ref419826047 \r \h </w:instrText>
      </w:r>
      <w:r w:rsidRPr="008570D1">
        <w:rPr>
          <w:szCs w:val="22"/>
          <w:lang w:val="sv-SE"/>
        </w:rPr>
      </w:r>
      <w:r w:rsidRPr="008570D1">
        <w:rPr>
          <w:szCs w:val="22"/>
          <w:lang w:val="sv-SE"/>
        </w:rPr>
        <w:fldChar w:fldCharType="separate"/>
      </w:r>
      <w:r w:rsidRPr="00EE396E">
        <w:rPr>
          <w:lang w:val="en-US"/>
        </w:rPr>
        <w:t>8.2.2</w:t>
      </w:r>
      <w:r w:rsidRPr="008570D1">
        <w:rPr>
          <w:szCs w:val="22"/>
          <w:lang w:val="sv-SE"/>
        </w:rPr>
        <w:fldChar w:fldCharType="end"/>
      </w:r>
      <w:r w:rsidRPr="00EE396E">
        <w:rPr>
          <w:lang w:val="en-US"/>
        </w:rPr>
        <w:t>–</w:t>
      </w:r>
      <w:r w:rsidRPr="008570D1">
        <w:rPr>
          <w:szCs w:val="22"/>
          <w:lang w:val="sv-SE"/>
        </w:rPr>
        <w:fldChar w:fldCharType="begin"/>
      </w:r>
      <w:r w:rsidRPr="00EE396E">
        <w:rPr>
          <w:szCs w:val="22"/>
          <w:lang w:val="en-US"/>
        </w:rPr>
        <w:instrText xml:space="preserve"> REF _Ref445997868 \r \h </w:instrText>
      </w:r>
      <w:r w:rsidRPr="008570D1">
        <w:rPr>
          <w:szCs w:val="22"/>
          <w:lang w:val="sv-SE"/>
        </w:rPr>
      </w:r>
      <w:r w:rsidRPr="008570D1">
        <w:rPr>
          <w:szCs w:val="22"/>
          <w:lang w:val="sv-SE"/>
        </w:rPr>
        <w:fldChar w:fldCharType="separate"/>
      </w:r>
      <w:r w:rsidRPr="00EE396E">
        <w:rPr>
          <w:szCs w:val="22"/>
          <w:lang w:val="en-US"/>
        </w:rPr>
        <w:t>8.2.5</w:t>
      </w:r>
      <w:r w:rsidRPr="008570D1">
        <w:rPr>
          <w:szCs w:val="22"/>
          <w:lang w:val="sv-SE"/>
        </w:rPr>
        <w:fldChar w:fldCharType="end"/>
      </w:r>
      <w:r w:rsidRPr="00EE396E">
        <w:rPr>
          <w:lang w:val="en-US"/>
        </w:rPr>
        <w:t xml:space="preserve"> </w:t>
      </w:r>
      <w:proofErr w:type="spellStart"/>
      <w:r w:rsidRPr="00EE396E">
        <w:rPr>
          <w:lang w:val="en-US"/>
        </w:rPr>
        <w:t>ovan</w:t>
      </w:r>
      <w:proofErr w:type="spellEnd"/>
      <w:r w:rsidRPr="00EE396E">
        <w:rPr>
          <w:lang w:val="en-US"/>
        </w:rPr>
        <w:t xml:space="preserve"> </w:t>
      </w:r>
      <w:proofErr w:type="spellStart"/>
      <w:r w:rsidRPr="00EE396E">
        <w:rPr>
          <w:u w:val="single"/>
          <w:lang w:val="en-US"/>
        </w:rPr>
        <w:t>rikta</w:t>
      </w:r>
      <w:proofErr w:type="spellEnd"/>
      <w:r w:rsidRPr="00EE396E">
        <w:rPr>
          <w:u w:val="single"/>
          <w:lang w:val="en-US"/>
        </w:rPr>
        <w:t xml:space="preserve"> </w:t>
      </w:r>
      <w:proofErr w:type="spellStart"/>
      <w:r w:rsidRPr="00EE396E">
        <w:rPr>
          <w:u w:val="single"/>
          <w:lang w:val="en-US"/>
        </w:rPr>
        <w:t>erbjudande</w:t>
      </w:r>
      <w:proofErr w:type="spellEnd"/>
      <w:r w:rsidRPr="00EE396E">
        <w:rPr>
          <w:u w:val="single"/>
          <w:lang w:val="en-US"/>
        </w:rPr>
        <w:t xml:space="preserve"> till </w:t>
      </w:r>
      <w:proofErr w:type="spellStart"/>
      <w:r w:rsidRPr="00EE396E">
        <w:rPr>
          <w:u w:val="single"/>
          <w:lang w:val="en-US"/>
        </w:rPr>
        <w:t>aktieägarna</w:t>
      </w:r>
      <w:proofErr w:type="spellEnd"/>
      <w:r w:rsidRPr="00EE396E">
        <w:rPr>
          <w:lang w:val="en-US"/>
        </w:rPr>
        <w:t xml:space="preserve"> </w:t>
      </w:r>
      <w:proofErr w:type="spellStart"/>
      <w:r w:rsidRPr="00EE396E">
        <w:rPr>
          <w:lang w:val="en-US"/>
        </w:rPr>
        <w:t>att</w:t>
      </w:r>
      <w:proofErr w:type="spellEnd"/>
      <w:r w:rsidRPr="00EE396E">
        <w:rPr>
          <w:lang w:val="en-US"/>
        </w:rPr>
        <w:t xml:space="preserve">, med </w:t>
      </w:r>
      <w:proofErr w:type="spellStart"/>
      <w:r w:rsidRPr="00EE396E">
        <w:rPr>
          <w:lang w:val="en-US"/>
        </w:rPr>
        <w:t>företrädesrätt</w:t>
      </w:r>
      <w:proofErr w:type="spellEnd"/>
      <w:r w:rsidRPr="00EE396E">
        <w:rPr>
          <w:lang w:val="en-US"/>
        </w:rPr>
        <w:t xml:space="preserve"> </w:t>
      </w:r>
      <w:proofErr w:type="spellStart"/>
      <w:r w:rsidRPr="00EE396E">
        <w:rPr>
          <w:lang w:val="en-US"/>
        </w:rPr>
        <w:t>enligt</w:t>
      </w:r>
      <w:proofErr w:type="spellEnd"/>
      <w:r w:rsidRPr="00EE396E">
        <w:rPr>
          <w:lang w:val="en-US"/>
        </w:rPr>
        <w:t xml:space="preserve"> </w:t>
      </w:r>
      <w:proofErr w:type="spellStart"/>
      <w:r w:rsidRPr="00EE396E">
        <w:rPr>
          <w:lang w:val="en-US"/>
        </w:rPr>
        <w:t>principerna</w:t>
      </w:r>
      <w:proofErr w:type="spellEnd"/>
      <w:r w:rsidRPr="00EE396E">
        <w:rPr>
          <w:lang w:val="en-US"/>
        </w:rPr>
        <w:t xml:space="preserve"> </w:t>
      </w:r>
      <w:proofErr w:type="spellStart"/>
      <w:r w:rsidRPr="00EE396E">
        <w:rPr>
          <w:lang w:val="en-US"/>
        </w:rPr>
        <w:t>i</w:t>
      </w:r>
      <w:proofErr w:type="spellEnd"/>
      <w:r w:rsidRPr="00EE396E">
        <w:rPr>
          <w:lang w:val="en-US"/>
        </w:rPr>
        <w:t xml:space="preserve"> 13 </w:t>
      </w:r>
      <w:proofErr w:type="spellStart"/>
      <w:r w:rsidRPr="00EE396E">
        <w:rPr>
          <w:lang w:val="en-US"/>
        </w:rPr>
        <w:t>kap</w:t>
      </w:r>
      <w:proofErr w:type="spellEnd"/>
      <w:r w:rsidRPr="00EE396E">
        <w:rPr>
          <w:lang w:val="en-US"/>
        </w:rPr>
        <w:t xml:space="preserve">. 1 § </w:t>
      </w:r>
      <w:proofErr w:type="spellStart"/>
      <w:r w:rsidRPr="00EE396E">
        <w:rPr>
          <w:lang w:val="en-US"/>
        </w:rPr>
        <w:t>Aktiebolagslagen</w:t>
      </w:r>
      <w:proofErr w:type="spellEnd"/>
      <w:r w:rsidRPr="00EE396E">
        <w:rPr>
          <w:lang w:val="en-US"/>
        </w:rPr>
        <w:t xml:space="preserve">, av </w:t>
      </w:r>
      <w:proofErr w:type="spellStart"/>
      <w:r w:rsidRPr="00EE396E">
        <w:rPr>
          <w:lang w:val="en-US"/>
        </w:rPr>
        <w:t>Bolaget</w:t>
      </w:r>
      <w:proofErr w:type="spellEnd"/>
      <w:r w:rsidRPr="00EE396E">
        <w:rPr>
          <w:lang w:val="en-US"/>
        </w:rPr>
        <w:t xml:space="preserve"> </w:t>
      </w:r>
      <w:proofErr w:type="spellStart"/>
      <w:r w:rsidRPr="00EE396E">
        <w:rPr>
          <w:lang w:val="en-US"/>
        </w:rPr>
        <w:t>förvärva</w:t>
      </w:r>
      <w:proofErr w:type="spellEnd"/>
      <w:r w:rsidRPr="00EE396E">
        <w:rPr>
          <w:lang w:val="en-US"/>
        </w:rPr>
        <w:t xml:space="preserve"> </w:t>
      </w:r>
      <w:proofErr w:type="spellStart"/>
      <w:r w:rsidRPr="00EE396E">
        <w:rPr>
          <w:lang w:val="en-US"/>
        </w:rPr>
        <w:t>värdepapper</w:t>
      </w:r>
      <w:proofErr w:type="spellEnd"/>
      <w:r w:rsidRPr="00EE396E">
        <w:rPr>
          <w:lang w:val="en-US"/>
        </w:rPr>
        <w:t xml:space="preserve"> </w:t>
      </w:r>
      <w:proofErr w:type="spellStart"/>
      <w:r w:rsidRPr="00EE396E">
        <w:rPr>
          <w:lang w:val="en-US"/>
        </w:rPr>
        <w:t>eller</w:t>
      </w:r>
      <w:proofErr w:type="spellEnd"/>
      <w:r w:rsidRPr="00EE396E">
        <w:rPr>
          <w:lang w:val="en-US"/>
        </w:rPr>
        <w:t xml:space="preserve"> </w:t>
      </w:r>
      <w:proofErr w:type="spellStart"/>
      <w:r w:rsidRPr="00EE396E">
        <w:rPr>
          <w:lang w:val="en-US"/>
        </w:rPr>
        <w:t>rättighet</w:t>
      </w:r>
      <w:proofErr w:type="spellEnd"/>
      <w:r w:rsidRPr="00EE396E">
        <w:rPr>
          <w:lang w:val="en-US"/>
        </w:rPr>
        <w:t xml:space="preserve"> av </w:t>
      </w:r>
      <w:proofErr w:type="spellStart"/>
      <w:r w:rsidRPr="00EE396E">
        <w:rPr>
          <w:lang w:val="en-US"/>
        </w:rPr>
        <w:t>något</w:t>
      </w:r>
      <w:proofErr w:type="spellEnd"/>
      <w:r w:rsidRPr="00EE396E">
        <w:rPr>
          <w:lang w:val="en-US"/>
        </w:rPr>
        <w:t xml:space="preserve"> slag </w:t>
      </w:r>
      <w:proofErr w:type="spellStart"/>
      <w:r w:rsidRPr="00EE396E">
        <w:rPr>
          <w:lang w:val="en-US"/>
        </w:rPr>
        <w:t>eller</w:t>
      </w:r>
      <w:proofErr w:type="spellEnd"/>
      <w:r w:rsidRPr="00EE396E">
        <w:rPr>
          <w:lang w:val="en-US"/>
        </w:rPr>
        <w:t xml:space="preserve"> </w:t>
      </w:r>
      <w:proofErr w:type="spellStart"/>
      <w:r w:rsidRPr="00EE396E">
        <w:rPr>
          <w:lang w:val="en-US"/>
        </w:rPr>
        <w:t>besluta</w:t>
      </w:r>
      <w:proofErr w:type="spellEnd"/>
      <w:r w:rsidRPr="00EE396E">
        <w:rPr>
          <w:lang w:val="en-US"/>
        </w:rPr>
        <w:t xml:space="preserve"> </w:t>
      </w:r>
      <w:proofErr w:type="spellStart"/>
      <w:r w:rsidRPr="00EE396E">
        <w:rPr>
          <w:lang w:val="en-US"/>
        </w:rPr>
        <w:t>att</w:t>
      </w:r>
      <w:proofErr w:type="spellEnd"/>
      <w:r w:rsidRPr="00EE396E">
        <w:rPr>
          <w:lang w:val="en-US"/>
        </w:rPr>
        <w:t xml:space="preserve">, </w:t>
      </w:r>
      <w:proofErr w:type="spellStart"/>
      <w:r w:rsidRPr="00EE396E">
        <w:rPr>
          <w:lang w:val="en-US"/>
        </w:rPr>
        <w:t>enligt</w:t>
      </w:r>
      <w:proofErr w:type="spellEnd"/>
      <w:r w:rsidRPr="00EE396E">
        <w:rPr>
          <w:lang w:val="en-US"/>
        </w:rPr>
        <w:t xml:space="preserve"> </w:t>
      </w:r>
      <w:proofErr w:type="spellStart"/>
      <w:r w:rsidRPr="00EE396E">
        <w:rPr>
          <w:lang w:val="en-US"/>
        </w:rPr>
        <w:t>ovan</w:t>
      </w:r>
      <w:proofErr w:type="spellEnd"/>
      <w:r w:rsidRPr="00EE396E">
        <w:rPr>
          <w:lang w:val="en-US"/>
        </w:rPr>
        <w:t xml:space="preserve"> </w:t>
      </w:r>
      <w:proofErr w:type="spellStart"/>
      <w:r w:rsidRPr="00EE396E">
        <w:rPr>
          <w:lang w:val="en-US"/>
        </w:rPr>
        <w:t>nämnda</w:t>
      </w:r>
      <w:proofErr w:type="spellEnd"/>
      <w:r w:rsidRPr="00EE396E">
        <w:rPr>
          <w:lang w:val="en-US"/>
        </w:rPr>
        <w:t xml:space="preserve"> </w:t>
      </w:r>
      <w:proofErr w:type="spellStart"/>
      <w:r w:rsidRPr="00EE396E">
        <w:rPr>
          <w:lang w:val="en-US"/>
        </w:rPr>
        <w:t>principer</w:t>
      </w:r>
      <w:proofErr w:type="spellEnd"/>
      <w:r w:rsidRPr="00EE396E">
        <w:rPr>
          <w:lang w:val="en-US"/>
        </w:rPr>
        <w:t xml:space="preserve">, till </w:t>
      </w:r>
      <w:proofErr w:type="spellStart"/>
      <w:r w:rsidRPr="00EE396E">
        <w:rPr>
          <w:lang w:val="en-US"/>
        </w:rPr>
        <w:t>aktieägarna</w:t>
      </w:r>
      <w:proofErr w:type="spellEnd"/>
      <w:r w:rsidRPr="00EE396E">
        <w:rPr>
          <w:lang w:val="en-US"/>
        </w:rPr>
        <w:t xml:space="preserve"> </w:t>
      </w:r>
      <w:proofErr w:type="spellStart"/>
      <w:r w:rsidRPr="00EE396E">
        <w:rPr>
          <w:lang w:val="en-US"/>
        </w:rPr>
        <w:t>utdela</w:t>
      </w:r>
      <w:proofErr w:type="spellEnd"/>
      <w:r w:rsidRPr="00EE396E">
        <w:rPr>
          <w:lang w:val="en-US"/>
        </w:rPr>
        <w:t xml:space="preserve"> </w:t>
      </w:r>
      <w:proofErr w:type="spellStart"/>
      <w:r w:rsidRPr="00EE396E">
        <w:rPr>
          <w:lang w:val="en-US"/>
        </w:rPr>
        <w:t>sådana</w:t>
      </w:r>
      <w:proofErr w:type="spellEnd"/>
      <w:r w:rsidRPr="00EE396E">
        <w:rPr>
          <w:lang w:val="en-US"/>
        </w:rPr>
        <w:t xml:space="preserve"> </w:t>
      </w:r>
      <w:proofErr w:type="spellStart"/>
      <w:r w:rsidRPr="00EE396E">
        <w:rPr>
          <w:lang w:val="en-US"/>
        </w:rPr>
        <w:t>värdepapper</w:t>
      </w:r>
      <w:proofErr w:type="spellEnd"/>
      <w:r w:rsidRPr="00EE396E">
        <w:rPr>
          <w:lang w:val="en-US"/>
        </w:rPr>
        <w:t xml:space="preserve"> </w:t>
      </w:r>
      <w:proofErr w:type="spellStart"/>
      <w:r w:rsidRPr="00EE396E">
        <w:rPr>
          <w:lang w:val="en-US"/>
        </w:rPr>
        <w:t>eller</w:t>
      </w:r>
      <w:proofErr w:type="spellEnd"/>
      <w:r w:rsidRPr="00EE396E">
        <w:rPr>
          <w:lang w:val="en-US"/>
        </w:rPr>
        <w:t xml:space="preserve"> </w:t>
      </w:r>
      <w:proofErr w:type="spellStart"/>
      <w:r w:rsidRPr="00EE396E">
        <w:rPr>
          <w:lang w:val="en-US"/>
        </w:rPr>
        <w:t>rättigheter</w:t>
      </w:r>
      <w:proofErr w:type="spellEnd"/>
      <w:r w:rsidRPr="00EE396E">
        <w:rPr>
          <w:lang w:val="en-US"/>
        </w:rPr>
        <w:t xml:space="preserve"> </w:t>
      </w:r>
      <w:proofErr w:type="spellStart"/>
      <w:r w:rsidRPr="00EE396E">
        <w:rPr>
          <w:lang w:val="en-US"/>
        </w:rPr>
        <w:t>utan</w:t>
      </w:r>
      <w:proofErr w:type="spellEnd"/>
      <w:r w:rsidRPr="00EE396E">
        <w:rPr>
          <w:lang w:val="en-US"/>
        </w:rPr>
        <w:t xml:space="preserve"> </w:t>
      </w:r>
      <w:proofErr w:type="spellStart"/>
      <w:r w:rsidRPr="00EE396E">
        <w:rPr>
          <w:lang w:val="en-US"/>
        </w:rPr>
        <w:t>vederlag</w:t>
      </w:r>
      <w:proofErr w:type="spellEnd"/>
      <w:r w:rsidRPr="00EE396E">
        <w:rPr>
          <w:lang w:val="en-US"/>
        </w:rPr>
        <w:t xml:space="preserve"> (</w:t>
      </w:r>
      <w:proofErr w:type="spellStart"/>
      <w:r w:rsidRPr="00EE396E">
        <w:rPr>
          <w:lang w:val="en-US"/>
        </w:rPr>
        <w:t>erbjudandet</w:t>
      </w:r>
      <w:proofErr w:type="spellEnd"/>
      <w:r w:rsidRPr="00EE396E">
        <w:rPr>
          <w:lang w:val="en-US"/>
        </w:rPr>
        <w:t xml:space="preserve">) ska vid </w:t>
      </w:r>
      <w:proofErr w:type="spellStart"/>
      <w:r w:rsidRPr="00EE396E">
        <w:rPr>
          <w:lang w:val="en-US"/>
        </w:rPr>
        <w:t>Teckning</w:t>
      </w:r>
      <w:proofErr w:type="spellEnd"/>
      <w:r w:rsidRPr="00EE396E">
        <w:rPr>
          <w:lang w:val="en-US"/>
        </w:rPr>
        <w:t xml:space="preserve">, </w:t>
      </w:r>
      <w:proofErr w:type="spellStart"/>
      <w:r w:rsidRPr="00EE396E">
        <w:rPr>
          <w:lang w:val="en-US"/>
        </w:rPr>
        <w:t>som</w:t>
      </w:r>
      <w:proofErr w:type="spellEnd"/>
      <w:r w:rsidRPr="00EE396E">
        <w:rPr>
          <w:lang w:val="en-US"/>
        </w:rPr>
        <w:t xml:space="preserve"> </w:t>
      </w:r>
      <w:proofErr w:type="spellStart"/>
      <w:r w:rsidRPr="00EE396E">
        <w:rPr>
          <w:lang w:val="en-US"/>
        </w:rPr>
        <w:t>görs</w:t>
      </w:r>
      <w:proofErr w:type="spellEnd"/>
      <w:r w:rsidRPr="00EE396E">
        <w:rPr>
          <w:lang w:val="en-US"/>
        </w:rPr>
        <w:t xml:space="preserve"> </w:t>
      </w:r>
      <w:proofErr w:type="spellStart"/>
      <w:r w:rsidRPr="00EE396E">
        <w:rPr>
          <w:lang w:val="en-US"/>
        </w:rPr>
        <w:t>på</w:t>
      </w:r>
      <w:proofErr w:type="spellEnd"/>
      <w:r w:rsidRPr="00EE396E">
        <w:rPr>
          <w:lang w:val="en-US"/>
        </w:rPr>
        <w:t xml:space="preserve"> </w:t>
      </w:r>
      <w:proofErr w:type="spellStart"/>
      <w:r w:rsidRPr="00EE396E">
        <w:rPr>
          <w:lang w:val="en-US"/>
        </w:rPr>
        <w:t>sådan</w:t>
      </w:r>
      <w:proofErr w:type="spellEnd"/>
      <w:r w:rsidRPr="00EE396E">
        <w:rPr>
          <w:lang w:val="en-US"/>
        </w:rPr>
        <w:t xml:space="preserve"> </w:t>
      </w:r>
      <w:proofErr w:type="spellStart"/>
      <w:r w:rsidRPr="00EE396E">
        <w:rPr>
          <w:lang w:val="en-US"/>
        </w:rPr>
        <w:t>tid</w:t>
      </w:r>
      <w:proofErr w:type="spellEnd"/>
      <w:r w:rsidRPr="00EE396E">
        <w:rPr>
          <w:lang w:val="en-US"/>
        </w:rPr>
        <w:t xml:space="preserve">, </w:t>
      </w:r>
      <w:proofErr w:type="spellStart"/>
      <w:r w:rsidRPr="00EE396E">
        <w:rPr>
          <w:lang w:val="en-US"/>
        </w:rPr>
        <w:t>att</w:t>
      </w:r>
      <w:proofErr w:type="spellEnd"/>
      <w:r w:rsidRPr="00EE396E">
        <w:rPr>
          <w:lang w:val="en-US"/>
        </w:rPr>
        <w:t xml:space="preserve"> </w:t>
      </w:r>
      <w:proofErr w:type="spellStart"/>
      <w:r w:rsidRPr="00EE396E">
        <w:rPr>
          <w:lang w:val="en-US"/>
        </w:rPr>
        <w:t>därigenom</w:t>
      </w:r>
      <w:proofErr w:type="spellEnd"/>
      <w:r w:rsidRPr="00EE396E">
        <w:rPr>
          <w:lang w:val="en-US"/>
        </w:rPr>
        <w:t xml:space="preserve"> </w:t>
      </w:r>
      <w:proofErr w:type="spellStart"/>
      <w:r w:rsidRPr="00EE396E">
        <w:rPr>
          <w:lang w:val="en-US"/>
        </w:rPr>
        <w:t>erhållen</w:t>
      </w:r>
      <w:proofErr w:type="spellEnd"/>
      <w:r w:rsidRPr="00EE396E">
        <w:rPr>
          <w:lang w:val="en-US"/>
        </w:rPr>
        <w:t xml:space="preserve"> </w:t>
      </w:r>
      <w:proofErr w:type="spellStart"/>
      <w:r w:rsidRPr="00EE396E">
        <w:rPr>
          <w:lang w:val="en-US"/>
        </w:rPr>
        <w:t>Aktie</w:t>
      </w:r>
      <w:proofErr w:type="spellEnd"/>
      <w:r w:rsidRPr="00EE396E">
        <w:rPr>
          <w:lang w:val="en-US"/>
        </w:rPr>
        <w:t xml:space="preserve"> </w:t>
      </w:r>
      <w:proofErr w:type="spellStart"/>
      <w:r w:rsidRPr="00EE396E">
        <w:rPr>
          <w:lang w:val="en-US"/>
        </w:rPr>
        <w:t>inte</w:t>
      </w:r>
      <w:proofErr w:type="spellEnd"/>
      <w:r w:rsidRPr="00EE396E">
        <w:rPr>
          <w:lang w:val="en-US"/>
        </w:rPr>
        <w:t xml:space="preserve"> </w:t>
      </w:r>
      <w:proofErr w:type="spellStart"/>
      <w:r w:rsidRPr="00EE396E">
        <w:rPr>
          <w:lang w:val="en-US"/>
        </w:rPr>
        <w:t>medför</w:t>
      </w:r>
      <w:proofErr w:type="spellEnd"/>
      <w:r w:rsidRPr="00EE396E">
        <w:rPr>
          <w:lang w:val="en-US"/>
        </w:rPr>
        <w:t xml:space="preserve"> </w:t>
      </w:r>
      <w:proofErr w:type="spellStart"/>
      <w:r w:rsidRPr="00EE396E">
        <w:rPr>
          <w:lang w:val="en-US"/>
        </w:rPr>
        <w:t>rätt</w:t>
      </w:r>
      <w:proofErr w:type="spellEnd"/>
      <w:r w:rsidRPr="00EE396E">
        <w:rPr>
          <w:lang w:val="en-US"/>
        </w:rPr>
        <w:t xml:space="preserve"> till </w:t>
      </w:r>
      <w:proofErr w:type="spellStart"/>
      <w:r w:rsidRPr="00EE396E">
        <w:rPr>
          <w:lang w:val="en-US"/>
        </w:rPr>
        <w:t>deltagande</w:t>
      </w:r>
      <w:proofErr w:type="spellEnd"/>
      <w:r w:rsidRPr="00EE396E">
        <w:rPr>
          <w:lang w:val="en-US"/>
        </w:rPr>
        <w:t xml:space="preserve"> </w:t>
      </w:r>
      <w:proofErr w:type="spellStart"/>
      <w:r w:rsidRPr="00EE396E">
        <w:rPr>
          <w:lang w:val="en-US"/>
        </w:rPr>
        <w:t>i</w:t>
      </w:r>
      <w:proofErr w:type="spellEnd"/>
      <w:r w:rsidRPr="00EE396E">
        <w:rPr>
          <w:lang w:val="en-US"/>
        </w:rPr>
        <w:t xml:space="preserve"> </w:t>
      </w:r>
      <w:proofErr w:type="spellStart"/>
      <w:r w:rsidRPr="00EE396E">
        <w:rPr>
          <w:lang w:val="en-US"/>
        </w:rPr>
        <w:t>erbjudandet</w:t>
      </w:r>
      <w:proofErr w:type="spellEnd"/>
      <w:r w:rsidRPr="00EE396E">
        <w:rPr>
          <w:lang w:val="en-US"/>
        </w:rPr>
        <w:t xml:space="preserve">, ska </w:t>
      </w:r>
      <w:proofErr w:type="spellStart"/>
      <w:r w:rsidRPr="00EE396E">
        <w:rPr>
          <w:lang w:val="en-US"/>
        </w:rPr>
        <w:t>följande</w:t>
      </w:r>
      <w:proofErr w:type="spellEnd"/>
      <w:r w:rsidRPr="00EE396E">
        <w:rPr>
          <w:lang w:val="en-US"/>
        </w:rPr>
        <w:t xml:space="preserve"> </w:t>
      </w:r>
      <w:proofErr w:type="spellStart"/>
      <w:r w:rsidRPr="00EE396E">
        <w:rPr>
          <w:lang w:val="en-US"/>
        </w:rPr>
        <w:t>gälla</w:t>
      </w:r>
      <w:proofErr w:type="spellEnd"/>
      <w:r w:rsidRPr="00EE396E">
        <w:rPr>
          <w:lang w:val="en-US"/>
        </w:rPr>
        <w:t>:</w:t>
      </w:r>
      <w:r w:rsidRPr="00437F01">
        <w:br/>
      </w:r>
      <w:r w:rsidRPr="00437F01">
        <w:rPr>
          <w:i/>
        </w:rPr>
        <w:t xml:space="preserve">In the event the Company, under circumstances other than those set forth in sections </w:t>
      </w:r>
      <w:r>
        <w:rPr>
          <w:i/>
          <w:szCs w:val="22"/>
        </w:rPr>
        <w:fldChar w:fldCharType="begin"/>
      </w:r>
      <w:r>
        <w:rPr>
          <w:i/>
        </w:rPr>
        <w:instrText xml:space="preserve"> REF _Ref419826047 \r \h </w:instrText>
      </w:r>
      <w:r>
        <w:rPr>
          <w:i/>
          <w:szCs w:val="22"/>
        </w:rPr>
      </w:r>
      <w:r>
        <w:rPr>
          <w:i/>
          <w:szCs w:val="22"/>
        </w:rPr>
        <w:fldChar w:fldCharType="separate"/>
      </w:r>
      <w:r>
        <w:rPr>
          <w:i/>
        </w:rPr>
        <w:t>8.2.2</w:t>
      </w:r>
      <w:r>
        <w:rPr>
          <w:i/>
          <w:szCs w:val="22"/>
        </w:rPr>
        <w:fldChar w:fldCharType="end"/>
      </w:r>
      <w:r w:rsidRPr="00437F01">
        <w:rPr>
          <w:i/>
        </w:rPr>
        <w:t>–</w:t>
      </w:r>
      <w:r>
        <w:rPr>
          <w:i/>
          <w:szCs w:val="22"/>
        </w:rPr>
        <w:fldChar w:fldCharType="begin"/>
      </w:r>
      <w:r>
        <w:rPr>
          <w:i/>
          <w:szCs w:val="22"/>
        </w:rPr>
        <w:instrText xml:space="preserve"> REF _Ref445997868 \r \h </w:instrText>
      </w:r>
      <w:r>
        <w:rPr>
          <w:i/>
          <w:szCs w:val="22"/>
        </w:rPr>
      </w:r>
      <w:r>
        <w:rPr>
          <w:i/>
          <w:szCs w:val="22"/>
        </w:rPr>
        <w:fldChar w:fldCharType="separate"/>
      </w:r>
      <w:r>
        <w:rPr>
          <w:i/>
          <w:szCs w:val="22"/>
        </w:rPr>
        <w:t>8.2.5</w:t>
      </w:r>
      <w:r>
        <w:rPr>
          <w:i/>
          <w:szCs w:val="22"/>
        </w:rPr>
        <w:fldChar w:fldCharType="end"/>
      </w:r>
      <w:r w:rsidRPr="00437F01">
        <w:rPr>
          <w:i/>
        </w:rPr>
        <w:t xml:space="preserve"> above, </w:t>
      </w:r>
      <w:r w:rsidRPr="00437F01">
        <w:rPr>
          <w:i/>
          <w:u w:val="single"/>
        </w:rPr>
        <w:t>directs an offer to the shareholders</w:t>
      </w:r>
      <w:r w:rsidRPr="00437F01">
        <w:rPr>
          <w:i/>
        </w:rPr>
        <w:t xml:space="preserve">, with a priority rights pursuant to the principles set forth in Ch. 13 </w:t>
      </w:r>
      <w:r>
        <w:rPr>
          <w:i/>
        </w:rPr>
        <w:t>§</w:t>
      </w:r>
      <w:r w:rsidRPr="00437F01">
        <w:rPr>
          <w:i/>
        </w:rPr>
        <w:t xml:space="preserve"> 1 of the </w:t>
      </w:r>
      <w:r>
        <w:rPr>
          <w:i/>
        </w:rPr>
        <w:t xml:space="preserve">Swedish </w:t>
      </w:r>
      <w:r w:rsidRPr="00437F01">
        <w:rPr>
          <w:i/>
        </w:rPr>
        <w:t>Companies Act, to acquire securities or rights of any kind from the Company, or where the Company resolves, pursuant to the above stated principles, to distribute to its shareholders such securities or rights without consideration (the offer), the following shall apply, with respect to Subscriptions requested at such a time that the thereby acquired Shares do not carry rights to participate in the offer:</w:t>
      </w:r>
    </w:p>
    <w:p w14:paraId="1E7CDB04" w14:textId="77777777" w:rsidR="006350FE" w:rsidRPr="00437F01" w:rsidRDefault="006350FE" w:rsidP="007C4B62">
      <w:pPr>
        <w:pStyle w:val="BodyText"/>
        <w:numPr>
          <w:ilvl w:val="0"/>
          <w:numId w:val="59"/>
        </w:numPr>
        <w:ind w:firstLine="0"/>
      </w:pPr>
      <w:r w:rsidRPr="00A50800">
        <w:rPr>
          <w:rFonts w:eastAsia="Times New Roman"/>
          <w:lang w:val="sv-SE"/>
        </w:rPr>
        <w:t xml:space="preserve">Om Bolagets Aktier vid tidpunkten för emissionen inte är föremål för marknadsnotering, </w:t>
      </w:r>
      <w:r>
        <w:rPr>
          <w:rFonts w:eastAsia="Times New Roman"/>
          <w:lang w:val="sv-SE"/>
        </w:rPr>
        <w:t>ska</w:t>
      </w:r>
      <w:r w:rsidRPr="00A50800">
        <w:rPr>
          <w:rFonts w:eastAsia="Times New Roman"/>
          <w:lang w:val="sv-SE"/>
        </w:rPr>
        <w:t xml:space="preserve"> omräkning ske, dels av Teckningskursen, dels av det antal Aktier som varje Teckningsoption ger rätt att teckna i enlighet med denna punkt </w:t>
      </w:r>
      <w:r>
        <w:fldChar w:fldCharType="begin"/>
      </w:r>
      <w:r>
        <w:rPr>
          <w:rFonts w:eastAsia="Times New Roman"/>
          <w:lang w:val="sv-SE"/>
        </w:rPr>
        <w:instrText xml:space="preserve"> REF _Ref445997940 \r \h </w:instrText>
      </w:r>
      <w:r>
        <w:fldChar w:fldCharType="separate"/>
      </w:r>
      <w:r>
        <w:rPr>
          <w:rFonts w:eastAsia="Times New Roman"/>
          <w:lang w:val="sv-SE"/>
        </w:rPr>
        <w:t>8.2.6</w:t>
      </w:r>
      <w:r>
        <w:fldChar w:fldCharType="end"/>
      </w:r>
      <w:r w:rsidRPr="00A50800">
        <w:rPr>
          <w:rFonts w:eastAsia="Times New Roman"/>
          <w:lang w:val="sv-SE"/>
        </w:rPr>
        <w:t xml:space="preserve"> angivna principer. Omräkningen </w:t>
      </w:r>
      <w:r>
        <w:rPr>
          <w:rFonts w:eastAsia="Times New Roman"/>
          <w:lang w:val="sv-SE"/>
        </w:rPr>
        <w:t>ska</w:t>
      </w:r>
      <w:r w:rsidRPr="00A50800">
        <w:rPr>
          <w:rFonts w:eastAsia="Times New Roman"/>
          <w:lang w:val="sv-SE"/>
        </w:rPr>
        <w:t xml:space="preserve"> utföras av Bolaget</w:t>
      </w:r>
      <w:r>
        <w:rPr>
          <w:rFonts w:eastAsia="Times New Roman"/>
          <w:lang w:val="sv-SE"/>
        </w:rPr>
        <w:t xml:space="preserve"> och</w:t>
      </w:r>
      <w:r w:rsidRPr="00A50800">
        <w:rPr>
          <w:rFonts w:eastAsia="Times New Roman"/>
          <w:lang w:val="sv-SE"/>
        </w:rPr>
        <w:t xml:space="preserve"> </w:t>
      </w:r>
      <w:r>
        <w:rPr>
          <w:rFonts w:eastAsia="Times New Roman"/>
          <w:lang w:val="sv-SE"/>
        </w:rPr>
        <w:t>ska</w:t>
      </w:r>
      <w:r w:rsidRPr="00A50800">
        <w:rPr>
          <w:rFonts w:eastAsia="Times New Roman"/>
          <w:lang w:val="sv-SE"/>
        </w:rPr>
        <w:t xml:space="preserve"> ha som utgångspunkt att värdet på Teckningsoptionerna </w:t>
      </w:r>
      <w:r>
        <w:rPr>
          <w:rFonts w:eastAsia="Times New Roman"/>
          <w:lang w:val="sv-SE"/>
        </w:rPr>
        <w:t>ska</w:t>
      </w:r>
      <w:r w:rsidRPr="00A50800">
        <w:rPr>
          <w:rFonts w:eastAsia="Times New Roman"/>
          <w:lang w:val="sv-SE"/>
        </w:rPr>
        <w:t xml:space="preserve"> lämnas oförändrat.</w:t>
      </w:r>
      <w:r w:rsidRPr="00A50800">
        <w:rPr>
          <w:rFonts w:eastAsia="Times New Roman"/>
          <w:lang w:val="sv-SE"/>
        </w:rPr>
        <w:br/>
      </w:r>
      <w:r w:rsidRPr="00437F01">
        <w:rPr>
          <w:i/>
        </w:rPr>
        <w:t xml:space="preserve">Should the Company's Shares not be listed, at the time of the issuance, a recalculation of the Subscription Price and the number of Shares each Warrant entitles to subscribe for shall be adjusted in accordance with the principles set forth in this section </w:t>
      </w:r>
      <w:r>
        <w:rPr>
          <w:i/>
        </w:rPr>
        <w:fldChar w:fldCharType="begin"/>
      </w:r>
      <w:r>
        <w:rPr>
          <w:i/>
        </w:rPr>
        <w:instrText xml:space="preserve"> REF _Ref445997940 \r \h </w:instrText>
      </w:r>
      <w:r>
        <w:rPr>
          <w:i/>
        </w:rPr>
      </w:r>
      <w:r>
        <w:rPr>
          <w:i/>
        </w:rPr>
        <w:fldChar w:fldCharType="separate"/>
      </w:r>
      <w:r>
        <w:rPr>
          <w:i/>
        </w:rPr>
        <w:t>8.2.6</w:t>
      </w:r>
      <w:r>
        <w:rPr>
          <w:i/>
        </w:rPr>
        <w:fldChar w:fldCharType="end"/>
      </w:r>
      <w:r w:rsidRPr="00437F01">
        <w:rPr>
          <w:i/>
        </w:rPr>
        <w:t>. The recalculation shall be made by the Company and shall be made on the basis that the value of the Warrants shall remain unchanged.</w:t>
      </w:r>
      <w:r w:rsidRPr="00437F01">
        <w:t xml:space="preserve"> </w:t>
      </w:r>
    </w:p>
    <w:p w14:paraId="36EAE838" w14:textId="77777777" w:rsidR="006350FE" w:rsidRPr="00437F01" w:rsidRDefault="006350FE" w:rsidP="007C4B62">
      <w:pPr>
        <w:pStyle w:val="BodyText"/>
        <w:numPr>
          <w:ilvl w:val="0"/>
          <w:numId w:val="59"/>
        </w:numPr>
        <w:ind w:firstLine="0"/>
      </w:pPr>
      <w:r w:rsidRPr="00A50800">
        <w:rPr>
          <w:rFonts w:eastAsia="Times New Roman"/>
          <w:lang w:val="sv-SE"/>
        </w:rPr>
        <w:t xml:space="preserve">Om Bolagets Aktier vid tidpunkten för emissionen är föremål för marknadsnotering, </w:t>
      </w:r>
      <w:r>
        <w:rPr>
          <w:rFonts w:eastAsia="Times New Roman"/>
          <w:lang w:val="sv-SE"/>
        </w:rPr>
        <w:t>s</w:t>
      </w:r>
      <w:r w:rsidRPr="0003484D">
        <w:rPr>
          <w:rFonts w:eastAsia="Times New Roman"/>
          <w:lang w:val="sv-SE"/>
        </w:rPr>
        <w:t xml:space="preserve">ka tillämpas en omräknad Teckningskurs liksom en omräkning av det antal Aktier som varje Teckningsoption berättigar till Teckning av. </w:t>
      </w:r>
      <w:proofErr w:type="spellStart"/>
      <w:r w:rsidRPr="006B6AC0">
        <w:rPr>
          <w:rFonts w:eastAsia="Times New Roman"/>
          <w:lang w:val="en-US"/>
        </w:rPr>
        <w:t>Omräkningarna</w:t>
      </w:r>
      <w:proofErr w:type="spellEnd"/>
      <w:r w:rsidRPr="006B6AC0">
        <w:rPr>
          <w:rFonts w:eastAsia="Times New Roman"/>
          <w:lang w:val="en-US"/>
        </w:rPr>
        <w:t xml:space="preserve"> </w:t>
      </w:r>
      <w:proofErr w:type="spellStart"/>
      <w:r w:rsidRPr="006B6AC0">
        <w:rPr>
          <w:rFonts w:eastAsia="Times New Roman"/>
          <w:lang w:val="en-US"/>
        </w:rPr>
        <w:t>utförs</w:t>
      </w:r>
      <w:proofErr w:type="spellEnd"/>
      <w:r w:rsidRPr="006B6AC0">
        <w:rPr>
          <w:rFonts w:eastAsia="Times New Roman"/>
          <w:lang w:val="en-US"/>
        </w:rPr>
        <w:t xml:space="preserve"> av </w:t>
      </w:r>
      <w:proofErr w:type="spellStart"/>
      <w:r w:rsidRPr="006B6AC0">
        <w:rPr>
          <w:rFonts w:eastAsia="Times New Roman"/>
          <w:lang w:val="en-US"/>
        </w:rPr>
        <w:t>Bolaget</w:t>
      </w:r>
      <w:proofErr w:type="spellEnd"/>
      <w:r w:rsidRPr="006B6AC0">
        <w:rPr>
          <w:rFonts w:eastAsia="Times New Roman"/>
          <w:lang w:val="en-US"/>
        </w:rPr>
        <w:t xml:space="preserve"> </w:t>
      </w:r>
      <w:proofErr w:type="spellStart"/>
      <w:r w:rsidRPr="006B6AC0">
        <w:rPr>
          <w:rFonts w:eastAsia="Times New Roman"/>
          <w:lang w:val="en-US"/>
        </w:rPr>
        <w:t>enligt</w:t>
      </w:r>
      <w:proofErr w:type="spellEnd"/>
      <w:r w:rsidRPr="006B6AC0">
        <w:rPr>
          <w:rFonts w:eastAsia="Times New Roman"/>
          <w:lang w:val="en-US"/>
        </w:rPr>
        <w:t xml:space="preserve"> </w:t>
      </w:r>
      <w:proofErr w:type="spellStart"/>
      <w:r w:rsidRPr="006B6AC0">
        <w:rPr>
          <w:rFonts w:eastAsia="Times New Roman"/>
          <w:lang w:val="en-US"/>
        </w:rPr>
        <w:t>följande</w:t>
      </w:r>
      <w:proofErr w:type="spellEnd"/>
      <w:r w:rsidRPr="006B6AC0">
        <w:rPr>
          <w:rFonts w:eastAsia="Times New Roman"/>
          <w:lang w:val="en-US"/>
        </w:rPr>
        <w:t xml:space="preserve"> </w:t>
      </w:r>
      <w:proofErr w:type="spellStart"/>
      <w:r w:rsidRPr="006B6AC0">
        <w:rPr>
          <w:rFonts w:eastAsia="Times New Roman"/>
          <w:lang w:val="en-US"/>
        </w:rPr>
        <w:t>formler</w:t>
      </w:r>
      <w:proofErr w:type="spellEnd"/>
      <w:r w:rsidRPr="006B6AC0">
        <w:rPr>
          <w:rFonts w:eastAsia="Times New Roman"/>
          <w:lang w:val="en-US"/>
        </w:rPr>
        <w:t>:</w:t>
      </w:r>
      <w:r w:rsidRPr="00437F01">
        <w:rPr>
          <w:rFonts w:eastAsia="Times New Roman"/>
        </w:rPr>
        <w:br/>
      </w:r>
      <w:r w:rsidRPr="00437F01">
        <w:rPr>
          <w:i/>
        </w:rPr>
        <w:t>Should the Company's Shares be listed at the time of the issuance, a recalculated Subscription Price as well as a recalculated number of Shares which each Warrant entitles to Subscribe for shall be applied. Recalculations shall be made by the Company in accordance with the following formulas:</w:t>
      </w:r>
    </w:p>
    <w:tbl>
      <w:tblPr>
        <w:tblW w:w="8370" w:type="dxa"/>
        <w:tblInd w:w="630" w:type="dxa"/>
        <w:tblBorders>
          <w:top w:val="nil"/>
          <w:left w:val="nil"/>
          <w:bottom w:val="nil"/>
          <w:right w:val="nil"/>
          <w:insideH w:val="nil"/>
          <w:insideV w:val="nil"/>
        </w:tblBorders>
        <w:tblLook w:val="04A0" w:firstRow="1" w:lastRow="0" w:firstColumn="1" w:lastColumn="0" w:noHBand="0" w:noVBand="1"/>
      </w:tblPr>
      <w:tblGrid>
        <w:gridCol w:w="2160"/>
        <w:gridCol w:w="450"/>
        <w:gridCol w:w="5760"/>
      </w:tblGrid>
      <w:tr w:rsidR="006350FE" w:rsidRPr="00D00630" w14:paraId="785B7663" w14:textId="77777777" w:rsidTr="00695A7D">
        <w:trPr>
          <w:cantSplit/>
        </w:trPr>
        <w:tc>
          <w:tcPr>
            <w:tcW w:w="2160" w:type="dxa"/>
            <w:vMerge w:val="restart"/>
            <w:vAlign w:val="center"/>
          </w:tcPr>
          <w:p w14:paraId="6CDB75EC" w14:textId="77777777" w:rsidR="006350FE" w:rsidRPr="00437F01" w:rsidRDefault="006350FE" w:rsidP="00695A7D">
            <w:pPr>
              <w:pStyle w:val="TableText"/>
              <w:spacing w:after="0"/>
            </w:pPr>
            <w:proofErr w:type="spellStart"/>
            <w:r w:rsidRPr="00437F01">
              <w:t>Omräknad</w:t>
            </w:r>
            <w:proofErr w:type="spellEnd"/>
            <w:r w:rsidRPr="00437F01">
              <w:t xml:space="preserve"> </w:t>
            </w:r>
            <w:proofErr w:type="spellStart"/>
            <w:r w:rsidRPr="00437F01">
              <w:t>Teckningskurs</w:t>
            </w:r>
            <w:proofErr w:type="spellEnd"/>
          </w:p>
        </w:tc>
        <w:tc>
          <w:tcPr>
            <w:tcW w:w="450" w:type="dxa"/>
            <w:vMerge w:val="restart"/>
            <w:vAlign w:val="center"/>
          </w:tcPr>
          <w:p w14:paraId="3A47C6CF" w14:textId="77777777" w:rsidR="006350FE" w:rsidRPr="00437F01" w:rsidRDefault="006350FE" w:rsidP="00695A7D">
            <w:pPr>
              <w:pStyle w:val="TableText"/>
              <w:spacing w:after="0"/>
              <w:jc w:val="center"/>
            </w:pPr>
            <w:r w:rsidRPr="00437F01">
              <w:t>=</w:t>
            </w:r>
          </w:p>
        </w:tc>
        <w:tc>
          <w:tcPr>
            <w:tcW w:w="5760" w:type="dxa"/>
            <w:tcBorders>
              <w:bottom w:val="single" w:sz="4" w:space="0" w:color="auto"/>
            </w:tcBorders>
          </w:tcPr>
          <w:p w14:paraId="6EA2D893" w14:textId="77777777" w:rsidR="006350FE" w:rsidRPr="00A50800" w:rsidRDefault="006350F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Aktiens genomsnittliga aktiekurs under den i erbjudandet fastställda anmälningstiden (</w:t>
            </w:r>
            <w:r>
              <w:rPr>
                <w:lang w:val="sv-SE"/>
              </w:rPr>
              <w:t>Aktie</w:t>
            </w:r>
            <w:r w:rsidRPr="00A50800">
              <w:rPr>
                <w:lang w:val="sv-SE"/>
              </w:rPr>
              <w:t>ns genomsnittskurs)</w:t>
            </w:r>
          </w:p>
        </w:tc>
      </w:tr>
      <w:tr w:rsidR="006350FE" w:rsidRPr="00D00630" w14:paraId="3B3DC8BF" w14:textId="77777777" w:rsidTr="00695A7D">
        <w:trPr>
          <w:cantSplit/>
        </w:trPr>
        <w:tc>
          <w:tcPr>
            <w:tcW w:w="2160" w:type="dxa"/>
            <w:vMerge/>
            <w:vAlign w:val="center"/>
          </w:tcPr>
          <w:p w14:paraId="67D99EE3" w14:textId="77777777" w:rsidR="006350FE" w:rsidRPr="00A50800" w:rsidRDefault="006350FE" w:rsidP="00695A7D">
            <w:pPr>
              <w:pStyle w:val="TableText"/>
              <w:spacing w:after="0"/>
              <w:rPr>
                <w:i/>
                <w:lang w:val="sv-SE"/>
              </w:rPr>
            </w:pPr>
          </w:p>
        </w:tc>
        <w:tc>
          <w:tcPr>
            <w:tcW w:w="450" w:type="dxa"/>
            <w:vMerge/>
            <w:vAlign w:val="center"/>
          </w:tcPr>
          <w:p w14:paraId="22B14C19" w14:textId="77777777" w:rsidR="006350FE" w:rsidRPr="00A50800" w:rsidRDefault="006350FE" w:rsidP="00695A7D">
            <w:pPr>
              <w:pStyle w:val="TableText"/>
              <w:spacing w:after="0"/>
              <w:jc w:val="center"/>
              <w:rPr>
                <w:lang w:val="sv-SE"/>
              </w:rPr>
            </w:pPr>
          </w:p>
        </w:tc>
        <w:tc>
          <w:tcPr>
            <w:tcW w:w="5760" w:type="dxa"/>
            <w:tcBorders>
              <w:top w:val="single" w:sz="4" w:space="0" w:color="auto"/>
              <w:bottom w:val="nil"/>
            </w:tcBorders>
          </w:tcPr>
          <w:p w14:paraId="06C12890" w14:textId="77777777" w:rsidR="006350FE" w:rsidRPr="00A50800" w:rsidRDefault="006350FE" w:rsidP="00695A7D">
            <w:pPr>
              <w:pStyle w:val="TableText"/>
              <w:spacing w:after="0"/>
              <w:rPr>
                <w:lang w:val="sv-SE"/>
              </w:rPr>
            </w:pPr>
            <w:r w:rsidRPr="00A50800">
              <w:rPr>
                <w:lang w:val="sv-SE"/>
              </w:rPr>
              <w:t>Aktiens genomsnittskurs ökad med värdet av rätten till deltagande i erbjudandet (inköpsrättens värde)</w:t>
            </w:r>
          </w:p>
        </w:tc>
      </w:tr>
      <w:tr w:rsidR="006350FE" w:rsidRPr="00D00630" w14:paraId="3B962414" w14:textId="77777777" w:rsidTr="00695A7D">
        <w:trPr>
          <w:cantSplit/>
        </w:trPr>
        <w:tc>
          <w:tcPr>
            <w:tcW w:w="2160" w:type="dxa"/>
            <w:vAlign w:val="center"/>
          </w:tcPr>
          <w:p w14:paraId="4C4B1636" w14:textId="77777777" w:rsidR="006350FE" w:rsidRPr="00A50800" w:rsidRDefault="006350FE" w:rsidP="00695A7D">
            <w:pPr>
              <w:pStyle w:val="TableText"/>
              <w:spacing w:after="0"/>
              <w:rPr>
                <w:i/>
                <w:lang w:val="sv-SE"/>
              </w:rPr>
            </w:pPr>
          </w:p>
        </w:tc>
        <w:tc>
          <w:tcPr>
            <w:tcW w:w="450" w:type="dxa"/>
            <w:tcBorders>
              <w:right w:val="nil"/>
            </w:tcBorders>
            <w:vAlign w:val="center"/>
          </w:tcPr>
          <w:p w14:paraId="779FF2C0" w14:textId="77777777" w:rsidR="006350FE" w:rsidRPr="00A50800" w:rsidRDefault="006350FE" w:rsidP="00695A7D">
            <w:pPr>
              <w:pStyle w:val="TableText"/>
              <w:spacing w:after="0"/>
              <w:jc w:val="center"/>
              <w:rPr>
                <w:lang w:val="sv-SE"/>
              </w:rPr>
            </w:pPr>
          </w:p>
        </w:tc>
        <w:tc>
          <w:tcPr>
            <w:tcW w:w="5760" w:type="dxa"/>
            <w:tcBorders>
              <w:top w:val="nil"/>
              <w:left w:val="nil"/>
              <w:bottom w:val="nil"/>
              <w:right w:val="nil"/>
            </w:tcBorders>
          </w:tcPr>
          <w:p w14:paraId="4E30A77C" w14:textId="77777777" w:rsidR="006350FE" w:rsidRPr="00A50800" w:rsidRDefault="006350FE" w:rsidP="00695A7D">
            <w:pPr>
              <w:pStyle w:val="TableText"/>
              <w:spacing w:after="0"/>
              <w:rPr>
                <w:lang w:val="sv-SE"/>
              </w:rPr>
            </w:pPr>
          </w:p>
        </w:tc>
      </w:tr>
      <w:tr w:rsidR="006350FE" w:rsidRPr="00D00630" w14:paraId="259C3035" w14:textId="77777777" w:rsidTr="00695A7D">
        <w:trPr>
          <w:cantSplit/>
        </w:trPr>
        <w:tc>
          <w:tcPr>
            <w:tcW w:w="2160" w:type="dxa"/>
            <w:vMerge w:val="restart"/>
            <w:vAlign w:val="center"/>
          </w:tcPr>
          <w:p w14:paraId="09F2D98D" w14:textId="77777777" w:rsidR="006350FE" w:rsidRPr="00A50800" w:rsidRDefault="006350FE" w:rsidP="00695A7D">
            <w:pPr>
              <w:pStyle w:val="TableText"/>
              <w:spacing w:after="0"/>
              <w:rPr>
                <w:lang w:val="sv-SE"/>
              </w:rPr>
            </w:pPr>
            <w:r w:rsidRPr="00A50800">
              <w:rPr>
                <w:lang w:val="sv-SE"/>
              </w:rPr>
              <w:lastRenderedPageBreak/>
              <w:t>Omräknat antal Aktier som varje Teckningsoption berättigar till Teckning av</w:t>
            </w:r>
          </w:p>
        </w:tc>
        <w:tc>
          <w:tcPr>
            <w:tcW w:w="450" w:type="dxa"/>
            <w:vMerge w:val="restart"/>
            <w:vAlign w:val="center"/>
          </w:tcPr>
          <w:p w14:paraId="4490B83C" w14:textId="77777777" w:rsidR="006350FE" w:rsidRPr="00437F01" w:rsidRDefault="006350FE" w:rsidP="00695A7D">
            <w:pPr>
              <w:pStyle w:val="TableText"/>
              <w:spacing w:after="0"/>
              <w:jc w:val="center"/>
            </w:pPr>
            <w:r w:rsidRPr="00437F01">
              <w:t>=</w:t>
            </w:r>
          </w:p>
        </w:tc>
        <w:tc>
          <w:tcPr>
            <w:tcW w:w="5760" w:type="dxa"/>
            <w:tcBorders>
              <w:top w:val="nil"/>
              <w:bottom w:val="single" w:sz="4" w:space="0" w:color="auto"/>
            </w:tcBorders>
          </w:tcPr>
          <w:p w14:paraId="7EF8B09B" w14:textId="77777777" w:rsidR="006350FE" w:rsidRPr="00A50800" w:rsidRDefault="006350F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(Aktiens genomsnittskurs ökad med inköpsrättens värde)</w:t>
            </w:r>
          </w:p>
        </w:tc>
      </w:tr>
      <w:tr w:rsidR="006350FE" w:rsidRPr="00437F01" w14:paraId="7EDFB8A2" w14:textId="77777777" w:rsidTr="00695A7D">
        <w:trPr>
          <w:cantSplit/>
          <w:trHeight w:val="395"/>
        </w:trPr>
        <w:tc>
          <w:tcPr>
            <w:tcW w:w="2160" w:type="dxa"/>
            <w:vMerge/>
          </w:tcPr>
          <w:p w14:paraId="73F22B81" w14:textId="77777777" w:rsidR="006350FE" w:rsidRPr="00A50800" w:rsidRDefault="006350FE" w:rsidP="00695A7D">
            <w:pPr>
              <w:pStyle w:val="TableText"/>
              <w:spacing w:after="0"/>
              <w:rPr>
                <w:lang w:val="sv-SE"/>
              </w:rPr>
            </w:pPr>
          </w:p>
        </w:tc>
        <w:tc>
          <w:tcPr>
            <w:tcW w:w="450" w:type="dxa"/>
            <w:vMerge/>
            <w:vAlign w:val="center"/>
          </w:tcPr>
          <w:p w14:paraId="2C7BF44B" w14:textId="77777777" w:rsidR="006350FE" w:rsidRPr="00A50800" w:rsidRDefault="006350FE" w:rsidP="00695A7D">
            <w:pPr>
              <w:pStyle w:val="TableText"/>
              <w:spacing w:after="0"/>
              <w:jc w:val="center"/>
              <w:rPr>
                <w:lang w:val="sv-SE"/>
              </w:rPr>
            </w:pPr>
          </w:p>
        </w:tc>
        <w:tc>
          <w:tcPr>
            <w:tcW w:w="5760" w:type="dxa"/>
            <w:tcBorders>
              <w:top w:val="single" w:sz="4" w:space="0" w:color="auto"/>
            </w:tcBorders>
          </w:tcPr>
          <w:p w14:paraId="2A57A19C" w14:textId="77777777" w:rsidR="006350FE" w:rsidRPr="00437F01" w:rsidRDefault="006350FE" w:rsidP="00695A7D">
            <w:pPr>
              <w:pStyle w:val="TableText"/>
              <w:spacing w:after="0"/>
            </w:pPr>
            <w:proofErr w:type="spellStart"/>
            <w:r w:rsidRPr="00437F01">
              <w:t>Aktiens</w:t>
            </w:r>
            <w:proofErr w:type="spellEnd"/>
            <w:r w:rsidRPr="00437F01">
              <w:t xml:space="preserve"> </w:t>
            </w:r>
            <w:proofErr w:type="spellStart"/>
            <w:r w:rsidRPr="00437F01">
              <w:t>genomsnittskurs</w:t>
            </w:r>
            <w:proofErr w:type="spellEnd"/>
          </w:p>
        </w:tc>
      </w:tr>
      <w:tr w:rsidR="006350FE" w:rsidRPr="001A6E6C" w14:paraId="0361DE14" w14:textId="77777777" w:rsidTr="00695A7D">
        <w:trPr>
          <w:cantSplit/>
        </w:trPr>
        <w:tc>
          <w:tcPr>
            <w:tcW w:w="2160" w:type="dxa"/>
            <w:vMerge w:val="restart"/>
            <w:vAlign w:val="center"/>
          </w:tcPr>
          <w:p w14:paraId="67BB0C52" w14:textId="77777777" w:rsidR="006350FE" w:rsidRPr="00437F01" w:rsidRDefault="006350FE" w:rsidP="00695A7D">
            <w:pPr>
              <w:pStyle w:val="TableText"/>
              <w:spacing w:after="0"/>
            </w:pPr>
            <w:r w:rsidRPr="00437F01">
              <w:rPr>
                <w:i/>
              </w:rPr>
              <w:t>Recalculated Subscription Price</w:t>
            </w:r>
          </w:p>
        </w:tc>
        <w:tc>
          <w:tcPr>
            <w:tcW w:w="450" w:type="dxa"/>
            <w:vMerge w:val="restart"/>
            <w:vAlign w:val="center"/>
          </w:tcPr>
          <w:p w14:paraId="0DD48E2B" w14:textId="77777777" w:rsidR="006350FE" w:rsidRPr="00437F01" w:rsidRDefault="006350FE" w:rsidP="00695A7D">
            <w:pPr>
              <w:pStyle w:val="TableText"/>
              <w:spacing w:after="0"/>
              <w:jc w:val="center"/>
            </w:pPr>
            <w:r w:rsidRPr="00437F01">
              <w:t>=</w:t>
            </w:r>
          </w:p>
        </w:tc>
        <w:tc>
          <w:tcPr>
            <w:tcW w:w="5760" w:type="dxa"/>
            <w:tcBorders>
              <w:bottom w:val="single" w:sz="4" w:space="0" w:color="auto"/>
            </w:tcBorders>
          </w:tcPr>
          <w:p w14:paraId="2E5EBC13" w14:textId="77777777" w:rsidR="006350FE" w:rsidRPr="00437F01" w:rsidRDefault="006350FE" w:rsidP="00695A7D">
            <w:pPr>
              <w:pStyle w:val="TableText"/>
              <w:spacing w:after="0"/>
            </w:pPr>
            <w:r w:rsidRPr="00437F01">
              <w:rPr>
                <w:i/>
              </w:rPr>
              <w:t>Previous Subscription Price x the average share price of the share during the notice period set forth in the offer (the average price of share)</w:t>
            </w:r>
          </w:p>
        </w:tc>
      </w:tr>
      <w:tr w:rsidR="006350FE" w:rsidRPr="001A6E6C" w14:paraId="0DA4ECF0" w14:textId="77777777" w:rsidTr="00695A7D">
        <w:trPr>
          <w:cantSplit/>
        </w:trPr>
        <w:tc>
          <w:tcPr>
            <w:tcW w:w="2160" w:type="dxa"/>
            <w:vMerge/>
            <w:vAlign w:val="center"/>
          </w:tcPr>
          <w:p w14:paraId="5C914914" w14:textId="77777777" w:rsidR="006350FE" w:rsidRPr="00437F01" w:rsidRDefault="006350FE" w:rsidP="00695A7D">
            <w:pPr>
              <w:pStyle w:val="TableText"/>
              <w:spacing w:after="0"/>
              <w:rPr>
                <w:i/>
              </w:rPr>
            </w:pPr>
          </w:p>
        </w:tc>
        <w:tc>
          <w:tcPr>
            <w:tcW w:w="450" w:type="dxa"/>
            <w:vMerge/>
            <w:vAlign w:val="center"/>
          </w:tcPr>
          <w:p w14:paraId="4CAD7DB9" w14:textId="77777777" w:rsidR="006350FE" w:rsidRPr="00437F01" w:rsidRDefault="006350FE" w:rsidP="00695A7D">
            <w:pPr>
              <w:pStyle w:val="TableText"/>
              <w:spacing w:after="0"/>
              <w:jc w:val="center"/>
            </w:pPr>
          </w:p>
        </w:tc>
        <w:tc>
          <w:tcPr>
            <w:tcW w:w="5760" w:type="dxa"/>
            <w:tcBorders>
              <w:top w:val="single" w:sz="4" w:space="0" w:color="auto"/>
              <w:bottom w:val="nil"/>
            </w:tcBorders>
          </w:tcPr>
          <w:p w14:paraId="36BD0CE8" w14:textId="77777777" w:rsidR="006350FE" w:rsidRPr="00437F01" w:rsidRDefault="006350FE" w:rsidP="00695A7D">
            <w:pPr>
              <w:pStyle w:val="TableText"/>
              <w:spacing w:after="0"/>
            </w:pPr>
            <w:r w:rsidRPr="00437F01">
              <w:rPr>
                <w:i/>
              </w:rPr>
              <w:t>Average price of share increased by the value of the right to participate in the offer</w:t>
            </w:r>
          </w:p>
        </w:tc>
      </w:tr>
      <w:tr w:rsidR="006350FE" w:rsidRPr="001A6E6C" w14:paraId="5172EA10" w14:textId="77777777" w:rsidTr="00695A7D">
        <w:trPr>
          <w:cantSplit/>
        </w:trPr>
        <w:tc>
          <w:tcPr>
            <w:tcW w:w="2160" w:type="dxa"/>
            <w:vAlign w:val="center"/>
          </w:tcPr>
          <w:p w14:paraId="0B225FB3" w14:textId="77777777" w:rsidR="006350FE" w:rsidRPr="00437F01" w:rsidRDefault="006350FE" w:rsidP="00695A7D">
            <w:pPr>
              <w:pStyle w:val="TableText"/>
              <w:spacing w:after="0"/>
              <w:rPr>
                <w:i/>
              </w:rPr>
            </w:pPr>
          </w:p>
        </w:tc>
        <w:tc>
          <w:tcPr>
            <w:tcW w:w="450" w:type="dxa"/>
            <w:tcBorders>
              <w:right w:val="nil"/>
            </w:tcBorders>
            <w:vAlign w:val="center"/>
          </w:tcPr>
          <w:p w14:paraId="40BE0575" w14:textId="77777777" w:rsidR="006350FE" w:rsidRPr="00437F01" w:rsidRDefault="006350FE" w:rsidP="00695A7D">
            <w:pPr>
              <w:pStyle w:val="TableText"/>
              <w:spacing w:after="0"/>
              <w:jc w:val="center"/>
            </w:pPr>
          </w:p>
        </w:tc>
        <w:tc>
          <w:tcPr>
            <w:tcW w:w="5760" w:type="dxa"/>
            <w:tcBorders>
              <w:top w:val="nil"/>
              <w:left w:val="nil"/>
              <w:bottom w:val="nil"/>
              <w:right w:val="nil"/>
            </w:tcBorders>
          </w:tcPr>
          <w:p w14:paraId="54E43285" w14:textId="77777777" w:rsidR="006350FE" w:rsidRPr="00437F01" w:rsidRDefault="006350FE" w:rsidP="00695A7D">
            <w:pPr>
              <w:pStyle w:val="TableText"/>
              <w:spacing w:after="0"/>
              <w:rPr>
                <w:i/>
              </w:rPr>
            </w:pPr>
          </w:p>
        </w:tc>
      </w:tr>
      <w:tr w:rsidR="006350FE" w:rsidRPr="001A6E6C" w14:paraId="2BBF3D81" w14:textId="77777777" w:rsidTr="00695A7D">
        <w:trPr>
          <w:cantSplit/>
        </w:trPr>
        <w:tc>
          <w:tcPr>
            <w:tcW w:w="2160" w:type="dxa"/>
            <w:vMerge w:val="restart"/>
            <w:vAlign w:val="center"/>
          </w:tcPr>
          <w:p w14:paraId="408A482C" w14:textId="77777777" w:rsidR="006350FE" w:rsidRPr="00B928F5" w:rsidRDefault="006350FE" w:rsidP="00695A7D">
            <w:pPr>
              <w:pStyle w:val="TableText"/>
              <w:spacing w:after="0"/>
              <w:rPr>
                <w:iCs/>
              </w:rPr>
            </w:pPr>
            <w:r w:rsidRPr="00437F01">
              <w:rPr>
                <w:i/>
              </w:rPr>
              <w:t>Recalculated number of Shares that each Warrant entitles to Subscribe for</w:t>
            </w:r>
          </w:p>
        </w:tc>
        <w:tc>
          <w:tcPr>
            <w:tcW w:w="450" w:type="dxa"/>
            <w:vMerge w:val="restart"/>
            <w:vAlign w:val="center"/>
          </w:tcPr>
          <w:p w14:paraId="13FF8A17" w14:textId="77777777" w:rsidR="006350FE" w:rsidRPr="00437F01" w:rsidRDefault="006350FE" w:rsidP="00695A7D">
            <w:pPr>
              <w:pStyle w:val="TableText"/>
              <w:spacing w:after="0"/>
              <w:jc w:val="center"/>
            </w:pPr>
            <w:r w:rsidRPr="00437F01">
              <w:t>=</w:t>
            </w:r>
          </w:p>
        </w:tc>
        <w:tc>
          <w:tcPr>
            <w:tcW w:w="5760" w:type="dxa"/>
            <w:tcBorders>
              <w:top w:val="nil"/>
              <w:bottom w:val="single" w:sz="4" w:space="0" w:color="auto"/>
            </w:tcBorders>
          </w:tcPr>
          <w:p w14:paraId="4D61607B" w14:textId="77777777" w:rsidR="006350FE" w:rsidRPr="00437F01" w:rsidRDefault="006350FE" w:rsidP="00695A7D">
            <w:pPr>
              <w:pStyle w:val="TableText"/>
              <w:spacing w:after="0"/>
            </w:pPr>
            <w:r w:rsidRPr="00437F01">
              <w:rPr>
                <w:i/>
              </w:rPr>
              <w:t>Previous number of Shares that each Warrant entitles to Subscribe for x (the average price of Share increased by the value of the purchase right)</w:t>
            </w:r>
          </w:p>
        </w:tc>
      </w:tr>
      <w:tr w:rsidR="006350FE" w:rsidRPr="00437F01" w14:paraId="645DDD6A" w14:textId="77777777" w:rsidTr="00695A7D">
        <w:trPr>
          <w:cantSplit/>
        </w:trPr>
        <w:tc>
          <w:tcPr>
            <w:tcW w:w="2160" w:type="dxa"/>
            <w:vMerge/>
          </w:tcPr>
          <w:p w14:paraId="62A74A23" w14:textId="77777777" w:rsidR="006350FE" w:rsidRPr="00437F01" w:rsidRDefault="006350FE" w:rsidP="00695A7D">
            <w:pPr>
              <w:pStyle w:val="TableText"/>
              <w:spacing w:after="0"/>
            </w:pPr>
          </w:p>
        </w:tc>
        <w:tc>
          <w:tcPr>
            <w:tcW w:w="450" w:type="dxa"/>
            <w:vMerge/>
          </w:tcPr>
          <w:p w14:paraId="46D41D78" w14:textId="77777777" w:rsidR="006350FE" w:rsidRPr="00437F01" w:rsidRDefault="006350FE" w:rsidP="00695A7D">
            <w:pPr>
              <w:pStyle w:val="TableText"/>
              <w:spacing w:after="0"/>
            </w:pPr>
          </w:p>
        </w:tc>
        <w:tc>
          <w:tcPr>
            <w:tcW w:w="5760" w:type="dxa"/>
            <w:tcBorders>
              <w:top w:val="single" w:sz="4" w:space="0" w:color="auto"/>
              <w:bottom w:val="nil"/>
            </w:tcBorders>
          </w:tcPr>
          <w:p w14:paraId="527B6EFE" w14:textId="77777777" w:rsidR="006350FE" w:rsidRPr="00437F01" w:rsidRDefault="006350FE" w:rsidP="00695A7D">
            <w:pPr>
              <w:pStyle w:val="TableText"/>
              <w:spacing w:after="0"/>
            </w:pPr>
            <w:r w:rsidRPr="00437F01">
              <w:rPr>
                <w:i/>
              </w:rPr>
              <w:t>Average price of Share</w:t>
            </w:r>
          </w:p>
        </w:tc>
      </w:tr>
      <w:tr w:rsidR="006350FE" w:rsidRPr="00437F01" w14:paraId="31A5B5F4" w14:textId="77777777" w:rsidTr="00695A7D">
        <w:trPr>
          <w:cantSplit/>
        </w:trPr>
        <w:tc>
          <w:tcPr>
            <w:tcW w:w="2160" w:type="dxa"/>
          </w:tcPr>
          <w:p w14:paraId="00040EDE" w14:textId="77777777" w:rsidR="006350FE" w:rsidRPr="00437F01" w:rsidRDefault="006350FE" w:rsidP="00695A7D">
            <w:pPr>
              <w:pStyle w:val="TableText"/>
              <w:spacing w:after="0"/>
            </w:pPr>
          </w:p>
        </w:tc>
        <w:tc>
          <w:tcPr>
            <w:tcW w:w="450" w:type="dxa"/>
            <w:tcBorders>
              <w:right w:val="nil"/>
            </w:tcBorders>
          </w:tcPr>
          <w:p w14:paraId="36BB0895" w14:textId="77777777" w:rsidR="006350FE" w:rsidRPr="00437F01" w:rsidRDefault="006350FE" w:rsidP="00695A7D">
            <w:pPr>
              <w:pStyle w:val="TableText"/>
              <w:spacing w:after="0"/>
            </w:pPr>
          </w:p>
        </w:tc>
        <w:tc>
          <w:tcPr>
            <w:tcW w:w="5760" w:type="dxa"/>
            <w:tcBorders>
              <w:top w:val="nil"/>
              <w:left w:val="nil"/>
              <w:bottom w:val="nil"/>
              <w:right w:val="nil"/>
            </w:tcBorders>
          </w:tcPr>
          <w:p w14:paraId="4044FCDE" w14:textId="77777777" w:rsidR="006350FE" w:rsidRPr="00437F01" w:rsidRDefault="006350FE" w:rsidP="00695A7D">
            <w:pPr>
              <w:pStyle w:val="TableText"/>
              <w:spacing w:after="0"/>
              <w:rPr>
                <w:i/>
              </w:rPr>
            </w:pPr>
          </w:p>
        </w:tc>
      </w:tr>
    </w:tbl>
    <w:p w14:paraId="3D421B4C" w14:textId="77777777" w:rsidR="006350FE" w:rsidRPr="00437F01" w:rsidRDefault="006350FE" w:rsidP="006350FE">
      <w:pPr>
        <w:pStyle w:val="BodyText"/>
        <w:ind w:left="720"/>
      </w:pPr>
      <w:r w:rsidRPr="00A05113">
        <w:rPr>
          <w:lang w:val="sv-SE"/>
        </w:rPr>
        <w:t>Aktiens</w:t>
      </w:r>
      <w:r w:rsidRPr="00A50800">
        <w:rPr>
          <w:lang w:val="sv-SE"/>
        </w:rPr>
        <w:t xml:space="preserve"> genomsnittskurs beräknas i enlighet med vad som angivits i </w:t>
      </w:r>
      <w:r>
        <w:rPr>
          <w:lang w:val="sv-SE"/>
        </w:rPr>
        <w:t>punkt</w:t>
      </w:r>
      <w:r w:rsidRPr="00A50800">
        <w:rPr>
          <w:lang w:val="sv-SE"/>
        </w:rPr>
        <w:t xml:space="preserve">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xml:space="preserve"> ovan.</w:t>
      </w:r>
      <w:r w:rsidRPr="00A50800">
        <w:rPr>
          <w:lang w:val="sv-SE"/>
        </w:rPr>
        <w:br/>
      </w:r>
      <w:r w:rsidRPr="00437F01">
        <w:rPr>
          <w:i/>
        </w:rPr>
        <w:t xml:space="preserve">The average price of Share is calculated in accordance with the provisions set forth in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above.</w:t>
      </w:r>
    </w:p>
    <w:p w14:paraId="2C1DFB4B" w14:textId="77777777" w:rsidR="006350FE" w:rsidRPr="00437F01" w:rsidRDefault="006350FE" w:rsidP="006350FE">
      <w:pPr>
        <w:pStyle w:val="BodyText"/>
        <w:ind w:left="720"/>
      </w:pPr>
      <w:r w:rsidRPr="00A50800">
        <w:rPr>
          <w:lang w:val="sv-SE"/>
        </w:rPr>
        <w:t xml:space="preserve">För det fall att aktieägarna erhållit inköpsrätter och handel med dessa ägt rum, </w:t>
      </w:r>
      <w:r>
        <w:rPr>
          <w:lang w:val="sv-SE"/>
        </w:rPr>
        <w:t>ska</w:t>
      </w:r>
      <w:r w:rsidRPr="00A50800">
        <w:rPr>
          <w:lang w:val="sv-SE"/>
        </w:rPr>
        <w:t xml:space="preserve"> värdet av rätten </w:t>
      </w:r>
      <w:r w:rsidRPr="00A05113">
        <w:rPr>
          <w:lang w:val="sv-SE"/>
        </w:rPr>
        <w:t>till</w:t>
      </w:r>
      <w:r w:rsidRPr="00A50800">
        <w:rPr>
          <w:lang w:val="sv-SE"/>
        </w:rPr>
        <w:t xml:space="preserve"> deltagande i erbjudandet anses motsvara inköpsrättens värde. Inköpsrättens värde </w:t>
      </w:r>
      <w:r>
        <w:rPr>
          <w:lang w:val="sv-SE"/>
        </w:rPr>
        <w:t>ska</w:t>
      </w:r>
      <w:r w:rsidRPr="00A50800">
        <w:rPr>
          <w:lang w:val="sv-SE"/>
        </w:rPr>
        <w:t xml:space="preserve"> härvid anses motsvara genomsnittet av det för varje handelsdag under anmälningstiden framräknade medeltalet av den under dagen noterade högsta och lägsta betalkursen för inköpsrätten enligt marknadsnotering. I avsaknad av notering av betalkurs </w:t>
      </w:r>
      <w:r>
        <w:rPr>
          <w:lang w:val="sv-SE"/>
        </w:rPr>
        <w:t>ska</w:t>
      </w:r>
      <w:r w:rsidRPr="00A50800">
        <w:rPr>
          <w:lang w:val="sv-SE"/>
        </w:rPr>
        <w:t xml:space="preserve"> i stället den som slutkurs noterade köpkursen ingå i beräkningen. Dag utan notering av vare sig betalkurs eller köpkurs </w:t>
      </w:r>
      <w:r>
        <w:rPr>
          <w:lang w:val="sv-SE"/>
        </w:rPr>
        <w:t>ska</w:t>
      </w:r>
      <w:r w:rsidRPr="00A50800">
        <w:rPr>
          <w:lang w:val="sv-SE"/>
        </w:rPr>
        <w:t xml:space="preserve"> inte ingå i beräkningen.</w:t>
      </w:r>
      <w:r w:rsidRPr="00A50800">
        <w:rPr>
          <w:lang w:val="sv-SE"/>
        </w:rPr>
        <w:br/>
      </w:r>
      <w:r w:rsidRPr="00437F01">
        <w:rPr>
          <w:i/>
        </w:rPr>
        <w:t xml:space="preserve">In the event the shareholders received purchase rights </w:t>
      </w:r>
      <w:proofErr w:type="gramStart"/>
      <w:r w:rsidRPr="00437F01">
        <w:rPr>
          <w:i/>
        </w:rPr>
        <w:t>and trading</w:t>
      </w:r>
      <w:proofErr w:type="gramEnd"/>
      <w:r w:rsidRPr="00437F01">
        <w:rPr>
          <w:i/>
        </w:rPr>
        <w:t xml:space="preserve"> in such rights has taken place, the value of the right to participate in the offer shall be deemed to be equivalent to the value of the purchase right. The value of the purchase right in such circumstances shall be deemed to correspond to the average mean value of the highest and lowest prices paid each trading day during the application period according to market quotation. In the event no paid price is quoted, the bid price quoted as the closing price shall be used in the calculation instead. Days when no paid price or bid price is quoted, shall be excluded from such calculation.</w:t>
      </w:r>
    </w:p>
    <w:p w14:paraId="153E2711" w14:textId="77777777" w:rsidR="006350FE" w:rsidRPr="00437F01" w:rsidRDefault="006350FE" w:rsidP="006350FE">
      <w:pPr>
        <w:pStyle w:val="BodyText"/>
        <w:ind w:left="720"/>
      </w:pPr>
      <w:r w:rsidRPr="00A50800">
        <w:rPr>
          <w:lang w:val="sv-SE"/>
        </w:rPr>
        <w:t xml:space="preserve">För det </w:t>
      </w:r>
      <w:proofErr w:type="gramStart"/>
      <w:r w:rsidRPr="00A50800">
        <w:rPr>
          <w:lang w:val="sv-SE"/>
        </w:rPr>
        <w:t>fall aktieägarna</w:t>
      </w:r>
      <w:proofErr w:type="gramEnd"/>
      <w:r w:rsidRPr="00A50800">
        <w:rPr>
          <w:lang w:val="sv-SE"/>
        </w:rPr>
        <w:t xml:space="preserve"> ej erhållit inköpsrätter eller eljest sådan handel med inköpsrätter som avses i föregående stycke ej ägt rum, </w:t>
      </w:r>
      <w:r>
        <w:rPr>
          <w:lang w:val="sv-SE"/>
        </w:rPr>
        <w:t>ska</w:t>
      </w:r>
      <w:r w:rsidRPr="00A50800">
        <w:rPr>
          <w:lang w:val="sv-SE"/>
        </w:rPr>
        <w:t xml:space="preserve"> omräkning av Teckningskursen och det antal Aktier som varje Teckningsoption berättigar till Teckning av </w:t>
      </w:r>
      <w:proofErr w:type="gramStart"/>
      <w:r w:rsidRPr="00A50800">
        <w:rPr>
          <w:lang w:val="sv-SE"/>
        </w:rPr>
        <w:t>ske</w:t>
      </w:r>
      <w:proofErr w:type="gramEnd"/>
      <w:r w:rsidRPr="00A50800">
        <w:rPr>
          <w:lang w:val="sv-SE"/>
        </w:rPr>
        <w:t xml:space="preserve"> med tillämpning så långt möjligt av de principer som anges ovan i de</w:t>
      </w:r>
      <w:r>
        <w:rPr>
          <w:lang w:val="sv-SE"/>
        </w:rPr>
        <w:t>nn</w:t>
      </w:r>
      <w:r w:rsidRPr="00A50800">
        <w:rPr>
          <w:lang w:val="sv-SE"/>
        </w:rPr>
        <w:t xml:space="preserve">a </w:t>
      </w:r>
      <w:r>
        <w:rPr>
          <w:lang w:val="sv-SE"/>
        </w:rPr>
        <w:t>punkt</w:t>
      </w:r>
      <w:r w:rsidRPr="00A50800">
        <w:rPr>
          <w:lang w:val="sv-SE"/>
        </w:rPr>
        <w:t xml:space="preserve"> </w:t>
      </w:r>
      <w:r>
        <w:rPr>
          <w:szCs w:val="22"/>
        </w:rPr>
        <w:fldChar w:fldCharType="begin"/>
      </w:r>
      <w:r>
        <w:rPr>
          <w:lang w:val="sv-SE"/>
        </w:rPr>
        <w:instrText xml:space="preserve"> REF _Ref445997940 \r \h </w:instrText>
      </w:r>
      <w:r>
        <w:rPr>
          <w:szCs w:val="22"/>
        </w:rPr>
      </w:r>
      <w:r>
        <w:rPr>
          <w:szCs w:val="22"/>
        </w:rPr>
        <w:fldChar w:fldCharType="separate"/>
      </w:r>
      <w:r>
        <w:rPr>
          <w:lang w:val="sv-SE"/>
        </w:rPr>
        <w:t>8.2.6</w:t>
      </w:r>
      <w:r>
        <w:rPr>
          <w:szCs w:val="22"/>
        </w:rPr>
        <w:fldChar w:fldCharType="end"/>
      </w:r>
      <w:r w:rsidRPr="00A50800">
        <w:rPr>
          <w:lang w:val="sv-SE"/>
        </w:rPr>
        <w:t xml:space="preserve">, varvid följande </w:t>
      </w:r>
      <w:r>
        <w:rPr>
          <w:lang w:val="sv-SE"/>
        </w:rPr>
        <w:t>ska</w:t>
      </w:r>
      <w:r w:rsidRPr="00A50800">
        <w:rPr>
          <w:lang w:val="sv-SE"/>
        </w:rPr>
        <w:t xml:space="preserve"> gälla. Om en marknadsnotering sker av de värdepapper eller rättigheter som erbjuds aktieägarna, </w:t>
      </w:r>
      <w:r>
        <w:rPr>
          <w:lang w:val="sv-SE"/>
        </w:rPr>
        <w:t>ska</w:t>
      </w:r>
      <w:r w:rsidRPr="00A50800">
        <w:rPr>
          <w:lang w:val="sv-SE"/>
        </w:rPr>
        <w:t xml:space="preserve"> värdet av rätten till deltagande i erbjudandet anses motsvara genomsnittet av det för varje handelsdag under 25 handelsdagar från och med första dag för marknadsnotering framräknade medeltalet av den under dagen noterade högsta och lägsta betalkursen vid affärer i dessa värdepapper eller rättigheter enligt marknadsnotering, i förekommande fall minskat med det vederlag som betalats för dessa i samband med erbjudandet. I avsaknad av notering av betalkurs </w:t>
      </w:r>
      <w:r>
        <w:rPr>
          <w:lang w:val="sv-SE"/>
        </w:rPr>
        <w:t>ska</w:t>
      </w:r>
      <w:r w:rsidRPr="00A50800">
        <w:rPr>
          <w:lang w:val="sv-SE"/>
        </w:rPr>
        <w:t xml:space="preserve"> i stället den som slutkurs noterade köpkursen ingå i beräkningen. Noteras varken betalkurs eller köpkurs under viss eller vissa dagar, </w:t>
      </w:r>
      <w:r>
        <w:rPr>
          <w:lang w:val="sv-SE"/>
        </w:rPr>
        <w:t>ska</w:t>
      </w:r>
      <w:r w:rsidRPr="00A50800">
        <w:rPr>
          <w:lang w:val="sv-SE"/>
        </w:rPr>
        <w:t xml:space="preserve"> vid beräkningen av värdet av rätten till deltagande i erbjudandet bortses från sådan dag. Den i erbjudandet fastställda anmälningstiden </w:t>
      </w:r>
      <w:r>
        <w:rPr>
          <w:lang w:val="sv-SE"/>
        </w:rPr>
        <w:t>ska</w:t>
      </w:r>
      <w:r w:rsidRPr="00A50800">
        <w:rPr>
          <w:lang w:val="sv-SE"/>
        </w:rPr>
        <w:t xml:space="preserve"> vid omräkning av Teckningskurs och antal Aktier enligt detta stycke anses motsvara den ovan i </w:t>
      </w:r>
      <w:r w:rsidRPr="00A05113">
        <w:rPr>
          <w:lang w:val="sv-SE"/>
        </w:rPr>
        <w:t>detta</w:t>
      </w:r>
      <w:r w:rsidRPr="00A50800">
        <w:rPr>
          <w:lang w:val="sv-SE"/>
        </w:rPr>
        <w:t xml:space="preserve"> stycke nämnda perioden om 25 handelsdagar. Om sådan marknadsnotering ej äger rum, </w:t>
      </w:r>
      <w:r>
        <w:rPr>
          <w:lang w:val="sv-SE"/>
        </w:rPr>
        <w:t>ska</w:t>
      </w:r>
      <w:r w:rsidRPr="00A50800">
        <w:rPr>
          <w:lang w:val="sv-SE"/>
        </w:rPr>
        <w:t xml:space="preserve"> värdet av rätten till deltagande i erbjudandet så långt möjligt fastställas med ledning av den marknadsvärdesförändring avseende Bolagets Aktier som kan bedömas ha uppkommit till följd av erbjudandet.</w:t>
      </w:r>
      <w:r w:rsidRPr="00A50800">
        <w:rPr>
          <w:lang w:val="sv-SE"/>
        </w:rPr>
        <w:br/>
      </w:r>
      <w:r w:rsidRPr="00437F01">
        <w:rPr>
          <w:i/>
        </w:rPr>
        <w:lastRenderedPageBreak/>
        <w:t xml:space="preserve">In the event the shareholders have not received purchase rights or where such trading in purchase rights mentioned in the previous paragraph has otherwise not taken place, recalculation of the Subscription Price and number of Shares shall take place, thereby applying, to the greatest extent possible, the principles set forth above in this section </w:t>
      </w:r>
      <w:r>
        <w:rPr>
          <w:i/>
          <w:szCs w:val="22"/>
        </w:rPr>
        <w:fldChar w:fldCharType="begin"/>
      </w:r>
      <w:r>
        <w:rPr>
          <w:i/>
        </w:rPr>
        <w:instrText xml:space="preserve"> REF _Ref445997940 \r \h </w:instrText>
      </w:r>
      <w:r>
        <w:rPr>
          <w:i/>
          <w:szCs w:val="22"/>
        </w:rPr>
      </w:r>
      <w:r>
        <w:rPr>
          <w:i/>
          <w:szCs w:val="22"/>
        </w:rPr>
        <w:fldChar w:fldCharType="separate"/>
      </w:r>
      <w:r>
        <w:rPr>
          <w:i/>
        </w:rPr>
        <w:t>8.2.6</w:t>
      </w:r>
      <w:r>
        <w:rPr>
          <w:i/>
          <w:szCs w:val="22"/>
        </w:rPr>
        <w:fldChar w:fldCharType="end"/>
      </w:r>
      <w:r w:rsidRPr="00437F01">
        <w:rPr>
          <w:i/>
        </w:rPr>
        <w:t xml:space="preserve">, whereupon the following shall apply. If market quotation of the securities or rights which are offered to the shareholders takes place, the value of the right to participate in the offer shall be deemed to correspond to the average of the calculated mean values, for each trading day during a period of 25 trading days commencing on the first day for the market quotation, of the highest and lowest price paid during the said day, for transactions in these securities or rights at the market place, where applicable, decreased by any consideration paid for such securities or rights in connection with the offer. In the absence of a quotation of paid price, the last bid price quoted shall be used in the calculation instead. If neither a selling price nor a bid price is quoted on certain given day or days, such day shall be excluded from the calculation of the value of the right to participate in the offer. When recalculation of the Subscription Price and the number of Shares is made according to this paragraph, the </w:t>
      </w:r>
      <w:proofErr w:type="gramStart"/>
      <w:r w:rsidRPr="00437F01">
        <w:rPr>
          <w:i/>
        </w:rPr>
        <w:t>above mentioned</w:t>
      </w:r>
      <w:proofErr w:type="gramEnd"/>
      <w:r w:rsidRPr="00437F01">
        <w:rPr>
          <w:i/>
        </w:rPr>
        <w:t xml:space="preserve"> period of 25 trading days shall be deemed to correspond to the application period determined in the offer. In the event no such market quotation takes place, the value of the right to participate in the offer shall, to the greatest extent possible, be based upon the change in the market value of the Company's Shares, which may be deemed to have occurred </w:t>
      </w:r>
      <w:proofErr w:type="gramStart"/>
      <w:r w:rsidRPr="00437F01">
        <w:rPr>
          <w:i/>
        </w:rPr>
        <w:t>as a consequence of</w:t>
      </w:r>
      <w:proofErr w:type="gramEnd"/>
      <w:r w:rsidRPr="00437F01">
        <w:rPr>
          <w:i/>
        </w:rPr>
        <w:t xml:space="preserve"> the offer.</w:t>
      </w:r>
    </w:p>
    <w:p w14:paraId="0C6D8135" w14:textId="77777777" w:rsidR="006350FE" w:rsidRPr="00437F01" w:rsidRDefault="006350FE" w:rsidP="006350FE">
      <w:pPr>
        <w:pStyle w:val="BodyText"/>
        <w:ind w:left="720"/>
      </w:pPr>
      <w:r w:rsidRPr="00A05113">
        <w:rPr>
          <w:lang w:val="sv-SE"/>
        </w:rPr>
        <w:t>Enligt</w:t>
      </w:r>
      <w:r w:rsidRPr="00A50800">
        <w:rPr>
          <w:lang w:val="sv-SE"/>
        </w:rPr>
        <w:t xml:space="preserve"> ovan omräknad Teckningskurs och omräknat antal Aktier </w:t>
      </w:r>
      <w:r>
        <w:rPr>
          <w:lang w:val="sv-SE"/>
        </w:rPr>
        <w:t>ska</w:t>
      </w:r>
      <w:r w:rsidRPr="00A50800">
        <w:rPr>
          <w:lang w:val="sv-SE"/>
        </w:rPr>
        <w:t xml:space="preserve"> fastställas av Bolaget snarast möjligt efter erbjudandetidens utgång och </w:t>
      </w:r>
      <w:r>
        <w:rPr>
          <w:lang w:val="sv-SE"/>
        </w:rPr>
        <w:t>ska</w:t>
      </w:r>
      <w:r w:rsidRPr="00A50800">
        <w:rPr>
          <w:lang w:val="sv-SE"/>
        </w:rPr>
        <w:t xml:space="preserve"> tillämpas vid Teckning, som verkställs efter ett sådant fastställande har skett.</w:t>
      </w:r>
      <w:r w:rsidRPr="00A50800">
        <w:rPr>
          <w:lang w:val="sv-SE"/>
        </w:rPr>
        <w:br/>
      </w:r>
      <w:r w:rsidRPr="00437F01">
        <w:rPr>
          <w:i/>
        </w:rPr>
        <w:t xml:space="preserve">The Subscription Price and number of Shares recalculated in accordance with the above shall be determined by the Company as soon as possible after the expiration of the </w:t>
      </w:r>
      <w:proofErr w:type="gramStart"/>
      <w:r w:rsidRPr="00437F01">
        <w:rPr>
          <w:i/>
        </w:rPr>
        <w:t>offer and</w:t>
      </w:r>
      <w:proofErr w:type="gramEnd"/>
      <w:r w:rsidRPr="00437F01">
        <w:rPr>
          <w:i/>
        </w:rPr>
        <w:t xml:space="preserve"> shall be applied on Subscriptions effected after such determination.</w:t>
      </w:r>
    </w:p>
    <w:p w14:paraId="60029369" w14:textId="77777777" w:rsidR="006350FE" w:rsidRPr="00437F01" w:rsidRDefault="006350FE" w:rsidP="006350FE">
      <w:pPr>
        <w:pStyle w:val="BodyText"/>
        <w:ind w:left="720"/>
      </w:pPr>
      <w:r w:rsidRPr="00A50800">
        <w:rPr>
          <w:lang w:val="sv-SE"/>
        </w:rPr>
        <w:t xml:space="preserve">Vid </w:t>
      </w:r>
      <w:r w:rsidRPr="00A05113">
        <w:rPr>
          <w:lang w:val="sv-SE"/>
        </w:rPr>
        <w:t>anmälan</w:t>
      </w:r>
      <w:r w:rsidRPr="00A50800">
        <w:rPr>
          <w:lang w:val="sv-SE"/>
        </w:rPr>
        <w:t xml:space="preserve"> om Teckning som sker under tiden till dess att omräknad Teckningskurs och omräknat antal Aktier varje Teckningsoption berättigar till Teckning av fastställts, </w:t>
      </w:r>
      <w:r>
        <w:rPr>
          <w:lang w:val="sv-SE"/>
        </w:rPr>
        <w:t>ska</w:t>
      </w:r>
      <w:r w:rsidRPr="00A50800">
        <w:rPr>
          <w:lang w:val="sv-SE"/>
        </w:rPr>
        <w:t xml:space="preserve"> bestämmelserna i </w:t>
      </w:r>
      <w:r>
        <w:rPr>
          <w:lang w:val="sv-SE"/>
        </w:rPr>
        <w:t>punkt</w:t>
      </w:r>
      <w:r w:rsidRPr="00A50800">
        <w:rPr>
          <w:lang w:val="sv-SE"/>
        </w:rPr>
        <w:t xml:space="preserve">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sista stycket ovan, äga motsvarande tillämpning.</w:t>
      </w:r>
      <w:r w:rsidRPr="00A50800">
        <w:rPr>
          <w:lang w:val="sv-SE"/>
        </w:rPr>
        <w:br/>
      </w:r>
      <w:r w:rsidRPr="00437F01">
        <w:rPr>
          <w:i/>
        </w:rPr>
        <w:t xml:space="preserve">In relation to Subscriptions which are effected during the period until the re-calculated Subscription Price and recalculated number of Shares have been determined, the provisions set forth in the final paragraph of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above shall apply correspondingly.</w:t>
      </w:r>
    </w:p>
    <w:p w14:paraId="5DDE1615" w14:textId="77777777" w:rsidR="006350FE" w:rsidRPr="00437F01" w:rsidRDefault="006350FE" w:rsidP="007C4B62">
      <w:pPr>
        <w:pStyle w:val="BodyText"/>
        <w:numPr>
          <w:ilvl w:val="2"/>
          <w:numId w:val="57"/>
        </w:numPr>
        <w:spacing w:after="0"/>
        <w:rPr>
          <w:b/>
        </w:rPr>
      </w:pPr>
      <w:proofErr w:type="spellStart"/>
      <w:r w:rsidRPr="006B6AC0">
        <w:rPr>
          <w:b/>
          <w:lang w:val="en-US"/>
        </w:rPr>
        <w:t>Optionsinnehavares</w:t>
      </w:r>
      <w:proofErr w:type="spellEnd"/>
      <w:r w:rsidRPr="006B6AC0">
        <w:rPr>
          <w:b/>
          <w:lang w:val="en-US"/>
        </w:rPr>
        <w:t xml:space="preserve"> </w:t>
      </w:r>
      <w:proofErr w:type="spellStart"/>
      <w:r w:rsidRPr="006B6AC0">
        <w:rPr>
          <w:b/>
          <w:lang w:val="en-US"/>
        </w:rPr>
        <w:t>rätt</w:t>
      </w:r>
      <w:proofErr w:type="spellEnd"/>
      <w:r w:rsidRPr="006B6AC0">
        <w:rPr>
          <w:b/>
          <w:lang w:val="en-US"/>
        </w:rPr>
        <w:t xml:space="preserve"> vid </w:t>
      </w:r>
      <w:proofErr w:type="spellStart"/>
      <w:r w:rsidRPr="006B6AC0">
        <w:rPr>
          <w:b/>
          <w:lang w:val="en-US"/>
        </w:rPr>
        <w:t>nyemission</w:t>
      </w:r>
      <w:proofErr w:type="spellEnd"/>
      <w:r w:rsidRPr="006B6AC0">
        <w:rPr>
          <w:b/>
          <w:lang w:val="en-US"/>
        </w:rPr>
        <w:t xml:space="preserve"> av </w:t>
      </w:r>
      <w:proofErr w:type="spellStart"/>
      <w:r w:rsidRPr="006B6AC0">
        <w:rPr>
          <w:b/>
          <w:lang w:val="en-US"/>
        </w:rPr>
        <w:t>teckningsoptioner</w:t>
      </w:r>
      <w:proofErr w:type="spellEnd"/>
      <w:r w:rsidRPr="006B6AC0">
        <w:rPr>
          <w:b/>
          <w:lang w:val="en-US"/>
        </w:rPr>
        <w:t xml:space="preserve"> </w:t>
      </w:r>
      <w:proofErr w:type="spellStart"/>
      <w:r w:rsidRPr="006B6AC0">
        <w:rPr>
          <w:b/>
          <w:lang w:val="en-US"/>
        </w:rPr>
        <w:t>eller</w:t>
      </w:r>
      <w:proofErr w:type="spellEnd"/>
      <w:r w:rsidRPr="006B6AC0">
        <w:rPr>
          <w:b/>
          <w:lang w:val="en-US"/>
        </w:rPr>
        <w:t xml:space="preserve"> </w:t>
      </w:r>
      <w:proofErr w:type="spellStart"/>
      <w:r w:rsidRPr="006B6AC0">
        <w:rPr>
          <w:b/>
          <w:lang w:val="en-US"/>
        </w:rPr>
        <w:t>konvertibler</w:t>
      </w:r>
      <w:proofErr w:type="spellEnd"/>
      <w:r w:rsidRPr="006B6AC0">
        <w:rPr>
          <w:b/>
          <w:lang w:val="en-US"/>
        </w:rPr>
        <w:t xml:space="preserve"> med </w:t>
      </w:r>
      <w:proofErr w:type="spellStart"/>
      <w:r w:rsidRPr="006B6AC0">
        <w:rPr>
          <w:b/>
          <w:lang w:val="en-US"/>
        </w:rPr>
        <w:t>företrädesrätt</w:t>
      </w:r>
      <w:proofErr w:type="spellEnd"/>
      <w:r w:rsidRPr="00437F01">
        <w:rPr>
          <w:b/>
        </w:rPr>
        <w:t>/</w:t>
      </w:r>
      <w:r>
        <w:rPr>
          <w:b/>
          <w:i/>
        </w:rPr>
        <w:t>Warrant Holder</w:t>
      </w:r>
      <w:r w:rsidRPr="00437F01">
        <w:rPr>
          <w:b/>
          <w:i/>
        </w:rPr>
        <w:t>s' rights at an issue of warrants and convertibles in accordance with the shareholders' priority rights</w:t>
      </w:r>
    </w:p>
    <w:p w14:paraId="2C0215E5" w14:textId="77777777" w:rsidR="006350FE" w:rsidRPr="00437F01" w:rsidRDefault="006350FE" w:rsidP="006350FE">
      <w:pPr>
        <w:pStyle w:val="BodyText"/>
        <w:ind w:left="720"/>
      </w:pPr>
      <w:r w:rsidRPr="00A05113">
        <w:rPr>
          <w:lang w:val="sv-SE"/>
        </w:rPr>
        <w:t>Genomför</w:t>
      </w:r>
      <w:r w:rsidRPr="00A50800">
        <w:rPr>
          <w:lang w:val="sv-SE"/>
        </w:rPr>
        <w:t xml:space="preserve"> Bolaget en </w:t>
      </w:r>
      <w:r w:rsidRPr="00A50800">
        <w:rPr>
          <w:u w:val="single"/>
          <w:lang w:val="sv-SE"/>
        </w:rPr>
        <w:t xml:space="preserve">nyemission eller emission enligt 14 kap. eller 15 kap. </w:t>
      </w:r>
      <w:r>
        <w:rPr>
          <w:u w:val="single"/>
          <w:lang w:val="sv-SE"/>
        </w:rPr>
        <w:t>A</w:t>
      </w:r>
      <w:r w:rsidRPr="00A50800">
        <w:rPr>
          <w:u w:val="single"/>
          <w:lang w:val="sv-SE"/>
        </w:rPr>
        <w:t>ktiebolagslagen – med företrädesrätt för aktieägarna</w:t>
      </w:r>
      <w:r w:rsidRPr="00A50800">
        <w:rPr>
          <w:lang w:val="sv-SE"/>
        </w:rPr>
        <w:t xml:space="preserve"> och mot kontant betalning eller genom kvittning – äger Bolaget besluta att ge samtliga </w:t>
      </w:r>
      <w:r>
        <w:rPr>
          <w:lang w:val="sv-SE"/>
        </w:rPr>
        <w:t>Optionsinnehavare</w:t>
      </w:r>
      <w:r w:rsidRPr="00A50800">
        <w:rPr>
          <w:lang w:val="sv-SE"/>
        </w:rPr>
        <w:t xml:space="preserve"> </w:t>
      </w:r>
      <w:r>
        <w:rPr>
          <w:lang w:val="sv-SE"/>
        </w:rPr>
        <w:t xml:space="preserve">av </w:t>
      </w:r>
      <w:r w:rsidRPr="00A50800">
        <w:rPr>
          <w:lang w:val="sv-SE"/>
        </w:rPr>
        <w:t xml:space="preserve">samma företrädesrätt som enligt beslutet tillkommer aktieägarna. Därvid </w:t>
      </w:r>
      <w:r>
        <w:rPr>
          <w:lang w:val="sv-SE"/>
        </w:rPr>
        <w:t>ska</w:t>
      </w:r>
      <w:r w:rsidRPr="00A50800">
        <w:rPr>
          <w:lang w:val="sv-SE"/>
        </w:rPr>
        <w:t xml:space="preserve"> varje </w:t>
      </w:r>
      <w:r>
        <w:rPr>
          <w:lang w:val="sv-SE"/>
        </w:rPr>
        <w:t>Optionsinnehavare</w:t>
      </w:r>
      <w:r w:rsidRPr="00A50800">
        <w:rPr>
          <w:lang w:val="sv-SE"/>
        </w:rPr>
        <w:t xml:space="preserve">, oaktat sålunda att Teckning ej verkställts, anses vara ägare till det antal Aktier som </w:t>
      </w:r>
      <w:r>
        <w:rPr>
          <w:lang w:val="sv-SE"/>
        </w:rPr>
        <w:t>Optionsinnehavaren</w:t>
      </w:r>
      <w:r w:rsidRPr="00A50800">
        <w:rPr>
          <w:lang w:val="sv-SE"/>
        </w:rPr>
        <w:t xml:space="preserve"> skulle ha erhållit, om Teckning på grund av Teckningsoption verkställts av det antal Aktier, som varje Teckningsoption berättigade till Teckning av vid tidpunkten för beslutet om emission.</w:t>
      </w:r>
      <w:r w:rsidRPr="00A50800">
        <w:rPr>
          <w:lang w:val="sv-SE"/>
        </w:rPr>
        <w:br/>
      </w:r>
      <w:r w:rsidRPr="00437F01">
        <w:rPr>
          <w:i/>
        </w:rPr>
        <w:t xml:space="preserve">Where the Company carries out a </w:t>
      </w:r>
      <w:r w:rsidRPr="00437F01">
        <w:rPr>
          <w:i/>
          <w:u w:val="single"/>
        </w:rPr>
        <w:t xml:space="preserve">new share issue or an issue in accordance with Ch. 14 or Ch. 15 of the </w:t>
      </w:r>
      <w:r>
        <w:rPr>
          <w:i/>
          <w:u w:val="single"/>
        </w:rPr>
        <w:t xml:space="preserve">Swedish </w:t>
      </w:r>
      <w:r w:rsidRPr="00437F01">
        <w:rPr>
          <w:i/>
          <w:u w:val="single"/>
        </w:rPr>
        <w:t>Companies Act – with priority rights for the shareholders</w:t>
      </w:r>
      <w:r w:rsidRPr="00437F01">
        <w:rPr>
          <w:i/>
        </w:rPr>
        <w:t xml:space="preserve"> to subscribe for new Shares in exchange for cash payment or payment through set-off of claims – the Company is entitled to decide that all </w:t>
      </w:r>
      <w:r>
        <w:rPr>
          <w:i/>
        </w:rPr>
        <w:t>Warrant Holder</w:t>
      </w:r>
      <w:r w:rsidRPr="00437F01">
        <w:rPr>
          <w:i/>
        </w:rPr>
        <w:t xml:space="preserve">s are entitled to the same priority rights that are bestowed upon the shareholders. In connection with this, each </w:t>
      </w:r>
      <w:r>
        <w:rPr>
          <w:i/>
        </w:rPr>
        <w:t>Warrant Holder</w:t>
      </w:r>
      <w:r w:rsidRPr="00437F01">
        <w:rPr>
          <w:i/>
        </w:rPr>
        <w:t xml:space="preserve">, disregarding that Subscription has not been made, will be considered as owners of the number of Shares that the </w:t>
      </w:r>
      <w:r>
        <w:rPr>
          <w:i/>
        </w:rPr>
        <w:t>Warrant Holder</w:t>
      </w:r>
      <w:r w:rsidRPr="00437F01">
        <w:rPr>
          <w:i/>
        </w:rPr>
        <w:t xml:space="preserve"> would have received if the Subscription had been executed before the issue.</w:t>
      </w:r>
    </w:p>
    <w:p w14:paraId="670ECC1A" w14:textId="77777777" w:rsidR="006350FE" w:rsidRPr="00437F01" w:rsidRDefault="006350FE" w:rsidP="006350FE">
      <w:pPr>
        <w:pStyle w:val="BodyText"/>
        <w:ind w:left="720"/>
      </w:pPr>
      <w:r w:rsidRPr="00A05113">
        <w:rPr>
          <w:lang w:val="sv-SE"/>
        </w:rPr>
        <w:lastRenderedPageBreak/>
        <w:t>Skulle</w:t>
      </w:r>
      <w:r w:rsidRPr="00A50800">
        <w:rPr>
          <w:lang w:val="sv-SE"/>
        </w:rPr>
        <w:t xml:space="preserve"> Bolaget besluta att till aktieägarna rikta ett sådant erbjudande som avses i </w:t>
      </w:r>
      <w:r>
        <w:rPr>
          <w:lang w:val="sv-SE"/>
        </w:rPr>
        <w:t>punkt</w:t>
      </w:r>
      <w:r w:rsidRPr="00A50800">
        <w:rPr>
          <w:lang w:val="sv-SE"/>
        </w:rPr>
        <w:t xml:space="preserve"> </w:t>
      </w:r>
      <w:r>
        <w:rPr>
          <w:szCs w:val="22"/>
        </w:rPr>
        <w:fldChar w:fldCharType="begin"/>
      </w:r>
      <w:r>
        <w:rPr>
          <w:lang w:val="sv-SE"/>
        </w:rPr>
        <w:instrText xml:space="preserve"> REF _Ref445997940 \r \h </w:instrText>
      </w:r>
      <w:r>
        <w:rPr>
          <w:szCs w:val="22"/>
        </w:rPr>
      </w:r>
      <w:r>
        <w:rPr>
          <w:szCs w:val="22"/>
        </w:rPr>
        <w:fldChar w:fldCharType="separate"/>
      </w:r>
      <w:r>
        <w:rPr>
          <w:lang w:val="sv-SE"/>
        </w:rPr>
        <w:t>8.2.6</w:t>
      </w:r>
      <w:r>
        <w:rPr>
          <w:szCs w:val="22"/>
        </w:rPr>
        <w:fldChar w:fldCharType="end"/>
      </w:r>
      <w:r w:rsidRPr="00A50800">
        <w:rPr>
          <w:lang w:val="sv-SE"/>
        </w:rPr>
        <w:t xml:space="preserve"> ovan, </w:t>
      </w:r>
      <w:r>
        <w:rPr>
          <w:lang w:val="sv-SE"/>
        </w:rPr>
        <w:t>ska</w:t>
      </w:r>
      <w:r w:rsidRPr="00A50800">
        <w:rPr>
          <w:lang w:val="sv-SE"/>
        </w:rPr>
        <w:t xml:space="preserve"> vad i föregående stycke sagts äga motsvarande tillämpning, dock att det antal Aktier som </w:t>
      </w:r>
      <w:r>
        <w:rPr>
          <w:lang w:val="sv-SE"/>
        </w:rPr>
        <w:t>Optionsinnehavaren</w:t>
      </w:r>
      <w:r w:rsidRPr="00A50800">
        <w:rPr>
          <w:lang w:val="sv-SE"/>
        </w:rPr>
        <w:t xml:space="preserve"> anses vara ägare till i sådant fall </w:t>
      </w:r>
      <w:r>
        <w:rPr>
          <w:lang w:val="sv-SE"/>
        </w:rPr>
        <w:t>ska</w:t>
      </w:r>
      <w:r w:rsidRPr="00A50800">
        <w:rPr>
          <w:lang w:val="sv-SE"/>
        </w:rPr>
        <w:t xml:space="preserve"> fastställas efter den Teckningskurs, som gällde vid tidpunkten för beslutet om erbjudandet.</w:t>
      </w:r>
      <w:r w:rsidRPr="00A50800">
        <w:rPr>
          <w:lang w:val="sv-SE"/>
        </w:rPr>
        <w:br/>
      </w:r>
      <w:r w:rsidRPr="00437F01">
        <w:rPr>
          <w:i/>
        </w:rPr>
        <w:t xml:space="preserve">Should the Company direct such an offer intended in section </w:t>
      </w:r>
      <w:r>
        <w:rPr>
          <w:i/>
          <w:szCs w:val="22"/>
        </w:rPr>
        <w:fldChar w:fldCharType="begin"/>
      </w:r>
      <w:r>
        <w:rPr>
          <w:i/>
        </w:rPr>
        <w:instrText xml:space="preserve"> REF _Ref445997940 \r \h </w:instrText>
      </w:r>
      <w:r>
        <w:rPr>
          <w:i/>
          <w:szCs w:val="22"/>
        </w:rPr>
      </w:r>
      <w:r>
        <w:rPr>
          <w:i/>
          <w:szCs w:val="22"/>
        </w:rPr>
        <w:fldChar w:fldCharType="separate"/>
      </w:r>
      <w:r>
        <w:rPr>
          <w:i/>
        </w:rPr>
        <w:t>8.2.6</w:t>
      </w:r>
      <w:r>
        <w:rPr>
          <w:i/>
          <w:szCs w:val="22"/>
        </w:rPr>
        <w:fldChar w:fldCharType="end"/>
      </w:r>
      <w:r w:rsidRPr="00437F01">
        <w:rPr>
          <w:i/>
        </w:rPr>
        <w:t xml:space="preserve"> above, to its shareholders, the provisions set forth in previous paragraph will apply correspondingly. However, the number of Shares which the </w:t>
      </w:r>
      <w:r>
        <w:rPr>
          <w:i/>
        </w:rPr>
        <w:t>Warrant Holder</w:t>
      </w:r>
      <w:r w:rsidRPr="00437F01">
        <w:rPr>
          <w:i/>
        </w:rPr>
        <w:t xml:space="preserve"> shall be deemed to be owner of shall be determined after the Subscription Price which applied at the time of the resolution of the offer.</w:t>
      </w:r>
    </w:p>
    <w:p w14:paraId="3DB90073" w14:textId="77777777" w:rsidR="006350FE" w:rsidRPr="00437F01" w:rsidRDefault="006350FE" w:rsidP="006350FE">
      <w:pPr>
        <w:pStyle w:val="BodyText"/>
        <w:ind w:left="720"/>
      </w:pPr>
      <w:r w:rsidRPr="00A05113">
        <w:rPr>
          <w:lang w:val="sv-SE"/>
        </w:rPr>
        <w:t>Om</w:t>
      </w:r>
      <w:r w:rsidRPr="00A50800">
        <w:rPr>
          <w:lang w:val="sv-SE"/>
        </w:rPr>
        <w:t xml:space="preserve"> Bolaget skulle besluta att ge </w:t>
      </w:r>
      <w:r>
        <w:rPr>
          <w:lang w:val="sv-SE"/>
        </w:rPr>
        <w:t>Optionsinnehavarna</w:t>
      </w:r>
      <w:r w:rsidRPr="00A50800">
        <w:rPr>
          <w:lang w:val="sv-SE"/>
        </w:rPr>
        <w:t xml:space="preserve"> företrädesrätt i enlighet med bestämmelserna i de</w:t>
      </w:r>
      <w:r>
        <w:rPr>
          <w:lang w:val="sv-SE"/>
        </w:rPr>
        <w:t>nn</w:t>
      </w:r>
      <w:r w:rsidRPr="00A50800">
        <w:rPr>
          <w:lang w:val="sv-SE"/>
        </w:rPr>
        <w:t xml:space="preserve">a </w:t>
      </w:r>
      <w:r>
        <w:rPr>
          <w:lang w:val="sv-SE"/>
        </w:rPr>
        <w:t>punkt</w:t>
      </w:r>
      <w:r w:rsidRPr="00A50800">
        <w:rPr>
          <w:lang w:val="sv-SE"/>
        </w:rPr>
        <w:t xml:space="preserve"> </w:t>
      </w:r>
      <w:r>
        <w:rPr>
          <w:lang w:val="sv-SE"/>
        </w:rPr>
        <w:fldChar w:fldCharType="begin"/>
      </w:r>
      <w:r>
        <w:rPr>
          <w:lang w:val="sv-SE"/>
        </w:rPr>
        <w:instrText xml:space="preserve"> REF _Ref167358698 \r \h </w:instrText>
      </w:r>
      <w:r>
        <w:rPr>
          <w:lang w:val="sv-SE"/>
        </w:rPr>
      </w:r>
      <w:r>
        <w:rPr>
          <w:lang w:val="sv-SE"/>
        </w:rPr>
        <w:fldChar w:fldCharType="separate"/>
      </w:r>
      <w:r>
        <w:rPr>
          <w:lang w:val="sv-SE"/>
        </w:rPr>
        <w:t>8.2.7</w:t>
      </w:r>
      <w:r>
        <w:rPr>
          <w:lang w:val="sv-SE"/>
        </w:rPr>
        <w:fldChar w:fldCharType="end"/>
      </w:r>
      <w:r w:rsidRPr="00A50800">
        <w:rPr>
          <w:lang w:val="sv-SE"/>
        </w:rPr>
        <w:t xml:space="preserve">, </w:t>
      </w:r>
      <w:r>
        <w:rPr>
          <w:lang w:val="sv-SE"/>
        </w:rPr>
        <w:t>ska</w:t>
      </w:r>
      <w:r w:rsidRPr="00A50800">
        <w:rPr>
          <w:lang w:val="sv-SE"/>
        </w:rPr>
        <w:t xml:space="preserve"> någon omräkning enligt punkterna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szCs w:val="22"/>
          <w:lang w:val="sv-SE"/>
        </w:rPr>
        <w:t xml:space="preserve">, </w:t>
      </w:r>
      <w:r>
        <w:rPr>
          <w:szCs w:val="22"/>
        </w:rPr>
        <w:fldChar w:fldCharType="begin"/>
      </w:r>
      <w:r>
        <w:rPr>
          <w:szCs w:val="22"/>
          <w:lang w:val="sv-SE"/>
        </w:rPr>
        <w:instrText xml:space="preserve"> REF _Ref445997868 \r \h </w:instrText>
      </w:r>
      <w:r>
        <w:rPr>
          <w:szCs w:val="22"/>
        </w:rPr>
      </w:r>
      <w:r>
        <w:rPr>
          <w:szCs w:val="22"/>
        </w:rPr>
        <w:fldChar w:fldCharType="separate"/>
      </w:r>
      <w:r>
        <w:rPr>
          <w:szCs w:val="22"/>
          <w:lang w:val="sv-SE"/>
        </w:rPr>
        <w:t>8.2.5</w:t>
      </w:r>
      <w:r>
        <w:rPr>
          <w:szCs w:val="22"/>
        </w:rPr>
        <w:fldChar w:fldCharType="end"/>
      </w:r>
      <w:r w:rsidRPr="00291EEE">
        <w:rPr>
          <w:szCs w:val="22"/>
          <w:lang w:val="sv-SE"/>
        </w:rPr>
        <w:t xml:space="preserve"> </w:t>
      </w:r>
      <w:r w:rsidRPr="00A50800">
        <w:rPr>
          <w:lang w:val="sv-SE"/>
        </w:rPr>
        <w:t xml:space="preserve">eller </w:t>
      </w:r>
      <w:r>
        <w:rPr>
          <w:szCs w:val="22"/>
        </w:rPr>
        <w:fldChar w:fldCharType="begin"/>
      </w:r>
      <w:r>
        <w:rPr>
          <w:lang w:val="sv-SE"/>
        </w:rPr>
        <w:instrText xml:space="preserve"> REF _Ref445997940 \r \h </w:instrText>
      </w:r>
      <w:r>
        <w:rPr>
          <w:szCs w:val="22"/>
        </w:rPr>
      </w:r>
      <w:r>
        <w:rPr>
          <w:szCs w:val="22"/>
        </w:rPr>
        <w:fldChar w:fldCharType="separate"/>
      </w:r>
      <w:r>
        <w:rPr>
          <w:lang w:val="sv-SE"/>
        </w:rPr>
        <w:t>8.2.6</w:t>
      </w:r>
      <w:r>
        <w:rPr>
          <w:szCs w:val="22"/>
        </w:rPr>
        <w:fldChar w:fldCharType="end"/>
      </w:r>
      <w:r w:rsidRPr="00A50800">
        <w:rPr>
          <w:lang w:val="sv-SE"/>
        </w:rPr>
        <w:t xml:space="preserve"> ovan inte äga rum.</w:t>
      </w:r>
      <w:r w:rsidRPr="00A50800">
        <w:rPr>
          <w:lang w:val="sv-SE"/>
        </w:rPr>
        <w:br/>
      </w:r>
      <w:r w:rsidRPr="00437F01">
        <w:rPr>
          <w:i/>
        </w:rPr>
        <w:t xml:space="preserve">If the Company resolves to give the </w:t>
      </w:r>
      <w:r>
        <w:rPr>
          <w:i/>
        </w:rPr>
        <w:t>Warrant Holder</w:t>
      </w:r>
      <w:r w:rsidRPr="00437F01">
        <w:rPr>
          <w:i/>
        </w:rPr>
        <w:t xml:space="preserve">s' priority rights, in accordance to the provisions set forth in this section </w:t>
      </w:r>
      <w:r>
        <w:rPr>
          <w:i/>
        </w:rPr>
        <w:fldChar w:fldCharType="begin"/>
      </w:r>
      <w:r>
        <w:rPr>
          <w:i/>
        </w:rPr>
        <w:instrText xml:space="preserve"> REF _Ref167358698 \r \h </w:instrText>
      </w:r>
      <w:r>
        <w:rPr>
          <w:i/>
        </w:rPr>
      </w:r>
      <w:r>
        <w:rPr>
          <w:i/>
        </w:rPr>
        <w:fldChar w:fldCharType="separate"/>
      </w:r>
      <w:r>
        <w:rPr>
          <w:i/>
        </w:rPr>
        <w:t>8.2.7</w:t>
      </w:r>
      <w:r>
        <w:rPr>
          <w:i/>
        </w:rPr>
        <w:fldChar w:fldCharType="end"/>
      </w:r>
      <w:r w:rsidRPr="00437F01">
        <w:rPr>
          <w:i/>
        </w:rPr>
        <w:t xml:space="preserve">, recalculation according to sections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w:t>
      </w:r>
      <w:r>
        <w:rPr>
          <w:i/>
          <w:szCs w:val="22"/>
        </w:rPr>
        <w:fldChar w:fldCharType="begin"/>
      </w:r>
      <w:r>
        <w:rPr>
          <w:i/>
        </w:rPr>
        <w:instrText xml:space="preserve"> REF _Ref445997868 \r \h </w:instrText>
      </w:r>
      <w:r>
        <w:rPr>
          <w:i/>
          <w:szCs w:val="22"/>
        </w:rPr>
      </w:r>
      <w:r>
        <w:rPr>
          <w:i/>
          <w:szCs w:val="22"/>
        </w:rPr>
        <w:fldChar w:fldCharType="separate"/>
      </w:r>
      <w:r>
        <w:rPr>
          <w:i/>
        </w:rPr>
        <w:t>8.2.5</w:t>
      </w:r>
      <w:r>
        <w:rPr>
          <w:i/>
          <w:szCs w:val="22"/>
        </w:rPr>
        <w:fldChar w:fldCharType="end"/>
      </w:r>
      <w:r w:rsidRPr="00437F01">
        <w:rPr>
          <w:i/>
          <w:szCs w:val="22"/>
        </w:rPr>
        <w:t xml:space="preserve"> </w:t>
      </w:r>
      <w:r w:rsidRPr="00437F01">
        <w:rPr>
          <w:i/>
        </w:rPr>
        <w:t xml:space="preserve">or </w:t>
      </w:r>
      <w:r>
        <w:rPr>
          <w:i/>
          <w:szCs w:val="22"/>
        </w:rPr>
        <w:fldChar w:fldCharType="begin"/>
      </w:r>
      <w:r>
        <w:rPr>
          <w:i/>
        </w:rPr>
        <w:instrText xml:space="preserve"> REF _Ref445997940 \r \h </w:instrText>
      </w:r>
      <w:r>
        <w:rPr>
          <w:i/>
          <w:szCs w:val="22"/>
        </w:rPr>
      </w:r>
      <w:r>
        <w:rPr>
          <w:i/>
          <w:szCs w:val="22"/>
        </w:rPr>
        <w:fldChar w:fldCharType="separate"/>
      </w:r>
      <w:r>
        <w:rPr>
          <w:i/>
        </w:rPr>
        <w:t>8.2.6</w:t>
      </w:r>
      <w:r>
        <w:rPr>
          <w:i/>
          <w:szCs w:val="22"/>
        </w:rPr>
        <w:fldChar w:fldCharType="end"/>
      </w:r>
      <w:r w:rsidRPr="00437F01">
        <w:rPr>
          <w:i/>
        </w:rPr>
        <w:t>, shall not be made.</w:t>
      </w:r>
    </w:p>
    <w:p w14:paraId="7D53110B" w14:textId="77777777" w:rsidR="006350FE" w:rsidRPr="00437F01" w:rsidRDefault="006350FE" w:rsidP="007C4B62">
      <w:pPr>
        <w:pStyle w:val="BodyText"/>
        <w:numPr>
          <w:ilvl w:val="2"/>
          <w:numId w:val="57"/>
        </w:numPr>
        <w:spacing w:after="0"/>
        <w:rPr>
          <w:b/>
        </w:rPr>
      </w:pPr>
      <w:proofErr w:type="spellStart"/>
      <w:r w:rsidRPr="00437F01">
        <w:rPr>
          <w:b/>
        </w:rPr>
        <w:t>Utdelning</w:t>
      </w:r>
      <w:proofErr w:type="spellEnd"/>
      <w:r w:rsidRPr="00437F01">
        <w:rPr>
          <w:b/>
        </w:rPr>
        <w:t>/</w:t>
      </w:r>
      <w:r w:rsidRPr="00437F01">
        <w:rPr>
          <w:b/>
          <w:i/>
        </w:rPr>
        <w:t>Dividend</w:t>
      </w:r>
    </w:p>
    <w:p w14:paraId="76C1C7F5" w14:textId="77777777" w:rsidR="006350FE" w:rsidRPr="00437F01" w:rsidRDefault="006350FE" w:rsidP="007C4B62">
      <w:pPr>
        <w:pStyle w:val="BodyText"/>
        <w:numPr>
          <w:ilvl w:val="0"/>
          <w:numId w:val="60"/>
        </w:numPr>
        <w:ind w:left="720" w:firstLine="0"/>
      </w:pPr>
      <w:r w:rsidRPr="00A50800">
        <w:rPr>
          <w:rFonts w:eastAsia="Times New Roman"/>
          <w:lang w:val="sv-SE"/>
        </w:rPr>
        <w:t xml:space="preserve">Om Bolagets Aktier inte är föremål för marknadsnotering, och det beslutas om </w:t>
      </w:r>
      <w:r w:rsidRPr="00A50800">
        <w:rPr>
          <w:rFonts w:eastAsia="Times New Roman"/>
          <w:u w:val="single"/>
          <w:lang w:val="sv-SE"/>
        </w:rPr>
        <w:t>utdelning</w:t>
      </w:r>
      <w:r w:rsidRPr="00A50800">
        <w:rPr>
          <w:rFonts w:eastAsia="Times New Roman"/>
          <w:lang w:val="sv-SE"/>
        </w:rPr>
        <w:t xml:space="preserve"> till aktieägarna, oavsett om det rör sig om en kontant eller </w:t>
      </w:r>
      <w:proofErr w:type="spellStart"/>
      <w:r w:rsidRPr="00A50800">
        <w:rPr>
          <w:rFonts w:eastAsia="Times New Roman"/>
          <w:lang w:val="sv-SE"/>
        </w:rPr>
        <w:t>sakutdelning</w:t>
      </w:r>
      <w:proofErr w:type="spellEnd"/>
      <w:r w:rsidRPr="00A50800">
        <w:rPr>
          <w:rFonts w:eastAsia="Times New Roman"/>
          <w:lang w:val="sv-SE"/>
        </w:rPr>
        <w:t xml:space="preserve">, </w:t>
      </w:r>
      <w:r>
        <w:rPr>
          <w:rFonts w:eastAsia="Times New Roman"/>
          <w:lang w:val="sv-SE"/>
        </w:rPr>
        <w:t>ska</w:t>
      </w:r>
      <w:r w:rsidRPr="00A50800">
        <w:rPr>
          <w:rFonts w:eastAsia="Times New Roman"/>
          <w:lang w:val="sv-SE"/>
        </w:rPr>
        <w:t xml:space="preserve"> en omräkning av Teckningskursen utföras av Bolaget varigenom Teckningskursen </w:t>
      </w:r>
      <w:r>
        <w:rPr>
          <w:rFonts w:eastAsia="Times New Roman"/>
          <w:lang w:val="sv-SE"/>
        </w:rPr>
        <w:t>ska</w:t>
      </w:r>
      <w:r w:rsidRPr="00A50800">
        <w:rPr>
          <w:rFonts w:eastAsia="Times New Roman"/>
          <w:lang w:val="sv-SE"/>
        </w:rPr>
        <w:t xml:space="preserve"> reduceras med ett belopp motsvarande utdelningen per Aktie.</w:t>
      </w:r>
      <w:r w:rsidRPr="00A50800">
        <w:rPr>
          <w:rFonts w:eastAsia="Times New Roman"/>
          <w:lang w:val="sv-SE"/>
        </w:rPr>
        <w:br/>
      </w:r>
      <w:r w:rsidRPr="00437F01">
        <w:rPr>
          <w:i/>
        </w:rPr>
        <w:t xml:space="preserve">Should the Company's Shares not be listed, and the Company resolves to pay a </w:t>
      </w:r>
      <w:r w:rsidRPr="00437F01">
        <w:rPr>
          <w:i/>
          <w:u w:val="single"/>
        </w:rPr>
        <w:t>dividend</w:t>
      </w:r>
      <w:r w:rsidRPr="00437F01">
        <w:rPr>
          <w:i/>
        </w:rPr>
        <w:t xml:space="preserve"> to the shareholders whether in cash or in kind, the Company shall, recalculate the Subscription Price shall be reduced by the dividend per Share.</w:t>
      </w:r>
    </w:p>
    <w:p w14:paraId="0320F0AD" w14:textId="77777777" w:rsidR="006350FE" w:rsidRPr="00437F01" w:rsidRDefault="006350FE" w:rsidP="007C4B62">
      <w:pPr>
        <w:pStyle w:val="BodyText"/>
        <w:numPr>
          <w:ilvl w:val="0"/>
          <w:numId w:val="60"/>
        </w:numPr>
        <w:ind w:left="720" w:firstLine="0"/>
      </w:pPr>
      <w:r w:rsidRPr="00A50800">
        <w:rPr>
          <w:rFonts w:eastAsia="Times New Roman"/>
          <w:lang w:val="sv-SE"/>
        </w:rPr>
        <w:t xml:space="preserve">Om Bolagets Aktier är föremål för marknadsnotering och beslutas om </w:t>
      </w:r>
      <w:r w:rsidRPr="00A50800">
        <w:rPr>
          <w:rFonts w:eastAsia="Times New Roman"/>
          <w:u w:val="single"/>
          <w:lang w:val="sv-SE"/>
        </w:rPr>
        <w:t>utdelning</w:t>
      </w:r>
      <w:r w:rsidRPr="00A50800">
        <w:rPr>
          <w:rFonts w:eastAsia="Times New Roman"/>
          <w:lang w:val="sv-SE"/>
        </w:rPr>
        <w:t xml:space="preserve"> till aktieägarna </w:t>
      </w:r>
      <w:r>
        <w:rPr>
          <w:rFonts w:eastAsia="Times New Roman"/>
          <w:lang w:val="sv-SE"/>
        </w:rPr>
        <w:t>ska</w:t>
      </w:r>
      <w:r w:rsidRPr="00A50800">
        <w:rPr>
          <w:rFonts w:eastAsia="Times New Roman"/>
          <w:lang w:val="sv-SE"/>
        </w:rPr>
        <w:t xml:space="preserve">, där anmälan om Teckning som görs på sådan tid, att därigenom erhållen Aktie inte medför rätt till erhållande av sådan utdelning, tillämpas en omräknad Teckningskurs och ett omräknat antal Aktier som varje Teckningsoption berättigar till Teckning av. </w:t>
      </w:r>
      <w:proofErr w:type="spellStart"/>
      <w:r w:rsidRPr="00437F01">
        <w:rPr>
          <w:rFonts w:eastAsia="Times New Roman"/>
        </w:rPr>
        <w:t>Omräkningen</w:t>
      </w:r>
      <w:proofErr w:type="spellEnd"/>
      <w:r w:rsidRPr="00437F01">
        <w:rPr>
          <w:rFonts w:eastAsia="Times New Roman"/>
        </w:rPr>
        <w:t xml:space="preserve"> </w:t>
      </w:r>
      <w:r>
        <w:rPr>
          <w:rFonts w:eastAsia="Times New Roman"/>
        </w:rPr>
        <w:t>ska</w:t>
      </w:r>
      <w:r w:rsidRPr="00437F01">
        <w:rPr>
          <w:rFonts w:eastAsia="Times New Roman"/>
        </w:rPr>
        <w:t xml:space="preserve"> </w:t>
      </w:r>
      <w:proofErr w:type="spellStart"/>
      <w:r w:rsidRPr="00437F01">
        <w:rPr>
          <w:rFonts w:eastAsia="Times New Roman"/>
        </w:rPr>
        <w:t>baseras</w:t>
      </w:r>
      <w:proofErr w:type="spellEnd"/>
      <w:r w:rsidRPr="00437F01">
        <w:rPr>
          <w:rFonts w:eastAsia="Times New Roman"/>
        </w:rPr>
        <w:t xml:space="preserve"> </w:t>
      </w:r>
      <w:proofErr w:type="spellStart"/>
      <w:r w:rsidRPr="00437F01">
        <w:rPr>
          <w:rFonts w:eastAsia="Times New Roman"/>
        </w:rPr>
        <w:t>på</w:t>
      </w:r>
      <w:proofErr w:type="spellEnd"/>
      <w:r w:rsidRPr="00437F01">
        <w:rPr>
          <w:rFonts w:eastAsia="Times New Roman"/>
        </w:rPr>
        <w:t xml:space="preserve"> den </w:t>
      </w:r>
      <w:proofErr w:type="spellStart"/>
      <w:r w:rsidRPr="00437F01">
        <w:rPr>
          <w:rFonts w:eastAsia="Times New Roman"/>
        </w:rPr>
        <w:t>sammanlagda</w:t>
      </w:r>
      <w:proofErr w:type="spellEnd"/>
      <w:r w:rsidRPr="00437F01">
        <w:rPr>
          <w:rFonts w:eastAsia="Times New Roman"/>
        </w:rPr>
        <w:t xml:space="preserve"> </w:t>
      </w:r>
      <w:proofErr w:type="spellStart"/>
      <w:r w:rsidRPr="00437F01">
        <w:rPr>
          <w:rFonts w:eastAsia="Times New Roman"/>
        </w:rPr>
        <w:t>utdelningen</w:t>
      </w:r>
      <w:proofErr w:type="spellEnd"/>
      <w:r w:rsidRPr="00437F01">
        <w:rPr>
          <w:rFonts w:eastAsia="Times New Roman"/>
        </w:rPr>
        <w:t xml:space="preserve">. </w:t>
      </w:r>
      <w:proofErr w:type="spellStart"/>
      <w:r w:rsidRPr="00437F01">
        <w:rPr>
          <w:rFonts w:eastAsia="Times New Roman"/>
        </w:rPr>
        <w:t>Omräkningarna</w:t>
      </w:r>
      <w:proofErr w:type="spellEnd"/>
      <w:r w:rsidRPr="00437F01">
        <w:rPr>
          <w:rFonts w:eastAsia="Times New Roman"/>
        </w:rPr>
        <w:t xml:space="preserve"> </w:t>
      </w:r>
      <w:proofErr w:type="spellStart"/>
      <w:r w:rsidRPr="00437F01">
        <w:rPr>
          <w:rFonts w:eastAsia="Times New Roman"/>
        </w:rPr>
        <w:t>utförs</w:t>
      </w:r>
      <w:proofErr w:type="spellEnd"/>
      <w:r w:rsidRPr="00437F01">
        <w:rPr>
          <w:rFonts w:eastAsia="Times New Roman"/>
        </w:rPr>
        <w:t xml:space="preserve"> </w:t>
      </w:r>
      <w:proofErr w:type="spellStart"/>
      <w:r w:rsidRPr="00437F01">
        <w:rPr>
          <w:rFonts w:eastAsia="Times New Roman"/>
        </w:rPr>
        <w:t>av</w:t>
      </w:r>
      <w:proofErr w:type="spellEnd"/>
      <w:r w:rsidRPr="00437F01">
        <w:rPr>
          <w:rFonts w:eastAsia="Times New Roman"/>
        </w:rPr>
        <w:t xml:space="preserve"> </w:t>
      </w:r>
      <w:proofErr w:type="spellStart"/>
      <w:r w:rsidRPr="00437F01">
        <w:rPr>
          <w:rFonts w:eastAsia="Times New Roman"/>
        </w:rPr>
        <w:t>Bolaget</w:t>
      </w:r>
      <w:proofErr w:type="spellEnd"/>
      <w:r w:rsidRPr="00437F01">
        <w:rPr>
          <w:rFonts w:eastAsia="Times New Roman"/>
        </w:rPr>
        <w:t xml:space="preserve"> </w:t>
      </w:r>
      <w:proofErr w:type="spellStart"/>
      <w:r w:rsidRPr="00437F01">
        <w:rPr>
          <w:rFonts w:eastAsia="Times New Roman"/>
        </w:rPr>
        <w:t>enligt</w:t>
      </w:r>
      <w:proofErr w:type="spellEnd"/>
      <w:r w:rsidRPr="00437F01">
        <w:rPr>
          <w:rFonts w:eastAsia="Times New Roman"/>
        </w:rPr>
        <w:t xml:space="preserve"> </w:t>
      </w:r>
      <w:proofErr w:type="spellStart"/>
      <w:r w:rsidRPr="00437F01">
        <w:rPr>
          <w:rFonts w:eastAsia="Times New Roman"/>
        </w:rPr>
        <w:t>följande</w:t>
      </w:r>
      <w:proofErr w:type="spellEnd"/>
      <w:r w:rsidRPr="00437F01">
        <w:rPr>
          <w:rFonts w:eastAsia="Times New Roman"/>
        </w:rPr>
        <w:t xml:space="preserve"> </w:t>
      </w:r>
      <w:proofErr w:type="spellStart"/>
      <w:r w:rsidRPr="00437F01">
        <w:rPr>
          <w:rFonts w:eastAsia="Times New Roman"/>
        </w:rPr>
        <w:t>formler</w:t>
      </w:r>
      <w:proofErr w:type="spellEnd"/>
      <w:r w:rsidRPr="00437F01">
        <w:rPr>
          <w:rFonts w:eastAsia="Times New Roman"/>
        </w:rPr>
        <w:t>:</w:t>
      </w:r>
      <w:r w:rsidRPr="00437F01">
        <w:rPr>
          <w:rFonts w:eastAsia="Times New Roman"/>
        </w:rPr>
        <w:br/>
      </w:r>
      <w:r w:rsidRPr="00437F01">
        <w:rPr>
          <w:i/>
        </w:rPr>
        <w:t xml:space="preserve">Should the Company's shares be listed, at the time of the issuance, and in the event the Company resolves to pay a </w:t>
      </w:r>
      <w:r w:rsidRPr="00437F01">
        <w:rPr>
          <w:i/>
          <w:u w:val="single"/>
        </w:rPr>
        <w:t>dividend</w:t>
      </w:r>
      <w:r w:rsidRPr="00437F01">
        <w:rPr>
          <w:i/>
        </w:rPr>
        <w:t xml:space="preserve"> to the shareholders recalculation of the Subscription Price and the number of Shares each Warrant entitles the </w:t>
      </w:r>
      <w:r>
        <w:rPr>
          <w:i/>
        </w:rPr>
        <w:t>Warrant Holder</w:t>
      </w:r>
      <w:r w:rsidRPr="00437F01">
        <w:rPr>
          <w:i/>
        </w:rPr>
        <w:t xml:space="preserve"> to Subscribe for, shall be made regarding Subscriptions requested at such a time that the Shares thereby received do not carry rights to receive such dividend. The recalculation shall be based upon the total dividend. The recalculation shall be made by the Company in accordance with the following formulas:</w:t>
      </w:r>
    </w:p>
    <w:tbl>
      <w:tblPr>
        <w:tblW w:w="8280" w:type="dxa"/>
        <w:tblInd w:w="720" w:type="dxa"/>
        <w:tblBorders>
          <w:top w:val="nil"/>
          <w:left w:val="nil"/>
          <w:bottom w:val="nil"/>
          <w:right w:val="nil"/>
          <w:insideH w:val="nil"/>
          <w:insideV w:val="nil"/>
        </w:tblBorders>
        <w:tblLook w:val="04A0" w:firstRow="1" w:lastRow="0" w:firstColumn="1" w:lastColumn="0" w:noHBand="0" w:noVBand="1"/>
      </w:tblPr>
      <w:tblGrid>
        <w:gridCol w:w="2610"/>
        <w:gridCol w:w="540"/>
        <w:gridCol w:w="5130"/>
      </w:tblGrid>
      <w:tr w:rsidR="006350FE" w:rsidRPr="00D00630" w14:paraId="47045B1F" w14:textId="77777777" w:rsidTr="00695A7D">
        <w:trPr>
          <w:cantSplit/>
        </w:trPr>
        <w:tc>
          <w:tcPr>
            <w:tcW w:w="2610" w:type="dxa"/>
            <w:vMerge w:val="restart"/>
            <w:vAlign w:val="center"/>
          </w:tcPr>
          <w:p w14:paraId="21BDDB44" w14:textId="77777777" w:rsidR="006350FE" w:rsidRPr="00437F01" w:rsidRDefault="006350FE" w:rsidP="00695A7D">
            <w:pPr>
              <w:pStyle w:val="TableText"/>
              <w:spacing w:after="0"/>
            </w:pPr>
            <w:proofErr w:type="spellStart"/>
            <w:r w:rsidRPr="00437F01">
              <w:t>Omräknad</w:t>
            </w:r>
            <w:proofErr w:type="spellEnd"/>
            <w:r w:rsidRPr="00437F01">
              <w:t xml:space="preserve"> </w:t>
            </w:r>
            <w:proofErr w:type="spellStart"/>
            <w:r w:rsidRPr="00437F01">
              <w:t>Teckningskurs</w:t>
            </w:r>
            <w:proofErr w:type="spellEnd"/>
          </w:p>
        </w:tc>
        <w:tc>
          <w:tcPr>
            <w:tcW w:w="540" w:type="dxa"/>
            <w:vMerge w:val="restart"/>
            <w:vAlign w:val="center"/>
          </w:tcPr>
          <w:p w14:paraId="0B917EF3" w14:textId="77777777" w:rsidR="006350FE" w:rsidRPr="00437F01" w:rsidRDefault="006350FE" w:rsidP="00695A7D">
            <w:pPr>
              <w:pStyle w:val="TableText"/>
              <w:spacing w:before="360" w:after="0"/>
            </w:pPr>
            <w:r w:rsidRPr="00437F01">
              <w:t>=</w:t>
            </w:r>
          </w:p>
        </w:tc>
        <w:tc>
          <w:tcPr>
            <w:tcW w:w="5130" w:type="dxa"/>
            <w:tcBorders>
              <w:bottom w:val="single" w:sz="4" w:space="0" w:color="auto"/>
            </w:tcBorders>
          </w:tcPr>
          <w:p w14:paraId="67BFE014" w14:textId="77777777" w:rsidR="006350FE" w:rsidRPr="00A50800" w:rsidRDefault="006350F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Aktiens genomsnittliga aktiekurs under en period om 25 handelsdagar räknat fr.o.m. den dag då Aktien noteras utan rätt till utdelning (Aktiens genomsnittskurs)</w:t>
            </w:r>
          </w:p>
        </w:tc>
      </w:tr>
      <w:tr w:rsidR="006350FE" w:rsidRPr="00D00630" w14:paraId="47DEBC44" w14:textId="77777777" w:rsidTr="00695A7D">
        <w:trPr>
          <w:cantSplit/>
        </w:trPr>
        <w:tc>
          <w:tcPr>
            <w:tcW w:w="2610" w:type="dxa"/>
            <w:vMerge/>
          </w:tcPr>
          <w:p w14:paraId="0D2897C5" w14:textId="77777777" w:rsidR="006350FE" w:rsidRPr="00A50800" w:rsidRDefault="006350FE" w:rsidP="00695A7D">
            <w:pPr>
              <w:pStyle w:val="TableText"/>
              <w:spacing w:after="0"/>
              <w:rPr>
                <w:lang w:val="sv-SE"/>
              </w:rPr>
            </w:pPr>
          </w:p>
        </w:tc>
        <w:tc>
          <w:tcPr>
            <w:tcW w:w="540" w:type="dxa"/>
            <w:vMerge/>
            <w:tcBorders>
              <w:right w:val="nil"/>
            </w:tcBorders>
          </w:tcPr>
          <w:p w14:paraId="69531C6F" w14:textId="77777777" w:rsidR="006350FE" w:rsidRPr="00A50800" w:rsidRDefault="006350FE" w:rsidP="00695A7D">
            <w:pPr>
              <w:pStyle w:val="TableText"/>
              <w:spacing w:after="0"/>
              <w:rPr>
                <w:lang w:val="sv-SE"/>
              </w:rPr>
            </w:pPr>
          </w:p>
        </w:tc>
        <w:tc>
          <w:tcPr>
            <w:tcW w:w="5130" w:type="dxa"/>
            <w:tcBorders>
              <w:top w:val="single" w:sz="4" w:space="0" w:color="auto"/>
              <w:left w:val="nil"/>
              <w:bottom w:val="nil"/>
              <w:right w:val="nil"/>
            </w:tcBorders>
          </w:tcPr>
          <w:p w14:paraId="3476AD2F" w14:textId="77777777" w:rsidR="006350FE" w:rsidRPr="00A50800" w:rsidRDefault="006350FE" w:rsidP="00695A7D">
            <w:pPr>
              <w:pStyle w:val="TableText"/>
              <w:spacing w:after="0"/>
              <w:rPr>
                <w:lang w:val="sv-SE"/>
              </w:rPr>
            </w:pPr>
            <w:r w:rsidRPr="00A50800">
              <w:rPr>
                <w:lang w:val="sv-SE"/>
              </w:rPr>
              <w:t>Aktiens genomsnittskurs ökad med den utdelning som utbetalas per Aktie</w:t>
            </w:r>
          </w:p>
        </w:tc>
      </w:tr>
      <w:tr w:rsidR="006350FE" w:rsidRPr="00D00630" w14:paraId="7C03FEC4" w14:textId="77777777" w:rsidTr="00695A7D">
        <w:trPr>
          <w:cantSplit/>
        </w:trPr>
        <w:tc>
          <w:tcPr>
            <w:tcW w:w="2610" w:type="dxa"/>
          </w:tcPr>
          <w:p w14:paraId="46E94E86" w14:textId="77777777" w:rsidR="006350FE" w:rsidRPr="00A50800" w:rsidRDefault="006350FE" w:rsidP="00695A7D">
            <w:pPr>
              <w:pStyle w:val="TableText"/>
              <w:spacing w:after="0"/>
              <w:rPr>
                <w:lang w:val="sv-SE"/>
              </w:rPr>
            </w:pPr>
          </w:p>
        </w:tc>
        <w:tc>
          <w:tcPr>
            <w:tcW w:w="540" w:type="dxa"/>
          </w:tcPr>
          <w:p w14:paraId="7F765201" w14:textId="77777777" w:rsidR="006350FE" w:rsidRPr="00A50800" w:rsidRDefault="006350FE" w:rsidP="00695A7D">
            <w:pPr>
              <w:pStyle w:val="TableText"/>
              <w:spacing w:after="0"/>
              <w:rPr>
                <w:lang w:val="sv-SE"/>
              </w:rPr>
            </w:pPr>
          </w:p>
        </w:tc>
        <w:tc>
          <w:tcPr>
            <w:tcW w:w="5130" w:type="dxa"/>
            <w:tcBorders>
              <w:top w:val="nil"/>
            </w:tcBorders>
          </w:tcPr>
          <w:p w14:paraId="7934DCB5" w14:textId="77777777" w:rsidR="006350FE" w:rsidRPr="00A50800" w:rsidRDefault="006350FE" w:rsidP="00695A7D">
            <w:pPr>
              <w:pStyle w:val="TableText"/>
              <w:spacing w:after="0"/>
              <w:rPr>
                <w:lang w:val="sv-SE"/>
              </w:rPr>
            </w:pPr>
          </w:p>
        </w:tc>
      </w:tr>
      <w:tr w:rsidR="006350FE" w:rsidRPr="00D00630" w14:paraId="54904DDE" w14:textId="77777777" w:rsidTr="00695A7D">
        <w:trPr>
          <w:cantSplit/>
        </w:trPr>
        <w:tc>
          <w:tcPr>
            <w:tcW w:w="2610" w:type="dxa"/>
            <w:vMerge w:val="restart"/>
            <w:vAlign w:val="center"/>
          </w:tcPr>
          <w:p w14:paraId="40519E83" w14:textId="77777777" w:rsidR="006350FE" w:rsidRPr="00A50800" w:rsidRDefault="006350FE" w:rsidP="00695A7D">
            <w:pPr>
              <w:pStyle w:val="TableText"/>
              <w:spacing w:after="0"/>
              <w:rPr>
                <w:lang w:val="sv-SE"/>
              </w:rPr>
            </w:pPr>
            <w:r w:rsidRPr="00A50800">
              <w:rPr>
                <w:lang w:val="sv-SE"/>
              </w:rPr>
              <w:t>Omräknat antal Aktier som varje Teckningsoption berättigar till Teckning av</w:t>
            </w:r>
          </w:p>
        </w:tc>
        <w:tc>
          <w:tcPr>
            <w:tcW w:w="540" w:type="dxa"/>
            <w:vMerge w:val="restart"/>
            <w:vAlign w:val="center"/>
          </w:tcPr>
          <w:p w14:paraId="163AE46E" w14:textId="77777777" w:rsidR="006350FE" w:rsidRPr="00437F01" w:rsidRDefault="006350FE" w:rsidP="00695A7D">
            <w:pPr>
              <w:pStyle w:val="TableText"/>
              <w:spacing w:before="360" w:after="0"/>
            </w:pPr>
            <w:r w:rsidRPr="00437F01">
              <w:t>=</w:t>
            </w:r>
          </w:p>
        </w:tc>
        <w:tc>
          <w:tcPr>
            <w:tcW w:w="5130" w:type="dxa"/>
            <w:tcBorders>
              <w:bottom w:val="single" w:sz="4" w:space="0" w:color="auto"/>
            </w:tcBorders>
          </w:tcPr>
          <w:p w14:paraId="6C5A0575" w14:textId="77777777" w:rsidR="006350FE" w:rsidRPr="00A50800" w:rsidRDefault="006350F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(Aktiens genomsnittskurs ökad med den utdelning som utbetalas per Aktie)</w:t>
            </w:r>
          </w:p>
        </w:tc>
      </w:tr>
      <w:tr w:rsidR="006350FE" w:rsidRPr="00437F01" w14:paraId="336CC25F" w14:textId="77777777" w:rsidTr="00695A7D">
        <w:trPr>
          <w:cantSplit/>
        </w:trPr>
        <w:tc>
          <w:tcPr>
            <w:tcW w:w="2610" w:type="dxa"/>
            <w:vMerge/>
          </w:tcPr>
          <w:p w14:paraId="3F081AEF" w14:textId="77777777" w:rsidR="006350FE" w:rsidRPr="00A50800" w:rsidRDefault="006350FE" w:rsidP="00695A7D">
            <w:pPr>
              <w:pStyle w:val="TableText"/>
              <w:spacing w:after="0"/>
              <w:rPr>
                <w:lang w:val="sv-SE"/>
              </w:rPr>
            </w:pPr>
          </w:p>
        </w:tc>
        <w:tc>
          <w:tcPr>
            <w:tcW w:w="540" w:type="dxa"/>
            <w:vMerge/>
          </w:tcPr>
          <w:p w14:paraId="34FE2222" w14:textId="77777777" w:rsidR="006350FE" w:rsidRPr="00A50800" w:rsidRDefault="006350FE" w:rsidP="00695A7D">
            <w:pPr>
              <w:pStyle w:val="TableText"/>
              <w:spacing w:after="0"/>
              <w:rPr>
                <w:lang w:val="sv-SE"/>
              </w:rPr>
            </w:pPr>
          </w:p>
        </w:tc>
        <w:tc>
          <w:tcPr>
            <w:tcW w:w="5130" w:type="dxa"/>
            <w:tcBorders>
              <w:top w:val="single" w:sz="4" w:space="0" w:color="auto"/>
              <w:bottom w:val="nil"/>
            </w:tcBorders>
          </w:tcPr>
          <w:p w14:paraId="14704DFE" w14:textId="77777777" w:rsidR="006350FE" w:rsidRPr="00437F01" w:rsidRDefault="006350FE" w:rsidP="00695A7D">
            <w:pPr>
              <w:pStyle w:val="TableText"/>
              <w:spacing w:after="0"/>
            </w:pPr>
            <w:proofErr w:type="spellStart"/>
            <w:r w:rsidRPr="00437F01">
              <w:t>Aktiens</w:t>
            </w:r>
            <w:proofErr w:type="spellEnd"/>
            <w:r w:rsidRPr="00437F01">
              <w:t xml:space="preserve"> </w:t>
            </w:r>
            <w:proofErr w:type="spellStart"/>
            <w:r w:rsidRPr="00437F01">
              <w:t>genomsnittskurs</w:t>
            </w:r>
            <w:proofErr w:type="spellEnd"/>
          </w:p>
        </w:tc>
      </w:tr>
      <w:tr w:rsidR="006350FE" w:rsidRPr="001A6E6C" w14:paraId="452AC01F" w14:textId="77777777" w:rsidTr="00695A7D">
        <w:trPr>
          <w:cantSplit/>
        </w:trPr>
        <w:tc>
          <w:tcPr>
            <w:tcW w:w="2610" w:type="dxa"/>
            <w:vMerge w:val="restart"/>
            <w:vAlign w:val="center"/>
          </w:tcPr>
          <w:p w14:paraId="6E6979B8" w14:textId="77777777" w:rsidR="006350FE" w:rsidRPr="00437F01" w:rsidRDefault="006350FE" w:rsidP="00695A7D">
            <w:pPr>
              <w:pStyle w:val="TableText"/>
              <w:spacing w:after="0"/>
            </w:pPr>
            <w:r w:rsidRPr="00437F01">
              <w:rPr>
                <w:i/>
              </w:rPr>
              <w:lastRenderedPageBreak/>
              <w:t>Recalculated Subscription</w:t>
            </w:r>
            <w:r>
              <w:rPr>
                <w:i/>
              </w:rPr>
              <w:t xml:space="preserve"> </w:t>
            </w:r>
            <w:r w:rsidRPr="00437F01">
              <w:rPr>
                <w:i/>
              </w:rPr>
              <w:t>Price</w:t>
            </w:r>
          </w:p>
        </w:tc>
        <w:tc>
          <w:tcPr>
            <w:tcW w:w="540" w:type="dxa"/>
            <w:vMerge w:val="restart"/>
            <w:tcBorders>
              <w:right w:val="nil"/>
            </w:tcBorders>
            <w:vAlign w:val="center"/>
          </w:tcPr>
          <w:p w14:paraId="5F6F856C" w14:textId="77777777" w:rsidR="006350FE" w:rsidRPr="00437F01" w:rsidRDefault="006350FE" w:rsidP="00695A7D">
            <w:pPr>
              <w:pStyle w:val="TableText"/>
              <w:spacing w:before="240" w:after="0"/>
            </w:pPr>
            <w:r w:rsidRPr="00437F01">
              <w:t>=</w:t>
            </w:r>
          </w:p>
        </w:tc>
        <w:tc>
          <w:tcPr>
            <w:tcW w:w="5130" w:type="dxa"/>
            <w:tcBorders>
              <w:top w:val="nil"/>
              <w:left w:val="nil"/>
              <w:bottom w:val="single" w:sz="4" w:space="0" w:color="auto"/>
              <w:right w:val="nil"/>
            </w:tcBorders>
          </w:tcPr>
          <w:p w14:paraId="545E6A8F" w14:textId="77777777" w:rsidR="006350FE" w:rsidRPr="00437F01" w:rsidRDefault="006350FE" w:rsidP="00695A7D">
            <w:pPr>
              <w:pStyle w:val="TableText"/>
              <w:spacing w:after="0"/>
            </w:pPr>
            <w:r w:rsidRPr="00437F01">
              <w:rPr>
                <w:i/>
              </w:rPr>
              <w:t>Previous Subscription Price x the average share price of the Share during a period of 25 trading days calculated from the day on which the Share is quoted</w:t>
            </w:r>
            <w:r>
              <w:rPr>
                <w:i/>
              </w:rPr>
              <w:t xml:space="preserve"> </w:t>
            </w:r>
            <w:r w:rsidRPr="00437F01">
              <w:rPr>
                <w:i/>
              </w:rPr>
              <w:t>without any right to dividend (the average price of Share)</w:t>
            </w:r>
          </w:p>
        </w:tc>
      </w:tr>
      <w:tr w:rsidR="006350FE" w:rsidRPr="001A6E6C" w14:paraId="06A6CC04" w14:textId="77777777" w:rsidTr="00695A7D">
        <w:trPr>
          <w:cantSplit/>
        </w:trPr>
        <w:tc>
          <w:tcPr>
            <w:tcW w:w="2610" w:type="dxa"/>
            <w:vMerge/>
          </w:tcPr>
          <w:p w14:paraId="14194CBE" w14:textId="77777777" w:rsidR="006350FE" w:rsidRPr="00437F01" w:rsidRDefault="006350FE" w:rsidP="00695A7D">
            <w:pPr>
              <w:pStyle w:val="TableText"/>
              <w:spacing w:after="0"/>
            </w:pPr>
          </w:p>
        </w:tc>
        <w:tc>
          <w:tcPr>
            <w:tcW w:w="540" w:type="dxa"/>
            <w:vMerge/>
          </w:tcPr>
          <w:p w14:paraId="29A1C295" w14:textId="77777777" w:rsidR="006350FE" w:rsidRPr="00437F01" w:rsidRDefault="006350FE" w:rsidP="00695A7D">
            <w:pPr>
              <w:pStyle w:val="TableText"/>
              <w:spacing w:after="0"/>
            </w:pPr>
          </w:p>
        </w:tc>
        <w:tc>
          <w:tcPr>
            <w:tcW w:w="5130" w:type="dxa"/>
            <w:tcBorders>
              <w:top w:val="single" w:sz="4" w:space="0" w:color="auto"/>
              <w:bottom w:val="nil"/>
            </w:tcBorders>
          </w:tcPr>
          <w:p w14:paraId="3DB29264" w14:textId="77777777" w:rsidR="006350FE" w:rsidRPr="00437F01" w:rsidRDefault="006350FE" w:rsidP="00695A7D">
            <w:pPr>
              <w:pStyle w:val="TableText"/>
              <w:spacing w:after="0"/>
            </w:pPr>
            <w:r w:rsidRPr="00437F01">
              <w:rPr>
                <w:i/>
              </w:rPr>
              <w:t>Average price of Share increased by the dividend paid per Share</w:t>
            </w:r>
          </w:p>
        </w:tc>
      </w:tr>
      <w:tr w:rsidR="006350FE" w:rsidRPr="001A6E6C" w14:paraId="5EA0509E" w14:textId="77777777" w:rsidTr="00695A7D">
        <w:trPr>
          <w:cantSplit/>
        </w:trPr>
        <w:tc>
          <w:tcPr>
            <w:tcW w:w="2610" w:type="dxa"/>
          </w:tcPr>
          <w:p w14:paraId="47ED6615" w14:textId="77777777" w:rsidR="006350FE" w:rsidRPr="00437F01" w:rsidRDefault="006350FE" w:rsidP="00695A7D">
            <w:pPr>
              <w:pStyle w:val="TableText"/>
              <w:spacing w:after="0"/>
            </w:pPr>
          </w:p>
        </w:tc>
        <w:tc>
          <w:tcPr>
            <w:tcW w:w="540" w:type="dxa"/>
            <w:tcBorders>
              <w:right w:val="nil"/>
            </w:tcBorders>
          </w:tcPr>
          <w:p w14:paraId="7972090B" w14:textId="77777777" w:rsidR="006350FE" w:rsidRPr="00437F01" w:rsidRDefault="006350FE" w:rsidP="00695A7D">
            <w:pPr>
              <w:pStyle w:val="TableText"/>
              <w:spacing w:after="0"/>
            </w:pPr>
          </w:p>
        </w:tc>
        <w:tc>
          <w:tcPr>
            <w:tcW w:w="5130" w:type="dxa"/>
            <w:tcBorders>
              <w:top w:val="nil"/>
              <w:left w:val="nil"/>
              <w:bottom w:val="nil"/>
              <w:right w:val="nil"/>
            </w:tcBorders>
          </w:tcPr>
          <w:p w14:paraId="26D1EDE6" w14:textId="77777777" w:rsidR="006350FE" w:rsidRPr="00437F01" w:rsidRDefault="006350FE" w:rsidP="00695A7D">
            <w:pPr>
              <w:pStyle w:val="TableText"/>
              <w:spacing w:after="0"/>
              <w:rPr>
                <w:i/>
              </w:rPr>
            </w:pPr>
          </w:p>
        </w:tc>
      </w:tr>
      <w:tr w:rsidR="006350FE" w:rsidRPr="001A6E6C" w14:paraId="7B186738" w14:textId="77777777" w:rsidTr="00695A7D">
        <w:trPr>
          <w:cantSplit/>
        </w:trPr>
        <w:tc>
          <w:tcPr>
            <w:tcW w:w="2610" w:type="dxa"/>
            <w:vMerge w:val="restart"/>
            <w:vAlign w:val="center"/>
          </w:tcPr>
          <w:p w14:paraId="4741A2DA" w14:textId="77777777" w:rsidR="006350FE" w:rsidRPr="00437F01" w:rsidRDefault="006350FE" w:rsidP="00695A7D">
            <w:pPr>
              <w:pStyle w:val="TableText"/>
              <w:spacing w:after="0"/>
            </w:pPr>
            <w:r w:rsidRPr="00437F01">
              <w:rPr>
                <w:i/>
              </w:rPr>
              <w:t>Re-calculated number of</w:t>
            </w:r>
            <w:r>
              <w:rPr>
                <w:i/>
              </w:rPr>
              <w:t xml:space="preserve"> </w:t>
            </w:r>
            <w:r w:rsidRPr="00437F01">
              <w:rPr>
                <w:i/>
              </w:rPr>
              <w:t>Shares that each Warrant entitles to Subscribe for</w:t>
            </w:r>
          </w:p>
        </w:tc>
        <w:tc>
          <w:tcPr>
            <w:tcW w:w="540" w:type="dxa"/>
            <w:vMerge w:val="restart"/>
            <w:vAlign w:val="center"/>
          </w:tcPr>
          <w:p w14:paraId="3C115CC9" w14:textId="77777777" w:rsidR="006350FE" w:rsidRPr="00437F01" w:rsidRDefault="006350FE" w:rsidP="00695A7D">
            <w:pPr>
              <w:pStyle w:val="TableText"/>
              <w:spacing w:before="360" w:after="0"/>
            </w:pPr>
            <w:r w:rsidRPr="00437F01">
              <w:t>=</w:t>
            </w:r>
          </w:p>
        </w:tc>
        <w:tc>
          <w:tcPr>
            <w:tcW w:w="5130" w:type="dxa"/>
            <w:tcBorders>
              <w:top w:val="nil"/>
              <w:bottom w:val="single" w:sz="4" w:space="0" w:color="auto"/>
            </w:tcBorders>
          </w:tcPr>
          <w:p w14:paraId="012171D3" w14:textId="77777777" w:rsidR="006350FE" w:rsidRPr="00437F01" w:rsidRDefault="006350FE" w:rsidP="00695A7D">
            <w:pPr>
              <w:pStyle w:val="TableText"/>
              <w:spacing w:after="0"/>
            </w:pPr>
            <w:r w:rsidRPr="00437F01">
              <w:rPr>
                <w:i/>
              </w:rPr>
              <w:t>Previous number of Shares that each Warrant entitles to subscribe for x (the average price of Share increased by the dividend paid per Share)</w:t>
            </w:r>
          </w:p>
        </w:tc>
      </w:tr>
      <w:tr w:rsidR="006350FE" w:rsidRPr="00437F01" w14:paraId="1C59AE87" w14:textId="77777777" w:rsidTr="00695A7D">
        <w:trPr>
          <w:cantSplit/>
        </w:trPr>
        <w:tc>
          <w:tcPr>
            <w:tcW w:w="2610" w:type="dxa"/>
            <w:vMerge/>
          </w:tcPr>
          <w:p w14:paraId="723CB8B1" w14:textId="77777777" w:rsidR="006350FE" w:rsidRPr="00437F01" w:rsidRDefault="006350FE" w:rsidP="00695A7D">
            <w:pPr>
              <w:pStyle w:val="TableText"/>
              <w:spacing w:after="0"/>
            </w:pPr>
          </w:p>
        </w:tc>
        <w:tc>
          <w:tcPr>
            <w:tcW w:w="540" w:type="dxa"/>
            <w:vMerge/>
          </w:tcPr>
          <w:p w14:paraId="1E865284" w14:textId="77777777" w:rsidR="006350FE" w:rsidRPr="00437F01" w:rsidRDefault="006350FE" w:rsidP="00695A7D">
            <w:pPr>
              <w:pStyle w:val="TableText"/>
              <w:spacing w:after="0"/>
            </w:pPr>
          </w:p>
        </w:tc>
        <w:tc>
          <w:tcPr>
            <w:tcW w:w="5130" w:type="dxa"/>
            <w:tcBorders>
              <w:top w:val="single" w:sz="4" w:space="0" w:color="auto"/>
              <w:bottom w:val="nil"/>
            </w:tcBorders>
          </w:tcPr>
          <w:p w14:paraId="2218614E" w14:textId="77777777" w:rsidR="006350FE" w:rsidRPr="00437F01" w:rsidRDefault="006350FE" w:rsidP="00695A7D">
            <w:pPr>
              <w:pStyle w:val="TableText"/>
              <w:spacing w:after="0"/>
            </w:pPr>
            <w:r w:rsidRPr="00437F01">
              <w:rPr>
                <w:i/>
              </w:rPr>
              <w:t>Average price of Share</w:t>
            </w:r>
          </w:p>
        </w:tc>
      </w:tr>
      <w:tr w:rsidR="006350FE" w:rsidRPr="00437F01" w14:paraId="142E3D0A" w14:textId="77777777" w:rsidTr="00695A7D">
        <w:trPr>
          <w:cantSplit/>
        </w:trPr>
        <w:tc>
          <w:tcPr>
            <w:tcW w:w="2610" w:type="dxa"/>
          </w:tcPr>
          <w:p w14:paraId="37892592" w14:textId="77777777" w:rsidR="006350FE" w:rsidRPr="00437F01" w:rsidRDefault="006350FE" w:rsidP="00695A7D">
            <w:pPr>
              <w:pStyle w:val="TableText"/>
              <w:spacing w:after="120"/>
            </w:pPr>
          </w:p>
        </w:tc>
        <w:tc>
          <w:tcPr>
            <w:tcW w:w="540" w:type="dxa"/>
            <w:tcBorders>
              <w:right w:val="nil"/>
            </w:tcBorders>
          </w:tcPr>
          <w:p w14:paraId="2373122E" w14:textId="77777777" w:rsidR="006350FE" w:rsidRPr="00437F01" w:rsidRDefault="006350FE" w:rsidP="00695A7D">
            <w:pPr>
              <w:pStyle w:val="TableText"/>
              <w:spacing w:after="120"/>
            </w:pPr>
          </w:p>
        </w:tc>
        <w:tc>
          <w:tcPr>
            <w:tcW w:w="5130" w:type="dxa"/>
            <w:tcBorders>
              <w:top w:val="nil"/>
              <w:left w:val="nil"/>
              <w:bottom w:val="nil"/>
              <w:right w:val="nil"/>
            </w:tcBorders>
          </w:tcPr>
          <w:p w14:paraId="108D34C6" w14:textId="77777777" w:rsidR="006350FE" w:rsidRPr="00437F01" w:rsidRDefault="006350FE" w:rsidP="00695A7D">
            <w:pPr>
              <w:pStyle w:val="TableText"/>
              <w:spacing w:after="120"/>
              <w:rPr>
                <w:i/>
              </w:rPr>
            </w:pPr>
          </w:p>
        </w:tc>
      </w:tr>
    </w:tbl>
    <w:p w14:paraId="4CE86972" w14:textId="77777777" w:rsidR="006350FE" w:rsidRPr="00437F01" w:rsidRDefault="006350FE" w:rsidP="006350FE">
      <w:pPr>
        <w:pStyle w:val="BodyText"/>
        <w:ind w:left="720"/>
      </w:pPr>
      <w:r w:rsidRPr="00A05113">
        <w:rPr>
          <w:lang w:val="sv-SE"/>
        </w:rPr>
        <w:t>Enligt</w:t>
      </w:r>
      <w:r w:rsidRPr="00A50800">
        <w:rPr>
          <w:lang w:val="sv-SE"/>
        </w:rPr>
        <w:t xml:space="preserve"> ovan omräknad Teckningskurs och omräknat antal Aktier </w:t>
      </w:r>
      <w:r>
        <w:rPr>
          <w:lang w:val="sv-SE"/>
        </w:rPr>
        <w:t>ska</w:t>
      </w:r>
      <w:r w:rsidRPr="00A50800">
        <w:rPr>
          <w:lang w:val="sv-SE"/>
        </w:rPr>
        <w:t xml:space="preserve"> fastställas av Bolaget senast vid tidpunkten för utbetalning av utdelningen och </w:t>
      </w:r>
      <w:r>
        <w:rPr>
          <w:lang w:val="sv-SE"/>
        </w:rPr>
        <w:t>ska</w:t>
      </w:r>
      <w:r w:rsidRPr="00A50800">
        <w:rPr>
          <w:lang w:val="sv-SE"/>
        </w:rPr>
        <w:t xml:space="preserve"> tillämpas vid Teckning som verkställs därefter.</w:t>
      </w:r>
      <w:r w:rsidRPr="00A50800">
        <w:rPr>
          <w:lang w:val="sv-SE"/>
        </w:rPr>
        <w:br/>
      </w:r>
      <w:r w:rsidRPr="00437F01">
        <w:rPr>
          <w:i/>
        </w:rPr>
        <w:t xml:space="preserve">The recalculated Subscription Price and the recalculated number of Shares </w:t>
      </w:r>
      <w:proofErr w:type="gramStart"/>
      <w:r w:rsidRPr="00437F01">
        <w:rPr>
          <w:i/>
        </w:rPr>
        <w:t>as set</w:t>
      </w:r>
      <w:proofErr w:type="gramEnd"/>
      <w:r w:rsidRPr="00437F01">
        <w:rPr>
          <w:i/>
        </w:rPr>
        <w:t xml:space="preserve"> out above shall be determined by the Company at the latest by the time of payment of the dividend in question and shall apply to Subscriptions executed thereafter.</w:t>
      </w:r>
    </w:p>
    <w:p w14:paraId="0B2218D4" w14:textId="77777777" w:rsidR="006350FE" w:rsidRPr="00437F01" w:rsidRDefault="006350FE" w:rsidP="006350FE">
      <w:pPr>
        <w:pStyle w:val="BodyText"/>
        <w:ind w:left="720"/>
      </w:pPr>
      <w:r w:rsidRPr="00A50800">
        <w:rPr>
          <w:lang w:val="sv-SE"/>
        </w:rPr>
        <w:t xml:space="preserve">Har anmälan om Teckning ägt rum men, p.g.a. bestämmelserna i punkt </w:t>
      </w:r>
      <w:r>
        <w:fldChar w:fldCharType="begin"/>
      </w:r>
      <w:r>
        <w:rPr>
          <w:lang w:val="sv-SE"/>
        </w:rPr>
        <w:instrText xml:space="preserve"> REF _Ref420689968 \r \h </w:instrText>
      </w:r>
      <w:r>
        <w:fldChar w:fldCharType="separate"/>
      </w:r>
      <w:r>
        <w:rPr>
          <w:lang w:val="sv-SE"/>
        </w:rPr>
        <w:t>7</w:t>
      </w:r>
      <w:r>
        <w:fldChar w:fldCharType="end"/>
      </w:r>
      <w:r w:rsidRPr="00A50800">
        <w:rPr>
          <w:lang w:val="sv-SE"/>
        </w:rPr>
        <w:t xml:space="preserve"> ovan, slutlig registrering på avstämningskonto ej skett, </w:t>
      </w:r>
      <w:r>
        <w:rPr>
          <w:lang w:val="sv-SE"/>
        </w:rPr>
        <w:t>ska</w:t>
      </w:r>
      <w:r w:rsidRPr="00A50800">
        <w:rPr>
          <w:lang w:val="sv-SE"/>
        </w:rPr>
        <w:t xml:space="preserve"> särskilt noteras att varje Teckningsoption efter omräkningar kan berättiga Optionsinnehavare till ytterligare Aktier. Slutlig registrering på avstämningskonto sker sedan omräkningarna fastställts, dock tidigast vid den tidpunkt som </w:t>
      </w:r>
      <w:r w:rsidRPr="00A05113">
        <w:rPr>
          <w:lang w:val="sv-SE"/>
        </w:rPr>
        <w:t>anges</w:t>
      </w:r>
      <w:r w:rsidRPr="00A50800">
        <w:rPr>
          <w:lang w:val="sv-SE"/>
        </w:rPr>
        <w:t xml:space="preserve"> i punkt </w:t>
      </w:r>
      <w:r>
        <w:fldChar w:fldCharType="begin"/>
      </w:r>
      <w:r>
        <w:rPr>
          <w:lang w:val="sv-SE"/>
        </w:rPr>
        <w:instrText xml:space="preserve"> REF _Ref420689968 \r \h </w:instrText>
      </w:r>
      <w:r>
        <w:fldChar w:fldCharType="separate"/>
      </w:r>
      <w:r>
        <w:rPr>
          <w:lang w:val="sv-SE"/>
        </w:rPr>
        <w:t>7</w:t>
      </w:r>
      <w:r>
        <w:fldChar w:fldCharType="end"/>
      </w:r>
      <w:r w:rsidRPr="00A50800">
        <w:rPr>
          <w:lang w:val="sv-SE"/>
        </w:rPr>
        <w:t xml:space="preserve"> ovan. Om Bolaget inte längre är avstämningsbolag verkställs Teckning genom att de nya Aktierna upptas i aktieboken som interimsaktier. Slutlig registrering i aktieboken sker sedan omräknad Teckningskurs och omräknat antal Aktier som varje Teckningsoption berättigar till Teckning av fastställts.</w:t>
      </w:r>
      <w:r w:rsidRPr="00A50800">
        <w:rPr>
          <w:lang w:val="sv-SE"/>
        </w:rPr>
        <w:br/>
      </w:r>
      <w:r w:rsidRPr="00437F01">
        <w:rPr>
          <w:i/>
        </w:rPr>
        <w:t>In the event that notice for Subscription has been made but, due to the regulations in section </w:t>
      </w:r>
      <w:r>
        <w:rPr>
          <w:i/>
        </w:rPr>
        <w:fldChar w:fldCharType="begin"/>
      </w:r>
      <w:r>
        <w:rPr>
          <w:i/>
        </w:rPr>
        <w:instrText xml:space="preserve"> REF _Ref420689968 \r \h </w:instrText>
      </w:r>
      <w:r>
        <w:rPr>
          <w:i/>
        </w:rPr>
      </w:r>
      <w:r>
        <w:rPr>
          <w:i/>
        </w:rPr>
        <w:fldChar w:fldCharType="separate"/>
      </w:r>
      <w:r>
        <w:rPr>
          <w:i/>
        </w:rPr>
        <w:t>7</w:t>
      </w:r>
      <w:r>
        <w:rPr>
          <w:i/>
        </w:rPr>
        <w:fldChar w:fldCharType="end"/>
      </w:r>
      <w:r w:rsidRPr="00437F01">
        <w:rPr>
          <w:i/>
        </w:rPr>
        <w:t xml:space="preserve"> above, final registration on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ry account</w:t>
      </w:r>
      <w:r w:rsidRPr="00437F01" w:rsidDel="009F3CC8">
        <w:rPr>
          <w:i/>
        </w:rPr>
        <w:t xml:space="preserve"> </w:t>
      </w:r>
      <w:r w:rsidRPr="00437F01">
        <w:rPr>
          <w:i/>
        </w:rPr>
        <w:t xml:space="preserve">has not been made, it shall be specifically noted that each Warrant after recalculations may entitle the </w:t>
      </w:r>
      <w:r>
        <w:rPr>
          <w:i/>
        </w:rPr>
        <w:t>Warrant Holder</w:t>
      </w:r>
      <w:r w:rsidRPr="00437F01">
        <w:rPr>
          <w:i/>
        </w:rPr>
        <w:t xml:space="preserve"> to additional Shares. Final registration in the </w:t>
      </w:r>
      <w:r>
        <w:rPr>
          <w:i/>
        </w:rPr>
        <w:t>c</w:t>
      </w:r>
      <w:r w:rsidRPr="00437F01">
        <w:rPr>
          <w:i/>
        </w:rPr>
        <w:t xml:space="preserve">entral </w:t>
      </w:r>
      <w:r>
        <w:rPr>
          <w:i/>
        </w:rPr>
        <w:t>s</w:t>
      </w:r>
      <w:r w:rsidRPr="00437F01">
        <w:rPr>
          <w:i/>
        </w:rPr>
        <w:t xml:space="preserve">ecurities </w:t>
      </w:r>
      <w:r>
        <w:rPr>
          <w:i/>
        </w:rPr>
        <w:t>d</w:t>
      </w:r>
      <w:r w:rsidRPr="00437F01">
        <w:rPr>
          <w:i/>
        </w:rPr>
        <w:t>eposit</w:t>
      </w:r>
      <w:r>
        <w:rPr>
          <w:i/>
        </w:rPr>
        <w:t>o</w:t>
      </w:r>
      <w:r w:rsidRPr="00437F01">
        <w:rPr>
          <w:i/>
        </w:rPr>
        <w:t xml:space="preserve">ry account is made after the recalculations has been determined, but in no event earlier than the time stated in section </w:t>
      </w:r>
      <w:r>
        <w:rPr>
          <w:i/>
        </w:rPr>
        <w:fldChar w:fldCharType="begin"/>
      </w:r>
      <w:r>
        <w:rPr>
          <w:i/>
        </w:rPr>
        <w:instrText xml:space="preserve"> REF _Ref420689968 \r \h </w:instrText>
      </w:r>
      <w:r>
        <w:rPr>
          <w:i/>
        </w:rPr>
      </w:r>
      <w:r>
        <w:rPr>
          <w:i/>
        </w:rPr>
        <w:fldChar w:fldCharType="separate"/>
      </w:r>
      <w:r>
        <w:rPr>
          <w:i/>
        </w:rPr>
        <w:t>7</w:t>
      </w:r>
      <w:r>
        <w:rPr>
          <w:i/>
        </w:rPr>
        <w:fldChar w:fldCharType="end"/>
      </w:r>
      <w:r w:rsidRPr="00437F01">
        <w:rPr>
          <w:i/>
        </w:rPr>
        <w:t xml:space="preserve"> above. </w:t>
      </w:r>
      <w:proofErr w:type="gramStart"/>
      <w:r w:rsidRPr="00437F01">
        <w:rPr>
          <w:i/>
        </w:rPr>
        <w:t>In the event that</w:t>
      </w:r>
      <w:proofErr w:type="gramEnd"/>
      <w:r w:rsidRPr="00437F01">
        <w:rPr>
          <w:i/>
        </w:rPr>
        <w:t xml:space="preserve"> the Company is no longer a company registered with Euroclear, Subscription for Shares is </w:t>
      </w:r>
      <w:proofErr w:type="gramStart"/>
      <w:r w:rsidRPr="00437F01">
        <w:rPr>
          <w:i/>
        </w:rPr>
        <w:t>effected</w:t>
      </w:r>
      <w:proofErr w:type="gramEnd"/>
      <w:r w:rsidRPr="00437F01">
        <w:rPr>
          <w:i/>
        </w:rPr>
        <w:t xml:space="preserve"> by the new Shares being registered as interim shares in the Company's share register. Final registration in the share register is made after the recalculated Subscription Price and the recalculated number of Shares which each Warrant entitles to have been determined.</w:t>
      </w:r>
    </w:p>
    <w:p w14:paraId="361F2B66" w14:textId="77777777" w:rsidR="006350FE" w:rsidRPr="00437F01" w:rsidRDefault="006350FE" w:rsidP="007C4B62">
      <w:pPr>
        <w:pStyle w:val="BodyText"/>
        <w:numPr>
          <w:ilvl w:val="2"/>
          <w:numId w:val="57"/>
        </w:numPr>
        <w:spacing w:after="0"/>
        <w:rPr>
          <w:b/>
        </w:rPr>
      </w:pPr>
      <w:r w:rsidRPr="006B6AC0">
        <w:rPr>
          <w:b/>
          <w:lang w:val="sv-SE"/>
        </w:rPr>
        <w:t xml:space="preserve">Återbetalning till aktieägarna med obligatorisk </w:t>
      </w:r>
      <w:proofErr w:type="spellStart"/>
      <w:r w:rsidRPr="006B6AC0">
        <w:rPr>
          <w:b/>
          <w:lang w:val="sv-SE"/>
        </w:rPr>
        <w:t>minsking</w:t>
      </w:r>
      <w:proofErr w:type="spellEnd"/>
      <w:r w:rsidRPr="006B6AC0">
        <w:rPr>
          <w:b/>
          <w:lang w:val="sv-SE"/>
        </w:rPr>
        <w:t xml:space="preserve"> av aktiekapital </w:t>
      </w:r>
      <w:proofErr w:type="gramStart"/>
      <w:r w:rsidRPr="006B6AC0">
        <w:rPr>
          <w:b/>
          <w:lang w:val="sv-SE"/>
        </w:rPr>
        <w:t>m.m.</w:t>
      </w:r>
      <w:proofErr w:type="gramEnd"/>
      <w:r w:rsidRPr="00437F01">
        <w:rPr>
          <w:b/>
        </w:rPr>
        <w:t>/</w:t>
      </w:r>
      <w:r w:rsidRPr="00437F01">
        <w:rPr>
          <w:b/>
          <w:i/>
        </w:rPr>
        <w:t>Repayment to the shareholders by reduction of share capital</w:t>
      </w:r>
    </w:p>
    <w:p w14:paraId="64D0AC3D" w14:textId="77777777" w:rsidR="006350FE" w:rsidRPr="00437F01" w:rsidRDefault="006350FE" w:rsidP="006350FE">
      <w:pPr>
        <w:pStyle w:val="BodyText"/>
        <w:ind w:left="720"/>
      </w:pPr>
      <w:r w:rsidRPr="006B6AC0">
        <w:rPr>
          <w:lang w:val="en-US"/>
        </w:rPr>
        <w:t xml:space="preserve">Om </w:t>
      </w:r>
      <w:proofErr w:type="spellStart"/>
      <w:r w:rsidRPr="006B6AC0">
        <w:rPr>
          <w:lang w:val="en-US"/>
        </w:rPr>
        <w:t>Bolagets</w:t>
      </w:r>
      <w:proofErr w:type="spellEnd"/>
      <w:r w:rsidRPr="006B6AC0">
        <w:rPr>
          <w:lang w:val="en-US"/>
        </w:rPr>
        <w:t xml:space="preserve"> </w:t>
      </w:r>
      <w:proofErr w:type="spellStart"/>
      <w:r w:rsidRPr="006B6AC0">
        <w:rPr>
          <w:u w:val="single"/>
          <w:lang w:val="en-US"/>
        </w:rPr>
        <w:t>aktiekapital</w:t>
      </w:r>
      <w:proofErr w:type="spellEnd"/>
      <w:r w:rsidRPr="006B6AC0">
        <w:rPr>
          <w:u w:val="single"/>
          <w:lang w:val="en-US"/>
        </w:rPr>
        <w:t xml:space="preserve"> </w:t>
      </w:r>
      <w:proofErr w:type="spellStart"/>
      <w:r w:rsidRPr="006B6AC0">
        <w:rPr>
          <w:u w:val="single"/>
          <w:lang w:val="en-US"/>
        </w:rPr>
        <w:t>eller</w:t>
      </w:r>
      <w:proofErr w:type="spellEnd"/>
      <w:r w:rsidRPr="006B6AC0">
        <w:rPr>
          <w:u w:val="single"/>
          <w:lang w:val="en-US"/>
        </w:rPr>
        <w:t xml:space="preserve"> </w:t>
      </w:r>
      <w:proofErr w:type="spellStart"/>
      <w:r w:rsidRPr="006B6AC0">
        <w:rPr>
          <w:u w:val="single"/>
          <w:lang w:val="en-US"/>
        </w:rPr>
        <w:t>reservfond</w:t>
      </w:r>
      <w:proofErr w:type="spellEnd"/>
      <w:r w:rsidRPr="006B6AC0">
        <w:rPr>
          <w:u w:val="single"/>
          <w:lang w:val="en-US"/>
        </w:rPr>
        <w:t xml:space="preserve"> </w:t>
      </w:r>
      <w:proofErr w:type="spellStart"/>
      <w:r w:rsidRPr="006B6AC0">
        <w:rPr>
          <w:u w:val="single"/>
          <w:lang w:val="en-US"/>
        </w:rPr>
        <w:t>skulle</w:t>
      </w:r>
      <w:proofErr w:type="spellEnd"/>
      <w:r w:rsidRPr="006B6AC0">
        <w:rPr>
          <w:u w:val="single"/>
          <w:lang w:val="en-US"/>
        </w:rPr>
        <w:t xml:space="preserve"> </w:t>
      </w:r>
      <w:proofErr w:type="spellStart"/>
      <w:r w:rsidRPr="006B6AC0">
        <w:rPr>
          <w:u w:val="single"/>
          <w:lang w:val="en-US"/>
        </w:rPr>
        <w:t>minskas</w:t>
      </w:r>
      <w:proofErr w:type="spellEnd"/>
      <w:r w:rsidRPr="006B6AC0">
        <w:rPr>
          <w:u w:val="single"/>
          <w:lang w:val="en-US"/>
        </w:rPr>
        <w:t xml:space="preserve"> med </w:t>
      </w:r>
      <w:proofErr w:type="spellStart"/>
      <w:r w:rsidRPr="006B6AC0">
        <w:rPr>
          <w:u w:val="single"/>
          <w:lang w:val="en-US"/>
        </w:rPr>
        <w:t>återbetalning</w:t>
      </w:r>
      <w:proofErr w:type="spellEnd"/>
      <w:r w:rsidRPr="006B6AC0">
        <w:rPr>
          <w:u w:val="single"/>
          <w:lang w:val="en-US"/>
        </w:rPr>
        <w:t xml:space="preserve"> till </w:t>
      </w:r>
      <w:proofErr w:type="spellStart"/>
      <w:r w:rsidRPr="006B6AC0">
        <w:rPr>
          <w:u w:val="single"/>
          <w:lang w:val="en-US"/>
        </w:rPr>
        <w:t>aktieägarna</w:t>
      </w:r>
      <w:proofErr w:type="spellEnd"/>
      <w:r w:rsidRPr="006B6AC0">
        <w:rPr>
          <w:lang w:val="en-US"/>
        </w:rPr>
        <w:t xml:space="preserve"> ska </w:t>
      </w:r>
      <w:proofErr w:type="spellStart"/>
      <w:r w:rsidRPr="006B6AC0">
        <w:rPr>
          <w:lang w:val="en-US"/>
        </w:rPr>
        <w:t>följande</w:t>
      </w:r>
      <w:proofErr w:type="spellEnd"/>
      <w:r w:rsidRPr="006B6AC0">
        <w:rPr>
          <w:lang w:val="en-US"/>
        </w:rPr>
        <w:t xml:space="preserve"> </w:t>
      </w:r>
      <w:proofErr w:type="spellStart"/>
      <w:r w:rsidRPr="006B6AC0">
        <w:rPr>
          <w:lang w:val="en-US"/>
        </w:rPr>
        <w:t>gälla</w:t>
      </w:r>
      <w:proofErr w:type="spellEnd"/>
      <w:r w:rsidRPr="006B6AC0">
        <w:rPr>
          <w:lang w:val="en-US"/>
        </w:rPr>
        <w:t>:</w:t>
      </w:r>
      <w:r w:rsidRPr="00437F01">
        <w:br/>
      </w:r>
      <w:r w:rsidRPr="00437F01">
        <w:rPr>
          <w:i/>
        </w:rPr>
        <w:t>In the event the Company's s</w:t>
      </w:r>
      <w:r w:rsidRPr="00437F01">
        <w:rPr>
          <w:i/>
          <w:u w:val="single"/>
        </w:rPr>
        <w:t>hare capital or statutory reserve is reduced through a repayment to the shareholders</w:t>
      </w:r>
      <w:r w:rsidRPr="00437F01">
        <w:rPr>
          <w:i/>
        </w:rPr>
        <w:t>, the following shall apply:</w:t>
      </w:r>
    </w:p>
    <w:p w14:paraId="346C853D" w14:textId="77777777" w:rsidR="006350FE" w:rsidRPr="00437F01" w:rsidRDefault="006350FE" w:rsidP="007C4B62">
      <w:pPr>
        <w:pStyle w:val="BodyText"/>
        <w:numPr>
          <w:ilvl w:val="0"/>
          <w:numId w:val="61"/>
        </w:numPr>
        <w:ind w:left="720" w:firstLine="0"/>
        <w:rPr>
          <w:rFonts w:eastAsia="Times New Roman"/>
        </w:rPr>
      </w:pPr>
      <w:r w:rsidRPr="00A50800">
        <w:rPr>
          <w:rFonts w:eastAsia="Times New Roman"/>
          <w:lang w:val="sv-SE"/>
        </w:rPr>
        <w:t xml:space="preserve">Om Bolagets Aktier inte är föremål för marknadsnotering, </w:t>
      </w:r>
      <w:r>
        <w:rPr>
          <w:rFonts w:eastAsia="Times New Roman"/>
          <w:lang w:val="sv-SE"/>
        </w:rPr>
        <w:t>ska</w:t>
      </w:r>
      <w:r w:rsidRPr="00A50800">
        <w:rPr>
          <w:rFonts w:eastAsia="Times New Roman"/>
          <w:lang w:val="sv-SE"/>
        </w:rPr>
        <w:t xml:space="preserve"> omräkning ske, dels av Teckningskursen, dels av det antal Aktier som varje Teckningsoption ger rätt att teckna i enlighet med denna punkt </w:t>
      </w:r>
      <w:r>
        <w:fldChar w:fldCharType="begin"/>
      </w:r>
      <w:r>
        <w:rPr>
          <w:rFonts w:eastAsia="Times New Roman"/>
          <w:lang w:val="sv-SE"/>
        </w:rPr>
        <w:instrText xml:space="preserve"> REF _Ref445831730 \r \h </w:instrText>
      </w:r>
      <w:r>
        <w:fldChar w:fldCharType="separate"/>
      </w:r>
      <w:r>
        <w:rPr>
          <w:rFonts w:eastAsia="Times New Roman"/>
          <w:lang w:val="sv-SE"/>
        </w:rPr>
        <w:t>8.2.9</w:t>
      </w:r>
      <w:r>
        <w:fldChar w:fldCharType="end"/>
      </w:r>
      <w:r w:rsidRPr="00A50800">
        <w:rPr>
          <w:rFonts w:eastAsia="Times New Roman"/>
          <w:lang w:val="sv-SE"/>
        </w:rPr>
        <w:t xml:space="preserve"> angivna principer. Omräkningen som </w:t>
      </w:r>
      <w:r>
        <w:rPr>
          <w:rFonts w:eastAsia="Times New Roman"/>
          <w:lang w:val="sv-SE"/>
        </w:rPr>
        <w:t>ska</w:t>
      </w:r>
      <w:r w:rsidRPr="00A50800">
        <w:rPr>
          <w:rFonts w:eastAsia="Times New Roman"/>
          <w:lang w:val="sv-SE"/>
        </w:rPr>
        <w:t xml:space="preserve"> utföras av Bolaget, </w:t>
      </w:r>
      <w:r>
        <w:rPr>
          <w:rFonts w:eastAsia="Times New Roman"/>
          <w:lang w:val="sv-SE"/>
        </w:rPr>
        <w:t>ska</w:t>
      </w:r>
      <w:r w:rsidRPr="00A50800">
        <w:rPr>
          <w:rFonts w:eastAsia="Times New Roman"/>
          <w:lang w:val="sv-SE"/>
        </w:rPr>
        <w:t xml:space="preserve"> ha som utgångspunkt att värdet på Teckningsoptionerna </w:t>
      </w:r>
      <w:r>
        <w:rPr>
          <w:rFonts w:eastAsia="Times New Roman"/>
          <w:lang w:val="sv-SE"/>
        </w:rPr>
        <w:t>ska</w:t>
      </w:r>
      <w:r w:rsidRPr="00A50800">
        <w:rPr>
          <w:rFonts w:eastAsia="Times New Roman"/>
          <w:lang w:val="sv-SE"/>
        </w:rPr>
        <w:t xml:space="preserve"> lämnas oförändrat.</w:t>
      </w:r>
      <w:r w:rsidRPr="00A50800">
        <w:rPr>
          <w:rFonts w:eastAsia="Times New Roman"/>
          <w:lang w:val="sv-SE"/>
        </w:rPr>
        <w:br/>
      </w:r>
      <w:r w:rsidRPr="00437F01">
        <w:rPr>
          <w:rFonts w:eastAsia="Times New Roman"/>
          <w:i/>
        </w:rPr>
        <w:t xml:space="preserve">Should the Company's Shares not be listed, a recalculation of the Subscription Price and the number of Shares each Warrant entitles to subscribe for shall be effected in accordance with the principles set forth in this section </w:t>
      </w:r>
      <w:r>
        <w:rPr>
          <w:i/>
        </w:rPr>
        <w:fldChar w:fldCharType="begin"/>
      </w:r>
      <w:r>
        <w:rPr>
          <w:rFonts w:eastAsia="Times New Roman"/>
          <w:i/>
        </w:rPr>
        <w:instrText xml:space="preserve"> REF _Ref445831730 \r \h </w:instrText>
      </w:r>
      <w:r>
        <w:rPr>
          <w:i/>
        </w:rPr>
      </w:r>
      <w:r>
        <w:rPr>
          <w:i/>
        </w:rPr>
        <w:fldChar w:fldCharType="separate"/>
      </w:r>
      <w:r>
        <w:rPr>
          <w:rFonts w:eastAsia="Times New Roman"/>
          <w:i/>
        </w:rPr>
        <w:t>8.2.9</w:t>
      </w:r>
      <w:r>
        <w:rPr>
          <w:i/>
        </w:rPr>
        <w:fldChar w:fldCharType="end"/>
      </w:r>
      <w:r w:rsidRPr="00437F01">
        <w:rPr>
          <w:rFonts w:eastAsia="Times New Roman"/>
          <w:i/>
        </w:rPr>
        <w:t>. The recalculation shall be made by the Company and shall be made on the basis that the value of the Warrants shall remain unchanged.</w:t>
      </w:r>
    </w:p>
    <w:p w14:paraId="42405046" w14:textId="77777777" w:rsidR="006350FE" w:rsidRPr="00437F01" w:rsidRDefault="006350FE" w:rsidP="007C4B62">
      <w:pPr>
        <w:pStyle w:val="BodyText"/>
        <w:numPr>
          <w:ilvl w:val="0"/>
          <w:numId w:val="61"/>
        </w:numPr>
        <w:ind w:left="720" w:firstLine="0"/>
      </w:pPr>
      <w:r w:rsidRPr="00F40CE0">
        <w:rPr>
          <w:rFonts w:eastAsia="Times New Roman"/>
          <w:lang w:val="sv-SE"/>
        </w:rPr>
        <w:lastRenderedPageBreak/>
        <w:t xml:space="preserve">Om Bolagets Aktier är föremål för marknadsnotering, ska tillämpas en omräknad Teckningskurs liksom en omräkning av det antal Aktier som varje Teckningsoption berättigar till Teckning av. </w:t>
      </w:r>
      <w:proofErr w:type="spellStart"/>
      <w:r w:rsidRPr="006B6AC0">
        <w:rPr>
          <w:rFonts w:eastAsia="Times New Roman"/>
          <w:lang w:val="en-US"/>
        </w:rPr>
        <w:t>Omräkningarna</w:t>
      </w:r>
      <w:proofErr w:type="spellEnd"/>
      <w:r w:rsidRPr="006B6AC0">
        <w:rPr>
          <w:rFonts w:eastAsia="Times New Roman"/>
          <w:lang w:val="en-US"/>
        </w:rPr>
        <w:t xml:space="preserve"> </w:t>
      </w:r>
      <w:proofErr w:type="spellStart"/>
      <w:r w:rsidRPr="006B6AC0">
        <w:rPr>
          <w:rFonts w:eastAsia="Times New Roman"/>
          <w:lang w:val="en-US"/>
        </w:rPr>
        <w:t>utförs</w:t>
      </w:r>
      <w:proofErr w:type="spellEnd"/>
      <w:r w:rsidRPr="006B6AC0">
        <w:rPr>
          <w:rFonts w:eastAsia="Times New Roman"/>
          <w:lang w:val="en-US"/>
        </w:rPr>
        <w:t xml:space="preserve"> av </w:t>
      </w:r>
      <w:proofErr w:type="spellStart"/>
      <w:r w:rsidRPr="006B6AC0">
        <w:rPr>
          <w:rFonts w:eastAsia="Times New Roman"/>
          <w:lang w:val="en-US"/>
        </w:rPr>
        <w:t>Bolaget</w:t>
      </w:r>
      <w:proofErr w:type="spellEnd"/>
      <w:r w:rsidRPr="006B6AC0">
        <w:rPr>
          <w:rFonts w:eastAsia="Times New Roman"/>
          <w:lang w:val="en-US"/>
        </w:rPr>
        <w:t xml:space="preserve"> </w:t>
      </w:r>
      <w:proofErr w:type="spellStart"/>
      <w:r w:rsidRPr="006B6AC0">
        <w:rPr>
          <w:rFonts w:eastAsia="Times New Roman"/>
          <w:lang w:val="en-US"/>
        </w:rPr>
        <w:t>och</w:t>
      </w:r>
      <w:proofErr w:type="spellEnd"/>
      <w:r w:rsidRPr="006B6AC0">
        <w:rPr>
          <w:rFonts w:eastAsia="Times New Roman"/>
          <w:lang w:val="en-US"/>
        </w:rPr>
        <w:t xml:space="preserve"> </w:t>
      </w:r>
      <w:proofErr w:type="spellStart"/>
      <w:r w:rsidRPr="006B6AC0">
        <w:rPr>
          <w:rFonts w:eastAsia="Times New Roman"/>
          <w:lang w:val="en-US"/>
        </w:rPr>
        <w:t>enligt</w:t>
      </w:r>
      <w:proofErr w:type="spellEnd"/>
      <w:r w:rsidRPr="006B6AC0">
        <w:rPr>
          <w:rFonts w:eastAsia="Times New Roman"/>
          <w:lang w:val="en-US"/>
        </w:rPr>
        <w:t xml:space="preserve"> </w:t>
      </w:r>
      <w:proofErr w:type="spellStart"/>
      <w:r w:rsidRPr="006B6AC0">
        <w:rPr>
          <w:rFonts w:eastAsia="Times New Roman"/>
          <w:lang w:val="en-US"/>
        </w:rPr>
        <w:t>följande</w:t>
      </w:r>
      <w:proofErr w:type="spellEnd"/>
      <w:r w:rsidRPr="006B6AC0">
        <w:rPr>
          <w:rFonts w:eastAsia="Times New Roman"/>
          <w:lang w:val="en-US"/>
        </w:rPr>
        <w:t xml:space="preserve"> </w:t>
      </w:r>
      <w:proofErr w:type="spellStart"/>
      <w:r w:rsidRPr="006B6AC0">
        <w:rPr>
          <w:rFonts w:eastAsia="Times New Roman"/>
          <w:lang w:val="en-US"/>
        </w:rPr>
        <w:t>formler</w:t>
      </w:r>
      <w:proofErr w:type="spellEnd"/>
      <w:r w:rsidRPr="006B6AC0">
        <w:rPr>
          <w:rFonts w:eastAsia="Times New Roman"/>
          <w:lang w:val="en-US"/>
        </w:rPr>
        <w:t>:</w:t>
      </w:r>
      <w:r w:rsidRPr="00437F01">
        <w:rPr>
          <w:rFonts w:eastAsia="Times New Roman"/>
        </w:rPr>
        <w:br/>
      </w:r>
      <w:r w:rsidRPr="00437F01">
        <w:rPr>
          <w:rFonts w:eastAsia="Times New Roman"/>
          <w:i/>
        </w:rPr>
        <w:t>Should the Compan</w:t>
      </w:r>
      <w:r w:rsidRPr="00437F01">
        <w:rPr>
          <w:i/>
        </w:rPr>
        <w:t>y's Shares be listed, a recalculated Subscription Price as well as a recalculated number of Shares which each Warrant entitles to Subscribe for shall be applied. Recalculations shall be made by the Company in accordance with the following formulas:</w:t>
      </w:r>
    </w:p>
    <w:tbl>
      <w:tblPr>
        <w:tblW w:w="8370" w:type="dxa"/>
        <w:tblInd w:w="630" w:type="dxa"/>
        <w:tblBorders>
          <w:top w:val="nil"/>
          <w:left w:val="nil"/>
          <w:bottom w:val="nil"/>
          <w:right w:val="nil"/>
          <w:insideH w:val="nil"/>
          <w:insideV w:val="nil"/>
        </w:tblBorders>
        <w:tblLook w:val="04A0" w:firstRow="1" w:lastRow="0" w:firstColumn="1" w:lastColumn="0" w:noHBand="0" w:noVBand="1"/>
      </w:tblPr>
      <w:tblGrid>
        <w:gridCol w:w="2430"/>
        <w:gridCol w:w="450"/>
        <w:gridCol w:w="5490"/>
      </w:tblGrid>
      <w:tr w:rsidR="006350FE" w:rsidRPr="00D00630" w14:paraId="674C1AF8" w14:textId="77777777" w:rsidTr="00695A7D">
        <w:trPr>
          <w:cantSplit/>
        </w:trPr>
        <w:tc>
          <w:tcPr>
            <w:tcW w:w="2430" w:type="dxa"/>
            <w:vMerge w:val="restart"/>
            <w:vAlign w:val="center"/>
          </w:tcPr>
          <w:p w14:paraId="38546279" w14:textId="77777777" w:rsidR="006350FE" w:rsidRPr="006B6AC0" w:rsidRDefault="006350FE" w:rsidP="00695A7D">
            <w:pPr>
              <w:pStyle w:val="TableText"/>
              <w:spacing w:after="0"/>
              <w:rPr>
                <w:lang w:val="sv-SE"/>
              </w:rPr>
            </w:pPr>
            <w:r w:rsidRPr="006B6AC0">
              <w:rPr>
                <w:lang w:val="sv-SE"/>
              </w:rPr>
              <w:t>Omräknad Teckningskurs</w:t>
            </w:r>
          </w:p>
        </w:tc>
        <w:tc>
          <w:tcPr>
            <w:tcW w:w="450" w:type="dxa"/>
            <w:vMerge w:val="restart"/>
            <w:vAlign w:val="center"/>
          </w:tcPr>
          <w:p w14:paraId="18529C05" w14:textId="77777777" w:rsidR="006350FE" w:rsidRPr="00437F01" w:rsidRDefault="006350FE" w:rsidP="00695A7D">
            <w:pPr>
              <w:pStyle w:val="TableText"/>
              <w:spacing w:before="240" w:after="0"/>
            </w:pPr>
            <w:r w:rsidRPr="00437F01">
              <w:t>=</w:t>
            </w:r>
          </w:p>
        </w:tc>
        <w:tc>
          <w:tcPr>
            <w:tcW w:w="5490" w:type="dxa"/>
            <w:tcBorders>
              <w:bottom w:val="single" w:sz="4" w:space="0" w:color="auto"/>
            </w:tcBorders>
          </w:tcPr>
          <w:p w14:paraId="34381A0C" w14:textId="77777777" w:rsidR="006350FE" w:rsidRPr="00A50800" w:rsidRDefault="006350FE" w:rsidP="00695A7D">
            <w:pPr>
              <w:pStyle w:val="TableText"/>
              <w:spacing w:after="0"/>
              <w:rPr>
                <w:lang w:val="sv-SE"/>
              </w:rPr>
            </w:pPr>
            <w:r w:rsidRPr="00A50800">
              <w:rPr>
                <w:lang w:val="sv-SE"/>
              </w:rPr>
              <w:t xml:space="preserve">Föregående Teckningskurs </w:t>
            </w:r>
            <w:r w:rsidRPr="00A50800">
              <w:rPr>
                <w:i/>
                <w:lang w:val="sv-SE"/>
              </w:rPr>
              <w:t>x</w:t>
            </w:r>
            <w:r w:rsidRPr="00A50800">
              <w:rPr>
                <w:lang w:val="sv-SE"/>
              </w:rPr>
              <w:t xml:space="preserve"> Aktiens genomsnittliga aktiekurs under en period om 25 handelsdagar räknat fr.o.m. den dag då Aktien noteras utan rätt till återbetalning (Aktiens genomsnittskurs)</w:t>
            </w:r>
          </w:p>
        </w:tc>
      </w:tr>
      <w:tr w:rsidR="006350FE" w:rsidRPr="00D00630" w14:paraId="705575BA" w14:textId="77777777" w:rsidTr="00695A7D">
        <w:trPr>
          <w:cantSplit/>
        </w:trPr>
        <w:tc>
          <w:tcPr>
            <w:tcW w:w="2430" w:type="dxa"/>
            <w:vMerge/>
          </w:tcPr>
          <w:p w14:paraId="6DB38969" w14:textId="77777777" w:rsidR="006350FE" w:rsidRPr="00A50800" w:rsidRDefault="006350FE" w:rsidP="00695A7D">
            <w:pPr>
              <w:pStyle w:val="TableText"/>
              <w:spacing w:after="0"/>
              <w:rPr>
                <w:lang w:val="sv-SE"/>
              </w:rPr>
            </w:pPr>
          </w:p>
        </w:tc>
        <w:tc>
          <w:tcPr>
            <w:tcW w:w="450" w:type="dxa"/>
            <w:vMerge/>
            <w:tcBorders>
              <w:right w:val="nil"/>
            </w:tcBorders>
          </w:tcPr>
          <w:p w14:paraId="1BAB81E0" w14:textId="77777777" w:rsidR="006350FE" w:rsidRPr="00A50800" w:rsidRDefault="006350FE" w:rsidP="00695A7D">
            <w:pPr>
              <w:pStyle w:val="TableText"/>
              <w:spacing w:after="0"/>
              <w:rPr>
                <w:lang w:val="sv-SE"/>
              </w:rPr>
            </w:pPr>
          </w:p>
        </w:tc>
        <w:tc>
          <w:tcPr>
            <w:tcW w:w="5490" w:type="dxa"/>
            <w:tcBorders>
              <w:top w:val="single" w:sz="4" w:space="0" w:color="auto"/>
              <w:left w:val="nil"/>
              <w:bottom w:val="nil"/>
              <w:right w:val="nil"/>
            </w:tcBorders>
          </w:tcPr>
          <w:p w14:paraId="1DA22440" w14:textId="77777777" w:rsidR="006350FE" w:rsidRPr="00A50800" w:rsidRDefault="006350FE" w:rsidP="00695A7D">
            <w:pPr>
              <w:pStyle w:val="TableText"/>
              <w:spacing w:after="0"/>
              <w:rPr>
                <w:lang w:val="sv-SE"/>
              </w:rPr>
            </w:pPr>
            <w:r w:rsidRPr="00A50800">
              <w:rPr>
                <w:lang w:val="sv-SE"/>
              </w:rPr>
              <w:t>Aktiens genomsnittskurs ökad med det belopp som återbetalas per Aktie</w:t>
            </w:r>
          </w:p>
        </w:tc>
      </w:tr>
      <w:tr w:rsidR="006350FE" w:rsidRPr="00D00630" w14:paraId="348C2AB9" w14:textId="77777777" w:rsidTr="00695A7D">
        <w:trPr>
          <w:cantSplit/>
        </w:trPr>
        <w:tc>
          <w:tcPr>
            <w:tcW w:w="2430" w:type="dxa"/>
            <w:vAlign w:val="center"/>
          </w:tcPr>
          <w:p w14:paraId="19924F8B" w14:textId="77777777" w:rsidR="006350FE" w:rsidRPr="00A50800" w:rsidRDefault="006350FE" w:rsidP="00695A7D">
            <w:pPr>
              <w:pStyle w:val="TableText"/>
              <w:spacing w:after="0"/>
              <w:rPr>
                <w:lang w:val="sv-SE"/>
              </w:rPr>
            </w:pPr>
          </w:p>
        </w:tc>
        <w:tc>
          <w:tcPr>
            <w:tcW w:w="450" w:type="dxa"/>
            <w:tcBorders>
              <w:right w:val="nil"/>
            </w:tcBorders>
            <w:vAlign w:val="center"/>
          </w:tcPr>
          <w:p w14:paraId="1D023B6D" w14:textId="77777777" w:rsidR="006350FE" w:rsidRPr="006B6AC0" w:rsidRDefault="006350FE" w:rsidP="00695A7D">
            <w:pPr>
              <w:pStyle w:val="TableText"/>
              <w:spacing w:after="0"/>
              <w:rPr>
                <w:lang w:val="sv-SE"/>
              </w:rPr>
            </w:pPr>
          </w:p>
        </w:tc>
        <w:tc>
          <w:tcPr>
            <w:tcW w:w="5490" w:type="dxa"/>
            <w:tcBorders>
              <w:top w:val="nil"/>
              <w:left w:val="nil"/>
              <w:bottom w:val="nil"/>
              <w:right w:val="nil"/>
            </w:tcBorders>
          </w:tcPr>
          <w:p w14:paraId="79AE735A" w14:textId="77777777" w:rsidR="006350FE" w:rsidRPr="00A50800" w:rsidRDefault="006350FE" w:rsidP="00695A7D">
            <w:pPr>
              <w:pStyle w:val="TableText"/>
              <w:spacing w:after="0"/>
              <w:rPr>
                <w:lang w:val="sv-SE"/>
              </w:rPr>
            </w:pPr>
          </w:p>
        </w:tc>
      </w:tr>
      <w:tr w:rsidR="006350FE" w:rsidRPr="00D00630" w14:paraId="461AFA0F" w14:textId="77777777" w:rsidTr="00695A7D">
        <w:trPr>
          <w:cantSplit/>
        </w:trPr>
        <w:tc>
          <w:tcPr>
            <w:tcW w:w="2430" w:type="dxa"/>
            <w:vMerge w:val="restart"/>
            <w:vAlign w:val="center"/>
          </w:tcPr>
          <w:p w14:paraId="004FCBC2" w14:textId="77777777" w:rsidR="006350FE" w:rsidRPr="00A50800" w:rsidRDefault="006350FE" w:rsidP="00695A7D">
            <w:pPr>
              <w:pStyle w:val="TableText"/>
              <w:spacing w:after="0"/>
              <w:rPr>
                <w:lang w:val="sv-SE"/>
              </w:rPr>
            </w:pPr>
            <w:r w:rsidRPr="00A50800">
              <w:rPr>
                <w:lang w:val="sv-SE"/>
              </w:rPr>
              <w:t>Omräknat antal Aktier som varje Teckningsoption berättigar till Teckning av</w:t>
            </w:r>
          </w:p>
        </w:tc>
        <w:tc>
          <w:tcPr>
            <w:tcW w:w="450" w:type="dxa"/>
            <w:vMerge w:val="restart"/>
            <w:vAlign w:val="center"/>
          </w:tcPr>
          <w:p w14:paraId="10488F12" w14:textId="77777777" w:rsidR="006350FE" w:rsidRPr="00437F01" w:rsidRDefault="006350FE" w:rsidP="00695A7D">
            <w:pPr>
              <w:pStyle w:val="TableText"/>
              <w:spacing w:after="0"/>
            </w:pPr>
            <w:r w:rsidRPr="00437F01">
              <w:t>=</w:t>
            </w:r>
          </w:p>
        </w:tc>
        <w:tc>
          <w:tcPr>
            <w:tcW w:w="5490" w:type="dxa"/>
            <w:tcBorders>
              <w:top w:val="nil"/>
              <w:bottom w:val="single" w:sz="4" w:space="0" w:color="auto"/>
            </w:tcBorders>
          </w:tcPr>
          <w:p w14:paraId="4AA564DB" w14:textId="77777777" w:rsidR="006350FE" w:rsidRPr="00A50800" w:rsidRDefault="006350FE" w:rsidP="00695A7D">
            <w:pPr>
              <w:pStyle w:val="TableText"/>
              <w:spacing w:after="0"/>
              <w:rPr>
                <w:lang w:val="sv-SE"/>
              </w:rPr>
            </w:pPr>
            <w:r w:rsidRPr="00A50800">
              <w:rPr>
                <w:lang w:val="sv-SE"/>
              </w:rPr>
              <w:t xml:space="preserve">Föregående antal Aktier som varje Teckningsoption berättigar till Teckning av </w:t>
            </w:r>
            <w:r w:rsidRPr="00A50800">
              <w:rPr>
                <w:i/>
                <w:lang w:val="sv-SE"/>
              </w:rPr>
              <w:t>x</w:t>
            </w:r>
            <w:r w:rsidRPr="00A50800">
              <w:rPr>
                <w:lang w:val="sv-SE"/>
              </w:rPr>
              <w:t xml:space="preserve"> (Aktiens genomsnittskurs ökad med det belopp som återbetalas per Aktie)</w:t>
            </w:r>
          </w:p>
        </w:tc>
      </w:tr>
      <w:tr w:rsidR="006350FE" w:rsidRPr="00437F01" w14:paraId="716FFDFA" w14:textId="77777777" w:rsidTr="00695A7D">
        <w:trPr>
          <w:cantSplit/>
        </w:trPr>
        <w:tc>
          <w:tcPr>
            <w:tcW w:w="2430" w:type="dxa"/>
            <w:vMerge/>
          </w:tcPr>
          <w:p w14:paraId="13F7EEF6" w14:textId="77777777" w:rsidR="006350FE" w:rsidRPr="00A50800" w:rsidRDefault="006350FE" w:rsidP="00695A7D">
            <w:pPr>
              <w:pStyle w:val="TableText"/>
              <w:spacing w:after="0"/>
              <w:rPr>
                <w:lang w:val="sv-SE"/>
              </w:rPr>
            </w:pPr>
          </w:p>
        </w:tc>
        <w:tc>
          <w:tcPr>
            <w:tcW w:w="450" w:type="dxa"/>
            <w:vMerge/>
          </w:tcPr>
          <w:p w14:paraId="29972138" w14:textId="77777777" w:rsidR="006350FE" w:rsidRPr="00A50800" w:rsidRDefault="006350FE" w:rsidP="00695A7D">
            <w:pPr>
              <w:pStyle w:val="TableText"/>
              <w:spacing w:after="0"/>
              <w:rPr>
                <w:lang w:val="sv-SE"/>
              </w:rPr>
            </w:pPr>
          </w:p>
        </w:tc>
        <w:tc>
          <w:tcPr>
            <w:tcW w:w="5490" w:type="dxa"/>
            <w:tcBorders>
              <w:top w:val="single" w:sz="4" w:space="0" w:color="auto"/>
            </w:tcBorders>
          </w:tcPr>
          <w:p w14:paraId="25E2309F" w14:textId="77777777" w:rsidR="006350FE" w:rsidRPr="00437F01" w:rsidRDefault="006350FE" w:rsidP="00695A7D">
            <w:pPr>
              <w:pStyle w:val="TableText"/>
              <w:spacing w:after="0"/>
            </w:pPr>
            <w:proofErr w:type="spellStart"/>
            <w:r w:rsidRPr="00437F01">
              <w:t>Aktiens</w:t>
            </w:r>
            <w:proofErr w:type="spellEnd"/>
            <w:r w:rsidRPr="00437F01">
              <w:t xml:space="preserve"> </w:t>
            </w:r>
            <w:proofErr w:type="spellStart"/>
            <w:r w:rsidRPr="00437F01">
              <w:t>genomsnittskurs</w:t>
            </w:r>
            <w:proofErr w:type="spellEnd"/>
          </w:p>
        </w:tc>
      </w:tr>
      <w:tr w:rsidR="006350FE" w:rsidRPr="001A6E6C" w14:paraId="5BE549A7" w14:textId="77777777" w:rsidTr="00695A7D">
        <w:trPr>
          <w:cantSplit/>
        </w:trPr>
        <w:tc>
          <w:tcPr>
            <w:tcW w:w="2430" w:type="dxa"/>
            <w:vMerge w:val="restart"/>
            <w:vAlign w:val="center"/>
          </w:tcPr>
          <w:p w14:paraId="706F6531" w14:textId="77777777" w:rsidR="006350FE" w:rsidRPr="00437F01" w:rsidRDefault="006350FE" w:rsidP="00695A7D">
            <w:pPr>
              <w:pStyle w:val="TableText"/>
              <w:spacing w:after="0"/>
            </w:pPr>
            <w:r w:rsidRPr="00437F01">
              <w:rPr>
                <w:i/>
              </w:rPr>
              <w:t>Recalculated Subscription</w:t>
            </w:r>
            <w:r>
              <w:rPr>
                <w:i/>
              </w:rPr>
              <w:t xml:space="preserve"> </w:t>
            </w:r>
            <w:r w:rsidRPr="00437F01">
              <w:rPr>
                <w:i/>
              </w:rPr>
              <w:t>Price</w:t>
            </w:r>
          </w:p>
        </w:tc>
        <w:tc>
          <w:tcPr>
            <w:tcW w:w="450" w:type="dxa"/>
            <w:vMerge w:val="restart"/>
            <w:vAlign w:val="center"/>
          </w:tcPr>
          <w:p w14:paraId="7C89EEED" w14:textId="77777777" w:rsidR="006350FE" w:rsidRPr="00437F01" w:rsidRDefault="006350FE" w:rsidP="00695A7D">
            <w:pPr>
              <w:pStyle w:val="TableText"/>
              <w:spacing w:before="360" w:after="0"/>
            </w:pPr>
            <w:r w:rsidRPr="00437F01">
              <w:t>=</w:t>
            </w:r>
          </w:p>
        </w:tc>
        <w:tc>
          <w:tcPr>
            <w:tcW w:w="5490" w:type="dxa"/>
            <w:tcBorders>
              <w:bottom w:val="single" w:sz="4" w:space="0" w:color="auto"/>
            </w:tcBorders>
          </w:tcPr>
          <w:p w14:paraId="529FEA1D" w14:textId="77777777" w:rsidR="006350FE" w:rsidRPr="00437F01" w:rsidRDefault="006350FE" w:rsidP="00695A7D">
            <w:pPr>
              <w:pStyle w:val="TableText"/>
              <w:spacing w:after="0"/>
            </w:pPr>
            <w:r w:rsidRPr="00437F01">
              <w:rPr>
                <w:i/>
              </w:rPr>
              <w:t>Previous Subscription Price x the average share price of the Share during a period of 25 trading days calculated from the day of which the Share is quoted without any right to participate in the distribution (the average price of Share)</w:t>
            </w:r>
          </w:p>
        </w:tc>
      </w:tr>
      <w:tr w:rsidR="006350FE" w:rsidRPr="001A6E6C" w14:paraId="74F59DDD" w14:textId="77777777" w:rsidTr="00695A7D">
        <w:trPr>
          <w:cantSplit/>
        </w:trPr>
        <w:tc>
          <w:tcPr>
            <w:tcW w:w="2430" w:type="dxa"/>
            <w:vMerge/>
          </w:tcPr>
          <w:p w14:paraId="064773D2" w14:textId="77777777" w:rsidR="006350FE" w:rsidRPr="00437F01" w:rsidRDefault="006350FE" w:rsidP="00695A7D">
            <w:pPr>
              <w:pStyle w:val="TableText"/>
              <w:spacing w:after="0"/>
            </w:pPr>
          </w:p>
        </w:tc>
        <w:tc>
          <w:tcPr>
            <w:tcW w:w="450" w:type="dxa"/>
            <w:vMerge/>
          </w:tcPr>
          <w:p w14:paraId="7E330532" w14:textId="77777777" w:rsidR="006350FE" w:rsidRPr="00437F01" w:rsidRDefault="006350FE" w:rsidP="00695A7D">
            <w:pPr>
              <w:pStyle w:val="TableText"/>
              <w:spacing w:after="0"/>
            </w:pPr>
          </w:p>
        </w:tc>
        <w:tc>
          <w:tcPr>
            <w:tcW w:w="5490" w:type="dxa"/>
            <w:tcBorders>
              <w:top w:val="single" w:sz="4" w:space="0" w:color="auto"/>
              <w:bottom w:val="nil"/>
            </w:tcBorders>
          </w:tcPr>
          <w:p w14:paraId="065B3B11" w14:textId="77777777" w:rsidR="006350FE" w:rsidRPr="00437F01" w:rsidRDefault="006350FE" w:rsidP="00695A7D">
            <w:pPr>
              <w:pStyle w:val="TableText"/>
              <w:spacing w:after="0"/>
            </w:pPr>
            <w:r w:rsidRPr="00437F01">
              <w:rPr>
                <w:i/>
              </w:rPr>
              <w:t>Average price of Share increased by the amount repaid per Share</w:t>
            </w:r>
          </w:p>
        </w:tc>
      </w:tr>
      <w:tr w:rsidR="006350FE" w:rsidRPr="001A6E6C" w14:paraId="565D772A" w14:textId="77777777" w:rsidTr="00695A7D">
        <w:trPr>
          <w:cantSplit/>
        </w:trPr>
        <w:tc>
          <w:tcPr>
            <w:tcW w:w="2430" w:type="dxa"/>
            <w:vAlign w:val="center"/>
          </w:tcPr>
          <w:p w14:paraId="0DB62B50" w14:textId="77777777" w:rsidR="006350FE" w:rsidRPr="00437F01" w:rsidRDefault="006350FE" w:rsidP="00695A7D">
            <w:pPr>
              <w:pStyle w:val="TableText"/>
              <w:spacing w:after="0"/>
              <w:rPr>
                <w:i/>
              </w:rPr>
            </w:pPr>
          </w:p>
        </w:tc>
        <w:tc>
          <w:tcPr>
            <w:tcW w:w="450" w:type="dxa"/>
            <w:tcBorders>
              <w:right w:val="nil"/>
            </w:tcBorders>
            <w:vAlign w:val="center"/>
          </w:tcPr>
          <w:p w14:paraId="20A851A3" w14:textId="77777777" w:rsidR="006350FE" w:rsidRPr="00437F01" w:rsidRDefault="006350FE" w:rsidP="00695A7D">
            <w:pPr>
              <w:pStyle w:val="TableText"/>
              <w:spacing w:after="0"/>
            </w:pPr>
          </w:p>
        </w:tc>
        <w:tc>
          <w:tcPr>
            <w:tcW w:w="5490" w:type="dxa"/>
            <w:tcBorders>
              <w:top w:val="nil"/>
              <w:left w:val="nil"/>
              <w:bottom w:val="nil"/>
              <w:right w:val="nil"/>
            </w:tcBorders>
          </w:tcPr>
          <w:p w14:paraId="7450AF2E" w14:textId="77777777" w:rsidR="006350FE" w:rsidRPr="00437F01" w:rsidRDefault="006350FE" w:rsidP="00695A7D">
            <w:pPr>
              <w:pStyle w:val="TableText"/>
              <w:spacing w:after="0"/>
              <w:rPr>
                <w:i/>
              </w:rPr>
            </w:pPr>
          </w:p>
        </w:tc>
      </w:tr>
      <w:tr w:rsidR="006350FE" w:rsidRPr="001A6E6C" w14:paraId="6126413F" w14:textId="77777777" w:rsidTr="00695A7D">
        <w:trPr>
          <w:cantSplit/>
        </w:trPr>
        <w:tc>
          <w:tcPr>
            <w:tcW w:w="2430" w:type="dxa"/>
            <w:vMerge w:val="restart"/>
            <w:vAlign w:val="center"/>
          </w:tcPr>
          <w:p w14:paraId="5AB15F0C" w14:textId="77777777" w:rsidR="006350FE" w:rsidRPr="00437F01" w:rsidRDefault="006350FE" w:rsidP="00695A7D">
            <w:pPr>
              <w:pStyle w:val="TableText"/>
              <w:spacing w:after="0"/>
            </w:pPr>
            <w:r w:rsidRPr="00437F01">
              <w:rPr>
                <w:i/>
              </w:rPr>
              <w:t>Recalculated number of</w:t>
            </w:r>
            <w:r>
              <w:rPr>
                <w:i/>
              </w:rPr>
              <w:t xml:space="preserve"> </w:t>
            </w:r>
            <w:r w:rsidRPr="00437F01">
              <w:rPr>
                <w:i/>
              </w:rPr>
              <w:t>Shares that each Warrant entitles to Subscribe for</w:t>
            </w:r>
          </w:p>
        </w:tc>
        <w:tc>
          <w:tcPr>
            <w:tcW w:w="450" w:type="dxa"/>
            <w:vMerge w:val="restart"/>
            <w:vAlign w:val="center"/>
          </w:tcPr>
          <w:p w14:paraId="61983290" w14:textId="77777777" w:rsidR="006350FE" w:rsidRPr="00437F01" w:rsidRDefault="006350FE" w:rsidP="00695A7D">
            <w:pPr>
              <w:pStyle w:val="TableText"/>
              <w:spacing w:before="360" w:after="0"/>
            </w:pPr>
            <w:r w:rsidRPr="00437F01">
              <w:t>=</w:t>
            </w:r>
          </w:p>
        </w:tc>
        <w:tc>
          <w:tcPr>
            <w:tcW w:w="5490" w:type="dxa"/>
            <w:tcBorders>
              <w:top w:val="nil"/>
              <w:bottom w:val="single" w:sz="4" w:space="0" w:color="auto"/>
            </w:tcBorders>
          </w:tcPr>
          <w:p w14:paraId="26D8AB09" w14:textId="77777777" w:rsidR="006350FE" w:rsidRPr="00437F01" w:rsidRDefault="006350FE" w:rsidP="00695A7D">
            <w:pPr>
              <w:pStyle w:val="TableText"/>
              <w:spacing w:after="0"/>
            </w:pPr>
            <w:r w:rsidRPr="00437F01">
              <w:rPr>
                <w:i/>
              </w:rPr>
              <w:t>Previous number of Shares that the Warrant entitles to Subscribe for x (the average price of Share</w:t>
            </w:r>
            <w:r w:rsidRPr="00437F01">
              <w:t xml:space="preserve"> </w:t>
            </w:r>
            <w:r w:rsidRPr="00437F01">
              <w:rPr>
                <w:i/>
              </w:rPr>
              <w:t>increased by the amount repaid per Share)</w:t>
            </w:r>
          </w:p>
        </w:tc>
      </w:tr>
      <w:tr w:rsidR="006350FE" w:rsidRPr="00437F01" w14:paraId="79C95188" w14:textId="77777777" w:rsidTr="00695A7D">
        <w:trPr>
          <w:cantSplit/>
        </w:trPr>
        <w:tc>
          <w:tcPr>
            <w:tcW w:w="2430" w:type="dxa"/>
            <w:vMerge/>
          </w:tcPr>
          <w:p w14:paraId="13A20AF2" w14:textId="77777777" w:rsidR="006350FE" w:rsidRPr="00437F01" w:rsidRDefault="006350FE" w:rsidP="00695A7D">
            <w:pPr>
              <w:pStyle w:val="TableText"/>
              <w:spacing w:after="0"/>
            </w:pPr>
          </w:p>
        </w:tc>
        <w:tc>
          <w:tcPr>
            <w:tcW w:w="450" w:type="dxa"/>
            <w:vMerge/>
          </w:tcPr>
          <w:p w14:paraId="4A8A9F75" w14:textId="77777777" w:rsidR="006350FE" w:rsidRPr="00437F01" w:rsidRDefault="006350FE" w:rsidP="00695A7D">
            <w:pPr>
              <w:pStyle w:val="TableText"/>
              <w:spacing w:after="0"/>
            </w:pPr>
          </w:p>
        </w:tc>
        <w:tc>
          <w:tcPr>
            <w:tcW w:w="5490" w:type="dxa"/>
            <w:tcBorders>
              <w:top w:val="single" w:sz="4" w:space="0" w:color="auto"/>
              <w:bottom w:val="nil"/>
            </w:tcBorders>
          </w:tcPr>
          <w:p w14:paraId="43143886" w14:textId="77777777" w:rsidR="006350FE" w:rsidRPr="00437F01" w:rsidRDefault="006350FE" w:rsidP="00695A7D">
            <w:pPr>
              <w:pStyle w:val="TableText"/>
              <w:spacing w:after="0"/>
            </w:pPr>
            <w:r w:rsidRPr="00437F01">
              <w:rPr>
                <w:i/>
              </w:rPr>
              <w:t>Average price of Share</w:t>
            </w:r>
          </w:p>
        </w:tc>
      </w:tr>
      <w:tr w:rsidR="006350FE" w:rsidRPr="00437F01" w14:paraId="50C8796A" w14:textId="77777777" w:rsidTr="00695A7D">
        <w:trPr>
          <w:cantSplit/>
        </w:trPr>
        <w:tc>
          <w:tcPr>
            <w:tcW w:w="2430" w:type="dxa"/>
          </w:tcPr>
          <w:p w14:paraId="3B49BAFA" w14:textId="77777777" w:rsidR="006350FE" w:rsidRPr="00437F01" w:rsidRDefault="006350FE" w:rsidP="00695A7D">
            <w:pPr>
              <w:pStyle w:val="TableText"/>
              <w:spacing w:after="0"/>
            </w:pPr>
          </w:p>
        </w:tc>
        <w:tc>
          <w:tcPr>
            <w:tcW w:w="450" w:type="dxa"/>
            <w:tcBorders>
              <w:right w:val="nil"/>
            </w:tcBorders>
          </w:tcPr>
          <w:p w14:paraId="1696EA4E" w14:textId="77777777" w:rsidR="006350FE" w:rsidRPr="00437F01" w:rsidRDefault="006350FE" w:rsidP="00695A7D">
            <w:pPr>
              <w:pStyle w:val="TableText"/>
              <w:spacing w:after="0"/>
            </w:pPr>
          </w:p>
        </w:tc>
        <w:tc>
          <w:tcPr>
            <w:tcW w:w="5490" w:type="dxa"/>
            <w:tcBorders>
              <w:top w:val="nil"/>
              <w:left w:val="nil"/>
              <w:bottom w:val="nil"/>
              <w:right w:val="nil"/>
            </w:tcBorders>
          </w:tcPr>
          <w:p w14:paraId="36A771E0" w14:textId="77777777" w:rsidR="006350FE" w:rsidRPr="00437F01" w:rsidRDefault="006350FE" w:rsidP="00695A7D">
            <w:pPr>
              <w:pStyle w:val="TableText"/>
              <w:spacing w:after="0"/>
              <w:rPr>
                <w:i/>
              </w:rPr>
            </w:pPr>
          </w:p>
        </w:tc>
      </w:tr>
    </w:tbl>
    <w:p w14:paraId="35E6A596" w14:textId="77777777" w:rsidR="006350FE" w:rsidRPr="00437F01" w:rsidRDefault="006350FE" w:rsidP="006350FE">
      <w:pPr>
        <w:pStyle w:val="BodyText"/>
        <w:ind w:left="720"/>
      </w:pPr>
      <w:r w:rsidRPr="00EB7BAC">
        <w:rPr>
          <w:szCs w:val="22"/>
          <w:lang w:val="sv-SE"/>
        </w:rPr>
        <w:t>Aktiens</w:t>
      </w:r>
      <w:r w:rsidRPr="00A50800">
        <w:rPr>
          <w:lang w:val="sv-SE"/>
        </w:rPr>
        <w:t xml:space="preserve"> genomsnittskurs beräknas i enlighet med vad som angivits i </w:t>
      </w:r>
      <w:r>
        <w:rPr>
          <w:lang w:val="sv-SE"/>
        </w:rPr>
        <w:t>punkt</w:t>
      </w:r>
      <w:r w:rsidRPr="00A50800">
        <w:rPr>
          <w:lang w:val="sv-SE"/>
        </w:rPr>
        <w:t xml:space="preserve">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xml:space="preserve"> ovan.</w:t>
      </w:r>
      <w:r w:rsidRPr="00A50800">
        <w:rPr>
          <w:lang w:val="sv-SE"/>
        </w:rPr>
        <w:br/>
      </w:r>
      <w:r w:rsidRPr="00437F01">
        <w:rPr>
          <w:i/>
        </w:rPr>
        <w:t xml:space="preserve">The average price of Share is calculated in accordance with the provisions set forth in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above.</w:t>
      </w:r>
    </w:p>
    <w:p w14:paraId="6C6B294E" w14:textId="77777777" w:rsidR="006350FE" w:rsidRPr="00437F01" w:rsidRDefault="006350FE" w:rsidP="006350FE">
      <w:pPr>
        <w:pStyle w:val="BodyText"/>
        <w:ind w:left="720"/>
      </w:pPr>
      <w:r w:rsidRPr="006B6AC0">
        <w:rPr>
          <w:lang w:val="en-US"/>
        </w:rPr>
        <w:t xml:space="preserve">Vid </w:t>
      </w:r>
      <w:proofErr w:type="spellStart"/>
      <w:r w:rsidRPr="006B6AC0">
        <w:rPr>
          <w:lang w:val="en-US"/>
        </w:rPr>
        <w:t>omräkning</w:t>
      </w:r>
      <w:proofErr w:type="spellEnd"/>
      <w:r w:rsidRPr="006B6AC0">
        <w:rPr>
          <w:lang w:val="en-US"/>
        </w:rPr>
        <w:t xml:space="preserve"> </w:t>
      </w:r>
      <w:proofErr w:type="spellStart"/>
      <w:r w:rsidRPr="006B6AC0">
        <w:rPr>
          <w:lang w:val="en-US"/>
        </w:rPr>
        <w:t>enligt</w:t>
      </w:r>
      <w:proofErr w:type="spellEnd"/>
      <w:r w:rsidRPr="006B6AC0">
        <w:rPr>
          <w:lang w:val="en-US"/>
        </w:rPr>
        <w:t xml:space="preserve"> </w:t>
      </w:r>
      <w:proofErr w:type="spellStart"/>
      <w:r w:rsidRPr="006B6AC0">
        <w:rPr>
          <w:lang w:val="en-US"/>
        </w:rPr>
        <w:t>ovan</w:t>
      </w:r>
      <w:proofErr w:type="spellEnd"/>
      <w:r w:rsidRPr="006B6AC0">
        <w:rPr>
          <w:lang w:val="en-US"/>
        </w:rPr>
        <w:t xml:space="preserve"> </w:t>
      </w:r>
      <w:proofErr w:type="spellStart"/>
      <w:r w:rsidRPr="006B6AC0">
        <w:rPr>
          <w:lang w:val="en-US"/>
        </w:rPr>
        <w:t>och</w:t>
      </w:r>
      <w:proofErr w:type="spellEnd"/>
      <w:r w:rsidRPr="006B6AC0">
        <w:rPr>
          <w:lang w:val="en-US"/>
        </w:rPr>
        <w:t xml:space="preserve"> </w:t>
      </w:r>
      <w:proofErr w:type="spellStart"/>
      <w:r w:rsidRPr="006B6AC0">
        <w:rPr>
          <w:lang w:val="en-US"/>
        </w:rPr>
        <w:t>där</w:t>
      </w:r>
      <w:proofErr w:type="spellEnd"/>
      <w:r w:rsidRPr="006B6AC0">
        <w:rPr>
          <w:lang w:val="en-US"/>
        </w:rPr>
        <w:t xml:space="preserve"> </w:t>
      </w:r>
      <w:proofErr w:type="spellStart"/>
      <w:r w:rsidRPr="006B6AC0">
        <w:rPr>
          <w:lang w:val="en-US"/>
        </w:rPr>
        <w:t>minskningen</w:t>
      </w:r>
      <w:proofErr w:type="spellEnd"/>
      <w:r w:rsidRPr="006B6AC0">
        <w:rPr>
          <w:lang w:val="en-US"/>
        </w:rPr>
        <w:t xml:space="preserve"> </w:t>
      </w:r>
      <w:proofErr w:type="spellStart"/>
      <w:r w:rsidRPr="006B6AC0">
        <w:rPr>
          <w:lang w:val="en-US"/>
        </w:rPr>
        <w:t>sker</w:t>
      </w:r>
      <w:proofErr w:type="spellEnd"/>
      <w:r w:rsidRPr="006B6AC0">
        <w:rPr>
          <w:lang w:val="en-US"/>
        </w:rPr>
        <w:t xml:space="preserve"> </w:t>
      </w:r>
      <w:proofErr w:type="spellStart"/>
      <w:r w:rsidRPr="006B6AC0">
        <w:rPr>
          <w:lang w:val="en-US"/>
        </w:rPr>
        <w:t>genom</w:t>
      </w:r>
      <w:proofErr w:type="spellEnd"/>
      <w:r w:rsidRPr="006B6AC0">
        <w:rPr>
          <w:lang w:val="en-US"/>
        </w:rPr>
        <w:t xml:space="preserve"> </w:t>
      </w:r>
      <w:proofErr w:type="spellStart"/>
      <w:r w:rsidRPr="006B6AC0">
        <w:rPr>
          <w:u w:val="single"/>
          <w:lang w:val="en-US"/>
        </w:rPr>
        <w:t>inlösen</w:t>
      </w:r>
      <w:proofErr w:type="spellEnd"/>
      <w:r w:rsidRPr="006B6AC0">
        <w:rPr>
          <w:u w:val="single"/>
          <w:lang w:val="en-US"/>
        </w:rPr>
        <w:t xml:space="preserve"> av </w:t>
      </w:r>
      <w:proofErr w:type="spellStart"/>
      <w:r w:rsidRPr="006B6AC0">
        <w:rPr>
          <w:u w:val="single"/>
          <w:lang w:val="en-US"/>
        </w:rPr>
        <w:t>Aktier</w:t>
      </w:r>
      <w:proofErr w:type="spellEnd"/>
      <w:r w:rsidRPr="006B6AC0">
        <w:rPr>
          <w:lang w:val="en-US"/>
        </w:rPr>
        <w:t xml:space="preserve">, ska </w:t>
      </w:r>
      <w:proofErr w:type="spellStart"/>
      <w:r w:rsidRPr="006B6AC0">
        <w:rPr>
          <w:lang w:val="en-US"/>
        </w:rPr>
        <w:t>istället</w:t>
      </w:r>
      <w:proofErr w:type="spellEnd"/>
      <w:r w:rsidRPr="006B6AC0">
        <w:rPr>
          <w:lang w:val="en-US"/>
        </w:rPr>
        <w:t xml:space="preserve"> för det </w:t>
      </w:r>
      <w:proofErr w:type="spellStart"/>
      <w:r w:rsidRPr="006B6AC0">
        <w:rPr>
          <w:lang w:val="en-US"/>
        </w:rPr>
        <w:t>faktiska</w:t>
      </w:r>
      <w:proofErr w:type="spellEnd"/>
      <w:r w:rsidRPr="006B6AC0">
        <w:rPr>
          <w:lang w:val="en-US"/>
        </w:rPr>
        <w:t xml:space="preserve"> </w:t>
      </w:r>
      <w:proofErr w:type="spellStart"/>
      <w:r w:rsidRPr="006B6AC0">
        <w:rPr>
          <w:lang w:val="en-US"/>
        </w:rPr>
        <w:t>belopp</w:t>
      </w:r>
      <w:proofErr w:type="spellEnd"/>
      <w:r w:rsidRPr="006B6AC0">
        <w:rPr>
          <w:lang w:val="en-US"/>
        </w:rPr>
        <w:t xml:space="preserve"> </w:t>
      </w:r>
      <w:proofErr w:type="spellStart"/>
      <w:r w:rsidRPr="006B6AC0">
        <w:rPr>
          <w:lang w:val="en-US"/>
        </w:rPr>
        <w:t>som</w:t>
      </w:r>
      <w:proofErr w:type="spellEnd"/>
      <w:r w:rsidRPr="006B6AC0">
        <w:rPr>
          <w:lang w:val="en-US"/>
        </w:rPr>
        <w:t xml:space="preserve"> </w:t>
      </w:r>
      <w:proofErr w:type="spellStart"/>
      <w:r w:rsidRPr="006B6AC0">
        <w:rPr>
          <w:lang w:val="en-US"/>
        </w:rPr>
        <w:t>återbetalas</w:t>
      </w:r>
      <w:proofErr w:type="spellEnd"/>
      <w:r w:rsidRPr="006B6AC0">
        <w:rPr>
          <w:lang w:val="en-US"/>
        </w:rPr>
        <w:t xml:space="preserve"> per </w:t>
      </w:r>
      <w:proofErr w:type="spellStart"/>
      <w:r w:rsidRPr="006B6AC0">
        <w:rPr>
          <w:lang w:val="en-US"/>
        </w:rPr>
        <w:t>Aktie</w:t>
      </w:r>
      <w:proofErr w:type="spellEnd"/>
      <w:r w:rsidRPr="006B6AC0">
        <w:rPr>
          <w:lang w:val="en-US"/>
        </w:rPr>
        <w:t xml:space="preserve"> </w:t>
      </w:r>
      <w:proofErr w:type="spellStart"/>
      <w:r w:rsidRPr="006B6AC0">
        <w:rPr>
          <w:lang w:val="en-US"/>
        </w:rPr>
        <w:t>ett</w:t>
      </w:r>
      <w:proofErr w:type="spellEnd"/>
      <w:r w:rsidRPr="006B6AC0">
        <w:rPr>
          <w:lang w:val="en-US"/>
        </w:rPr>
        <w:t xml:space="preserve"> </w:t>
      </w:r>
      <w:proofErr w:type="spellStart"/>
      <w:r w:rsidRPr="006B6AC0">
        <w:rPr>
          <w:lang w:val="en-US"/>
        </w:rPr>
        <w:t>beräknat</w:t>
      </w:r>
      <w:proofErr w:type="spellEnd"/>
      <w:r w:rsidRPr="006B6AC0">
        <w:rPr>
          <w:lang w:val="en-US"/>
        </w:rPr>
        <w:t xml:space="preserve"> </w:t>
      </w:r>
      <w:proofErr w:type="spellStart"/>
      <w:r w:rsidRPr="006B6AC0">
        <w:rPr>
          <w:lang w:val="en-US"/>
        </w:rPr>
        <w:t>återbetalningsbelopp</w:t>
      </w:r>
      <w:proofErr w:type="spellEnd"/>
      <w:r w:rsidRPr="006B6AC0">
        <w:rPr>
          <w:lang w:val="en-US"/>
        </w:rPr>
        <w:t xml:space="preserve"> </w:t>
      </w:r>
      <w:proofErr w:type="spellStart"/>
      <w:r w:rsidRPr="006B6AC0">
        <w:rPr>
          <w:lang w:val="en-US"/>
        </w:rPr>
        <w:t>användas</w:t>
      </w:r>
      <w:proofErr w:type="spellEnd"/>
      <w:r w:rsidRPr="006B6AC0">
        <w:rPr>
          <w:lang w:val="en-US"/>
        </w:rPr>
        <w:t xml:space="preserve"> </w:t>
      </w:r>
      <w:proofErr w:type="spellStart"/>
      <w:r w:rsidRPr="006B6AC0">
        <w:rPr>
          <w:lang w:val="en-US"/>
        </w:rPr>
        <w:t>enligt</w:t>
      </w:r>
      <w:proofErr w:type="spellEnd"/>
      <w:r w:rsidRPr="006B6AC0">
        <w:rPr>
          <w:lang w:val="en-US"/>
        </w:rPr>
        <w:t xml:space="preserve"> </w:t>
      </w:r>
      <w:proofErr w:type="spellStart"/>
      <w:r w:rsidRPr="006B6AC0">
        <w:rPr>
          <w:lang w:val="en-US"/>
        </w:rPr>
        <w:t>följande</w:t>
      </w:r>
      <w:proofErr w:type="spellEnd"/>
      <w:r w:rsidRPr="006B6AC0">
        <w:rPr>
          <w:lang w:val="en-US"/>
        </w:rPr>
        <w:t>:</w:t>
      </w:r>
      <w:r w:rsidRPr="00437F01">
        <w:br/>
      </w:r>
      <w:r w:rsidRPr="00437F01">
        <w:rPr>
          <w:i/>
        </w:rPr>
        <w:t xml:space="preserve">When re-calculating in accordance with the above and in the event that reduction is effected through </w:t>
      </w:r>
      <w:r w:rsidRPr="00437F01">
        <w:rPr>
          <w:i/>
          <w:u w:val="single"/>
        </w:rPr>
        <w:t>redemption of shares</w:t>
      </w:r>
      <w:r w:rsidRPr="00437F01">
        <w:rPr>
          <w:i/>
        </w:rPr>
        <w:t>, a repayment amount according to the calculation below shall be used instead of the actual amount that will be repaid per Share according to the following:</w:t>
      </w:r>
    </w:p>
    <w:tbl>
      <w:tblPr>
        <w:tblW w:w="8363" w:type="dxa"/>
        <w:tblInd w:w="630" w:type="dxa"/>
        <w:tblBorders>
          <w:top w:val="nil"/>
          <w:left w:val="nil"/>
          <w:bottom w:val="nil"/>
          <w:right w:val="nil"/>
          <w:insideH w:val="nil"/>
          <w:insideV w:val="nil"/>
        </w:tblBorders>
        <w:tblLook w:val="04A0" w:firstRow="1" w:lastRow="0" w:firstColumn="1" w:lastColumn="0" w:noHBand="0" w:noVBand="1"/>
      </w:tblPr>
      <w:tblGrid>
        <w:gridCol w:w="2430"/>
        <w:gridCol w:w="450"/>
        <w:gridCol w:w="5483"/>
      </w:tblGrid>
      <w:tr w:rsidR="006350FE" w:rsidRPr="00D00630" w14:paraId="6AF2783C" w14:textId="77777777" w:rsidTr="00695A7D">
        <w:trPr>
          <w:cantSplit/>
        </w:trPr>
        <w:tc>
          <w:tcPr>
            <w:tcW w:w="2430" w:type="dxa"/>
            <w:vMerge w:val="restart"/>
            <w:vAlign w:val="center"/>
          </w:tcPr>
          <w:p w14:paraId="661C8FEB" w14:textId="77777777" w:rsidR="006350FE" w:rsidRPr="006B6AC0" w:rsidRDefault="006350FE" w:rsidP="00695A7D">
            <w:pPr>
              <w:pStyle w:val="TableText"/>
              <w:spacing w:after="0"/>
              <w:rPr>
                <w:lang w:val="sv-SE"/>
              </w:rPr>
            </w:pPr>
            <w:r w:rsidRPr="006B6AC0">
              <w:rPr>
                <w:lang w:val="sv-SE"/>
              </w:rPr>
              <w:t>Beräknat återbetalningsbelopp</w:t>
            </w:r>
            <w:r w:rsidRPr="006B6AC0">
              <w:rPr>
                <w:lang w:val="sv-SE"/>
              </w:rPr>
              <w:br/>
              <w:t>per Aktie</w:t>
            </w:r>
          </w:p>
        </w:tc>
        <w:tc>
          <w:tcPr>
            <w:tcW w:w="450" w:type="dxa"/>
            <w:vMerge w:val="restart"/>
            <w:vAlign w:val="center"/>
          </w:tcPr>
          <w:p w14:paraId="70CA0A80" w14:textId="77777777" w:rsidR="006350FE" w:rsidRPr="00437F01" w:rsidRDefault="006350FE" w:rsidP="00695A7D">
            <w:pPr>
              <w:pStyle w:val="TableText"/>
              <w:spacing w:before="480" w:after="0"/>
            </w:pPr>
            <w:r w:rsidRPr="00437F01">
              <w:t>=</w:t>
            </w:r>
          </w:p>
        </w:tc>
        <w:tc>
          <w:tcPr>
            <w:tcW w:w="5483" w:type="dxa"/>
            <w:tcBorders>
              <w:bottom w:val="single" w:sz="4" w:space="0" w:color="auto"/>
            </w:tcBorders>
          </w:tcPr>
          <w:p w14:paraId="1201D26E" w14:textId="77777777" w:rsidR="006350FE" w:rsidRPr="00A50800" w:rsidRDefault="006350FE" w:rsidP="00695A7D">
            <w:pPr>
              <w:pStyle w:val="TableText"/>
              <w:spacing w:after="0"/>
              <w:rPr>
                <w:lang w:val="sv-SE"/>
              </w:rPr>
            </w:pPr>
            <w:r w:rsidRPr="00A50800">
              <w:rPr>
                <w:lang w:val="sv-SE"/>
              </w:rPr>
              <w:t>Det faktiska belopp som återbetalas på inlöst Aktie minskat med Aktiens genomsnittliga aktiekurs under en period om 25 handelsdagar närmast före den dag då Aktien noteras utan rätt till deltagande minskningen (Aktiens genomsnittskurs)</w:t>
            </w:r>
          </w:p>
        </w:tc>
      </w:tr>
      <w:tr w:rsidR="006350FE" w:rsidRPr="00D00630" w14:paraId="57A7C0E2" w14:textId="77777777" w:rsidTr="00695A7D">
        <w:trPr>
          <w:cantSplit/>
        </w:trPr>
        <w:tc>
          <w:tcPr>
            <w:tcW w:w="2430" w:type="dxa"/>
            <w:vMerge/>
          </w:tcPr>
          <w:p w14:paraId="72FB916D" w14:textId="77777777" w:rsidR="006350FE" w:rsidRPr="00A50800" w:rsidRDefault="006350FE" w:rsidP="00695A7D">
            <w:pPr>
              <w:pStyle w:val="TableText"/>
              <w:spacing w:after="0"/>
              <w:rPr>
                <w:lang w:val="sv-SE"/>
              </w:rPr>
            </w:pPr>
          </w:p>
        </w:tc>
        <w:tc>
          <w:tcPr>
            <w:tcW w:w="450" w:type="dxa"/>
            <w:vMerge/>
          </w:tcPr>
          <w:p w14:paraId="3806F7B6" w14:textId="77777777" w:rsidR="006350FE" w:rsidRPr="00A50800" w:rsidRDefault="006350FE" w:rsidP="00695A7D">
            <w:pPr>
              <w:pStyle w:val="TableText"/>
              <w:spacing w:after="0"/>
              <w:rPr>
                <w:lang w:val="sv-SE"/>
              </w:rPr>
            </w:pPr>
          </w:p>
        </w:tc>
        <w:tc>
          <w:tcPr>
            <w:tcW w:w="5483" w:type="dxa"/>
            <w:tcBorders>
              <w:top w:val="single" w:sz="4" w:space="0" w:color="auto"/>
              <w:bottom w:val="nil"/>
            </w:tcBorders>
          </w:tcPr>
          <w:p w14:paraId="7E59D75B" w14:textId="77777777" w:rsidR="006350FE" w:rsidRPr="00A50800" w:rsidRDefault="006350FE" w:rsidP="00695A7D">
            <w:pPr>
              <w:pStyle w:val="TableText"/>
              <w:spacing w:after="0"/>
              <w:rPr>
                <w:lang w:val="sv-SE"/>
              </w:rPr>
            </w:pPr>
            <w:r w:rsidRPr="00A50800">
              <w:rPr>
                <w:lang w:val="sv-SE"/>
              </w:rPr>
              <w:t>Det antal Aktier i Bolaget som ligger till grund för inlösen av en Aktie minskat med talet 1</w:t>
            </w:r>
          </w:p>
        </w:tc>
      </w:tr>
      <w:tr w:rsidR="006350FE" w:rsidRPr="001A6E6C" w14:paraId="4E49AAB8" w14:textId="77777777" w:rsidTr="00695A7D">
        <w:trPr>
          <w:cantSplit/>
        </w:trPr>
        <w:tc>
          <w:tcPr>
            <w:tcW w:w="2430" w:type="dxa"/>
            <w:vMerge w:val="restart"/>
            <w:vAlign w:val="center"/>
          </w:tcPr>
          <w:p w14:paraId="599F7DA2" w14:textId="77777777" w:rsidR="006350FE" w:rsidRPr="00437F01" w:rsidRDefault="006350FE" w:rsidP="00695A7D">
            <w:pPr>
              <w:pStyle w:val="TableText"/>
              <w:spacing w:after="0"/>
            </w:pPr>
            <w:r w:rsidRPr="00437F01">
              <w:rPr>
                <w:i/>
              </w:rPr>
              <w:lastRenderedPageBreak/>
              <w:t>Calculated repayment</w:t>
            </w:r>
            <w:r w:rsidRPr="00437F01">
              <w:rPr>
                <w:i/>
              </w:rPr>
              <w:br/>
              <w:t>per Share</w:t>
            </w:r>
          </w:p>
        </w:tc>
        <w:tc>
          <w:tcPr>
            <w:tcW w:w="450" w:type="dxa"/>
            <w:vMerge w:val="restart"/>
            <w:vAlign w:val="center"/>
          </w:tcPr>
          <w:p w14:paraId="56A3A065" w14:textId="77777777" w:rsidR="006350FE" w:rsidRPr="00437F01" w:rsidRDefault="006350FE" w:rsidP="00695A7D">
            <w:pPr>
              <w:pStyle w:val="TableText"/>
              <w:spacing w:before="240" w:after="0"/>
            </w:pPr>
            <w:r w:rsidRPr="00437F01">
              <w:t>=</w:t>
            </w:r>
          </w:p>
        </w:tc>
        <w:tc>
          <w:tcPr>
            <w:tcW w:w="5483" w:type="dxa"/>
            <w:tcBorders>
              <w:top w:val="nil"/>
              <w:bottom w:val="single" w:sz="4" w:space="0" w:color="auto"/>
            </w:tcBorders>
          </w:tcPr>
          <w:p w14:paraId="5E4D15C9" w14:textId="77777777" w:rsidR="006350FE" w:rsidRPr="002A1EA0" w:rsidRDefault="006350FE" w:rsidP="00695A7D">
            <w:pPr>
              <w:pStyle w:val="TableText"/>
              <w:spacing w:after="0"/>
              <w:rPr>
                <w:i/>
              </w:rPr>
            </w:pPr>
            <w:r w:rsidRPr="002A1EA0">
              <w:rPr>
                <w:i/>
              </w:rPr>
              <w:t xml:space="preserve">The actual amount that has been repaid per redeemed Share reduced by the average share price of the Shares during a </w:t>
            </w:r>
            <w:proofErr w:type="gramStart"/>
            <w:r w:rsidRPr="002A1EA0">
              <w:rPr>
                <w:i/>
              </w:rPr>
              <w:t>25 day</w:t>
            </w:r>
            <w:proofErr w:type="gramEnd"/>
            <w:r w:rsidRPr="002A1EA0">
              <w:rPr>
                <w:i/>
              </w:rPr>
              <w:t xml:space="preserve"> period immediately prior to the day the Share is quoted without the right to participate in the reduction (the average price of Share)</w:t>
            </w:r>
          </w:p>
        </w:tc>
      </w:tr>
      <w:tr w:rsidR="006350FE" w:rsidRPr="001A6E6C" w14:paraId="44357913" w14:textId="77777777" w:rsidTr="00695A7D">
        <w:trPr>
          <w:cantSplit/>
        </w:trPr>
        <w:tc>
          <w:tcPr>
            <w:tcW w:w="2430" w:type="dxa"/>
            <w:vMerge/>
          </w:tcPr>
          <w:p w14:paraId="7B27217E" w14:textId="77777777" w:rsidR="006350FE" w:rsidRPr="00437F01" w:rsidRDefault="006350FE" w:rsidP="00695A7D">
            <w:pPr>
              <w:pStyle w:val="TableText"/>
              <w:spacing w:after="0"/>
            </w:pPr>
          </w:p>
        </w:tc>
        <w:tc>
          <w:tcPr>
            <w:tcW w:w="450" w:type="dxa"/>
            <w:vMerge/>
          </w:tcPr>
          <w:p w14:paraId="273CD802" w14:textId="77777777" w:rsidR="006350FE" w:rsidRPr="00437F01" w:rsidRDefault="006350FE" w:rsidP="00695A7D">
            <w:pPr>
              <w:pStyle w:val="TableText"/>
              <w:spacing w:after="0"/>
            </w:pPr>
          </w:p>
        </w:tc>
        <w:tc>
          <w:tcPr>
            <w:tcW w:w="5483" w:type="dxa"/>
            <w:tcBorders>
              <w:top w:val="single" w:sz="4" w:space="0" w:color="auto"/>
              <w:bottom w:val="nil"/>
            </w:tcBorders>
          </w:tcPr>
          <w:p w14:paraId="64379AAB" w14:textId="77777777" w:rsidR="006350FE" w:rsidRPr="00437F01" w:rsidRDefault="006350FE" w:rsidP="00695A7D">
            <w:pPr>
              <w:pStyle w:val="TableText"/>
              <w:spacing w:after="0"/>
              <w:rPr>
                <w:i/>
              </w:rPr>
            </w:pPr>
            <w:r w:rsidRPr="002A1EA0">
              <w:rPr>
                <w:i/>
              </w:rPr>
              <w:t xml:space="preserve">The number of Shares in the Company that serves as basis for the </w:t>
            </w:r>
            <w:r w:rsidRPr="006B6AC0">
              <w:rPr>
                <w:i/>
                <w:lang w:val="en-US"/>
              </w:rPr>
              <w:t>redemption</w:t>
            </w:r>
            <w:r w:rsidRPr="002A1EA0">
              <w:rPr>
                <w:i/>
              </w:rPr>
              <w:t xml:space="preserve"> of Shares reduced with the number 1</w:t>
            </w:r>
          </w:p>
        </w:tc>
      </w:tr>
      <w:tr w:rsidR="006350FE" w:rsidRPr="001A6E6C" w14:paraId="6014A61B" w14:textId="77777777" w:rsidTr="00695A7D">
        <w:trPr>
          <w:cantSplit/>
        </w:trPr>
        <w:tc>
          <w:tcPr>
            <w:tcW w:w="2430" w:type="dxa"/>
          </w:tcPr>
          <w:p w14:paraId="52729768" w14:textId="77777777" w:rsidR="006350FE" w:rsidRPr="00437F01" w:rsidRDefault="006350FE" w:rsidP="00695A7D">
            <w:pPr>
              <w:pStyle w:val="TableText"/>
              <w:spacing w:after="100" w:afterAutospacing="1"/>
            </w:pPr>
          </w:p>
        </w:tc>
        <w:tc>
          <w:tcPr>
            <w:tcW w:w="450" w:type="dxa"/>
            <w:tcBorders>
              <w:right w:val="nil"/>
            </w:tcBorders>
          </w:tcPr>
          <w:p w14:paraId="112751E4" w14:textId="77777777" w:rsidR="006350FE" w:rsidRPr="00437F01" w:rsidRDefault="006350FE" w:rsidP="00695A7D">
            <w:pPr>
              <w:pStyle w:val="TableText"/>
              <w:spacing w:after="100" w:afterAutospacing="1"/>
            </w:pPr>
          </w:p>
        </w:tc>
        <w:tc>
          <w:tcPr>
            <w:tcW w:w="5483" w:type="dxa"/>
            <w:tcBorders>
              <w:top w:val="nil"/>
              <w:left w:val="nil"/>
              <w:bottom w:val="nil"/>
              <w:right w:val="nil"/>
            </w:tcBorders>
          </w:tcPr>
          <w:p w14:paraId="2C7D5AE4" w14:textId="77777777" w:rsidR="006350FE" w:rsidRPr="002A1EA0" w:rsidRDefault="006350FE" w:rsidP="00695A7D">
            <w:pPr>
              <w:pStyle w:val="TableText"/>
              <w:spacing w:after="100" w:afterAutospacing="1"/>
              <w:rPr>
                <w:i/>
              </w:rPr>
            </w:pPr>
          </w:p>
        </w:tc>
      </w:tr>
    </w:tbl>
    <w:p w14:paraId="13354C61" w14:textId="77777777" w:rsidR="006350FE" w:rsidRPr="00437F01" w:rsidRDefault="006350FE" w:rsidP="006350FE">
      <w:pPr>
        <w:pStyle w:val="BodyText"/>
        <w:ind w:left="720"/>
        <w:rPr>
          <w:i/>
        </w:rPr>
      </w:pPr>
      <w:r w:rsidRPr="00EB7BAC">
        <w:rPr>
          <w:szCs w:val="22"/>
          <w:lang w:val="sv-SE"/>
        </w:rPr>
        <w:t>Aktiens</w:t>
      </w:r>
      <w:r w:rsidRPr="00A50800">
        <w:rPr>
          <w:lang w:val="sv-SE"/>
        </w:rPr>
        <w:t xml:space="preserve"> genomsnittskurs beräknas i enlighet med vad som angivits i </w:t>
      </w:r>
      <w:r>
        <w:rPr>
          <w:lang w:val="sv-SE"/>
        </w:rPr>
        <w:t>punkt</w:t>
      </w:r>
      <w:r w:rsidRPr="00A50800">
        <w:rPr>
          <w:lang w:val="sv-SE"/>
        </w:rPr>
        <w:t xml:space="preserve"> </w:t>
      </w:r>
      <w:r>
        <w:rPr>
          <w:szCs w:val="22"/>
        </w:rPr>
        <w:fldChar w:fldCharType="begin"/>
      </w:r>
      <w:r>
        <w:rPr>
          <w:lang w:val="sv-SE"/>
        </w:rPr>
        <w:instrText xml:space="preserve"> REF _Ref445997720 \r \h </w:instrText>
      </w:r>
      <w:r>
        <w:rPr>
          <w:szCs w:val="22"/>
        </w:rPr>
      </w:r>
      <w:r>
        <w:rPr>
          <w:szCs w:val="22"/>
        </w:rPr>
        <w:fldChar w:fldCharType="separate"/>
      </w:r>
      <w:r>
        <w:rPr>
          <w:lang w:val="sv-SE"/>
        </w:rPr>
        <w:t>8.2.4</w:t>
      </w:r>
      <w:r>
        <w:rPr>
          <w:szCs w:val="22"/>
        </w:rPr>
        <w:fldChar w:fldCharType="end"/>
      </w:r>
      <w:r w:rsidRPr="00A50800">
        <w:rPr>
          <w:lang w:val="sv-SE"/>
        </w:rPr>
        <w:t xml:space="preserve"> ovan.</w:t>
      </w:r>
      <w:r w:rsidRPr="00A50800">
        <w:rPr>
          <w:lang w:val="sv-SE"/>
        </w:rPr>
        <w:br/>
      </w:r>
      <w:r w:rsidRPr="00437F01">
        <w:rPr>
          <w:i/>
        </w:rPr>
        <w:t xml:space="preserve">The average price of Share is calculated in accordance with the provisions set forth in section </w:t>
      </w:r>
      <w:r>
        <w:rPr>
          <w:i/>
          <w:szCs w:val="22"/>
        </w:rPr>
        <w:fldChar w:fldCharType="begin"/>
      </w:r>
      <w:r>
        <w:rPr>
          <w:i/>
        </w:rPr>
        <w:instrText xml:space="preserve"> REF _Ref445997720 \r \h </w:instrText>
      </w:r>
      <w:r>
        <w:rPr>
          <w:i/>
          <w:szCs w:val="22"/>
        </w:rPr>
      </w:r>
      <w:r>
        <w:rPr>
          <w:i/>
          <w:szCs w:val="22"/>
        </w:rPr>
        <w:fldChar w:fldCharType="separate"/>
      </w:r>
      <w:r>
        <w:rPr>
          <w:i/>
        </w:rPr>
        <w:t>8.2.4</w:t>
      </w:r>
      <w:r>
        <w:rPr>
          <w:i/>
          <w:szCs w:val="22"/>
        </w:rPr>
        <w:fldChar w:fldCharType="end"/>
      </w:r>
      <w:r w:rsidRPr="00437F01">
        <w:rPr>
          <w:i/>
        </w:rPr>
        <w:t xml:space="preserve"> above.</w:t>
      </w:r>
    </w:p>
    <w:p w14:paraId="7EBFCE4C" w14:textId="77777777" w:rsidR="006350FE" w:rsidRPr="00437F01" w:rsidRDefault="006350FE" w:rsidP="006350FE">
      <w:pPr>
        <w:pStyle w:val="BodyText"/>
        <w:ind w:left="720"/>
      </w:pPr>
      <w:r w:rsidRPr="00A50800">
        <w:rPr>
          <w:lang w:val="sv-SE"/>
        </w:rPr>
        <w:t xml:space="preserve">Enligt ovan omräknad Teckningskurs och omräknat antal Aktier </w:t>
      </w:r>
      <w:r>
        <w:rPr>
          <w:lang w:val="sv-SE"/>
        </w:rPr>
        <w:t>ska</w:t>
      </w:r>
      <w:r w:rsidRPr="00A50800">
        <w:rPr>
          <w:lang w:val="sv-SE"/>
        </w:rPr>
        <w:t xml:space="preserve"> fastställas av Bolaget två </w:t>
      </w:r>
      <w:r w:rsidRPr="00EB7BAC">
        <w:rPr>
          <w:szCs w:val="22"/>
          <w:lang w:val="sv-SE"/>
        </w:rPr>
        <w:t>Bankdagar</w:t>
      </w:r>
      <w:r w:rsidRPr="00A50800">
        <w:rPr>
          <w:lang w:val="sv-SE"/>
        </w:rPr>
        <w:t xml:space="preserve"> efter utgången av den angivna perioden om 25 handelsdagar och </w:t>
      </w:r>
      <w:r>
        <w:rPr>
          <w:lang w:val="sv-SE"/>
        </w:rPr>
        <w:t>ska</w:t>
      </w:r>
      <w:r w:rsidRPr="00A50800">
        <w:rPr>
          <w:lang w:val="sv-SE"/>
        </w:rPr>
        <w:t xml:space="preserve"> tillämpas vid Teckning, som verkställs därefter.</w:t>
      </w:r>
      <w:r w:rsidRPr="00A50800">
        <w:rPr>
          <w:lang w:val="sv-SE"/>
        </w:rPr>
        <w:br/>
      </w:r>
      <w:r w:rsidRPr="00437F01">
        <w:rPr>
          <w:i/>
        </w:rPr>
        <w:t xml:space="preserve">The recalculated Subscription Price and recalculated number of Shares </w:t>
      </w:r>
      <w:proofErr w:type="gramStart"/>
      <w:r w:rsidRPr="00437F01">
        <w:rPr>
          <w:i/>
        </w:rPr>
        <w:t>as set</w:t>
      </w:r>
      <w:proofErr w:type="gramEnd"/>
      <w:r w:rsidRPr="00437F01">
        <w:rPr>
          <w:i/>
        </w:rPr>
        <w:t xml:space="preserve"> out above shall be determined by the Company two Business Days after the expiration of the stated period of 25 trading days, and shall apply to Subscriptions made after such time.</w:t>
      </w:r>
    </w:p>
    <w:p w14:paraId="1F5A2822" w14:textId="77777777" w:rsidR="006350FE" w:rsidRPr="00437F01" w:rsidRDefault="006350FE" w:rsidP="006350FE">
      <w:pPr>
        <w:pStyle w:val="BodyText"/>
        <w:ind w:left="720"/>
      </w:pPr>
      <w:r w:rsidRPr="00EB7BAC">
        <w:rPr>
          <w:szCs w:val="22"/>
          <w:lang w:val="sv-SE"/>
        </w:rPr>
        <w:t>Teckning</w:t>
      </w:r>
      <w:r w:rsidRPr="00A50800">
        <w:rPr>
          <w:lang w:val="sv-SE"/>
        </w:rPr>
        <w:t xml:space="preserve"> verkställs ej under tiden från minskningsbeslutet t.o.m. den dag då den omräknade Teckningskursen och det omräknade antalet Aktier fastställts enligt vad ovan sagts.</w:t>
      </w:r>
      <w:r w:rsidRPr="00A50800">
        <w:rPr>
          <w:lang w:val="sv-SE"/>
        </w:rPr>
        <w:br/>
      </w:r>
      <w:r w:rsidRPr="00437F01">
        <w:rPr>
          <w:i/>
        </w:rPr>
        <w:t>Subscriptions shall not be executed during the period commencing with the adoption of the resolution to reduce the share capital up to and including the day on which the recalculated Subscription Price and recalculated number of Shares is determined.</w:t>
      </w:r>
    </w:p>
    <w:p w14:paraId="60C250D4" w14:textId="77777777" w:rsidR="006350FE" w:rsidRPr="00A50800" w:rsidRDefault="006350FE" w:rsidP="007C4B62">
      <w:pPr>
        <w:pStyle w:val="BodyText"/>
        <w:numPr>
          <w:ilvl w:val="2"/>
          <w:numId w:val="57"/>
        </w:numPr>
        <w:spacing w:after="0"/>
        <w:rPr>
          <w:b/>
          <w:lang w:val="sv-SE"/>
        </w:rPr>
      </w:pPr>
      <w:r w:rsidRPr="00A50800">
        <w:rPr>
          <w:b/>
          <w:szCs w:val="22"/>
          <w:lang w:val="sv-SE"/>
        </w:rPr>
        <w:t>Å</w:t>
      </w:r>
      <w:r w:rsidRPr="00A50800">
        <w:rPr>
          <w:b/>
          <w:lang w:val="sv-SE"/>
        </w:rPr>
        <w:t xml:space="preserve">terköp av egna </w:t>
      </w:r>
      <w:r>
        <w:rPr>
          <w:b/>
          <w:lang w:val="sv-SE"/>
        </w:rPr>
        <w:t>Aktie</w:t>
      </w:r>
      <w:r w:rsidRPr="00A50800">
        <w:rPr>
          <w:b/>
          <w:lang w:val="sv-SE"/>
        </w:rPr>
        <w:t xml:space="preserve">r </w:t>
      </w:r>
      <w:proofErr w:type="gramStart"/>
      <w:r w:rsidRPr="00A50800">
        <w:rPr>
          <w:b/>
          <w:lang w:val="sv-SE"/>
        </w:rPr>
        <w:t>m.m.</w:t>
      </w:r>
      <w:proofErr w:type="gramEnd"/>
      <w:r w:rsidRPr="00A50800">
        <w:rPr>
          <w:b/>
          <w:lang w:val="sv-SE"/>
        </w:rPr>
        <w:t>/</w:t>
      </w:r>
      <w:proofErr w:type="spellStart"/>
      <w:r w:rsidRPr="00A50800">
        <w:rPr>
          <w:b/>
          <w:i/>
          <w:lang w:val="sv-SE"/>
        </w:rPr>
        <w:t>Repurchase</w:t>
      </w:r>
      <w:proofErr w:type="spellEnd"/>
      <w:r w:rsidRPr="00A50800">
        <w:rPr>
          <w:b/>
          <w:i/>
          <w:lang w:val="sv-SE"/>
        </w:rPr>
        <w:t xml:space="preserve"> of </w:t>
      </w:r>
      <w:proofErr w:type="spellStart"/>
      <w:r w:rsidRPr="00A50800">
        <w:rPr>
          <w:b/>
          <w:i/>
          <w:lang w:val="sv-SE"/>
        </w:rPr>
        <w:t>shares</w:t>
      </w:r>
      <w:proofErr w:type="spellEnd"/>
      <w:r w:rsidRPr="00A50800">
        <w:rPr>
          <w:b/>
          <w:i/>
          <w:lang w:val="sv-SE"/>
        </w:rPr>
        <w:t xml:space="preserve"> </w:t>
      </w:r>
      <w:proofErr w:type="gramStart"/>
      <w:r w:rsidRPr="00A50800">
        <w:rPr>
          <w:b/>
          <w:i/>
          <w:lang w:val="sv-SE"/>
        </w:rPr>
        <w:t>etc.</w:t>
      </w:r>
      <w:proofErr w:type="gramEnd"/>
    </w:p>
    <w:p w14:paraId="19A3C2DD" w14:textId="77777777" w:rsidR="006350FE" w:rsidRPr="00437F01" w:rsidRDefault="006350FE" w:rsidP="006350FE">
      <w:pPr>
        <w:pStyle w:val="BodyText"/>
        <w:ind w:left="720"/>
        <w:rPr>
          <w:i/>
        </w:rPr>
      </w:pPr>
      <w:r w:rsidRPr="00A50800">
        <w:rPr>
          <w:lang w:val="sv-SE"/>
        </w:rPr>
        <w:t xml:space="preserve">Om Bolaget – utan att fråga är om minskning av aktiekapital – skulle genomföra </w:t>
      </w:r>
      <w:r w:rsidRPr="00A50800">
        <w:rPr>
          <w:u w:val="single"/>
          <w:lang w:val="sv-SE"/>
        </w:rPr>
        <w:t>återköp av egna Aktier</w:t>
      </w:r>
      <w:r w:rsidRPr="00A50800">
        <w:rPr>
          <w:lang w:val="sv-SE"/>
        </w:rPr>
        <w:t xml:space="preserve"> men där, enligt Bolagets bedömning, sådan åtgärd med hänsyn till dess tekniska </w:t>
      </w:r>
      <w:r w:rsidRPr="00EB7BAC">
        <w:rPr>
          <w:szCs w:val="22"/>
          <w:lang w:val="sv-SE"/>
        </w:rPr>
        <w:t>utformning</w:t>
      </w:r>
      <w:r w:rsidRPr="00A50800">
        <w:rPr>
          <w:lang w:val="sv-SE"/>
        </w:rPr>
        <w:t xml:space="preserve"> och ekonomiska effekter, är att jämställa med minskning som är obligatorisk, </w:t>
      </w:r>
      <w:r>
        <w:rPr>
          <w:lang w:val="sv-SE"/>
        </w:rPr>
        <w:t>ska</w:t>
      </w:r>
      <w:r w:rsidRPr="00A50800">
        <w:rPr>
          <w:lang w:val="sv-SE"/>
        </w:rPr>
        <w:t xml:space="preserve"> omräkning av Teckningskursen och antal Aktier som varje Teckningsoption berättigar till Teckning av ske med tillämpning av så långt möjligt av de principer som anges ovan i </w:t>
      </w:r>
      <w:r>
        <w:rPr>
          <w:lang w:val="sv-SE"/>
        </w:rPr>
        <w:t>punkt</w:t>
      </w:r>
      <w:r w:rsidRPr="00A50800">
        <w:rPr>
          <w:lang w:val="sv-SE"/>
        </w:rPr>
        <w:t xml:space="preserve"> </w:t>
      </w:r>
      <w:r>
        <w:rPr>
          <w:szCs w:val="22"/>
        </w:rPr>
        <w:fldChar w:fldCharType="begin"/>
      </w:r>
      <w:r>
        <w:rPr>
          <w:lang w:val="sv-SE"/>
        </w:rPr>
        <w:instrText xml:space="preserve"> REF _Ref445831730 \r \h </w:instrText>
      </w:r>
      <w:r>
        <w:rPr>
          <w:szCs w:val="22"/>
        </w:rPr>
      </w:r>
      <w:r>
        <w:rPr>
          <w:szCs w:val="22"/>
        </w:rPr>
        <w:fldChar w:fldCharType="separate"/>
      </w:r>
      <w:r>
        <w:rPr>
          <w:lang w:val="sv-SE"/>
        </w:rPr>
        <w:t>8.2.9</w:t>
      </w:r>
      <w:r>
        <w:rPr>
          <w:szCs w:val="22"/>
        </w:rPr>
        <w:fldChar w:fldCharType="end"/>
      </w:r>
      <w:r w:rsidRPr="00A50800">
        <w:rPr>
          <w:lang w:val="sv-SE"/>
        </w:rPr>
        <w:t>.</w:t>
      </w:r>
      <w:r w:rsidRPr="00A50800">
        <w:rPr>
          <w:lang w:val="sv-SE"/>
        </w:rPr>
        <w:br/>
      </w:r>
      <w:r w:rsidRPr="00437F01">
        <w:rPr>
          <w:i/>
        </w:rPr>
        <w:t xml:space="preserve">In the event the Company – without reducing the share capital – should carry out a </w:t>
      </w:r>
      <w:r w:rsidRPr="00437F01">
        <w:rPr>
          <w:i/>
          <w:u w:val="single"/>
        </w:rPr>
        <w:t>repurchase of its own shares</w:t>
      </w:r>
      <w:r w:rsidRPr="00437F01">
        <w:rPr>
          <w:i/>
        </w:rPr>
        <w:t xml:space="preserve">, but where the measure due to its technical structure and financial effects, is equivalent to a reduction, the recalculation of the Subscription Price as well as of the number of Shares that each Warrant entitles to Subscription of shall be made by applying, to the extent possible, the principles set forth in section </w:t>
      </w:r>
      <w:r>
        <w:rPr>
          <w:i/>
          <w:szCs w:val="22"/>
        </w:rPr>
        <w:fldChar w:fldCharType="begin"/>
      </w:r>
      <w:r>
        <w:rPr>
          <w:i/>
        </w:rPr>
        <w:instrText xml:space="preserve"> REF _Ref445831730 \r \h </w:instrText>
      </w:r>
      <w:r>
        <w:rPr>
          <w:i/>
          <w:szCs w:val="22"/>
        </w:rPr>
      </w:r>
      <w:r>
        <w:rPr>
          <w:i/>
          <w:szCs w:val="22"/>
        </w:rPr>
        <w:fldChar w:fldCharType="separate"/>
      </w:r>
      <w:r>
        <w:rPr>
          <w:i/>
        </w:rPr>
        <w:t>8.2.9</w:t>
      </w:r>
      <w:r>
        <w:rPr>
          <w:i/>
          <w:szCs w:val="22"/>
        </w:rPr>
        <w:fldChar w:fldCharType="end"/>
      </w:r>
      <w:r w:rsidRPr="00437F01">
        <w:rPr>
          <w:i/>
        </w:rPr>
        <w:t>.</w:t>
      </w:r>
    </w:p>
    <w:p w14:paraId="3A7756B3" w14:textId="77777777" w:rsidR="006350FE" w:rsidRPr="00437F01" w:rsidRDefault="006350FE" w:rsidP="007C4B62">
      <w:pPr>
        <w:pStyle w:val="BodyText"/>
        <w:numPr>
          <w:ilvl w:val="2"/>
          <w:numId w:val="57"/>
        </w:numPr>
        <w:spacing w:after="0"/>
        <w:rPr>
          <w:b/>
        </w:rPr>
      </w:pPr>
      <w:r w:rsidRPr="00437F01">
        <w:rPr>
          <w:b/>
        </w:rPr>
        <w:t xml:space="preserve">Byte </w:t>
      </w:r>
      <w:proofErr w:type="spellStart"/>
      <w:r w:rsidRPr="00437F01">
        <w:rPr>
          <w:b/>
        </w:rPr>
        <w:t>av</w:t>
      </w:r>
      <w:proofErr w:type="spellEnd"/>
      <w:r w:rsidRPr="00437F01">
        <w:rPr>
          <w:b/>
        </w:rPr>
        <w:t xml:space="preserve"> </w:t>
      </w:r>
      <w:proofErr w:type="spellStart"/>
      <w:r w:rsidRPr="00437F01">
        <w:rPr>
          <w:b/>
        </w:rPr>
        <w:t>aktiekapitalsvaluta</w:t>
      </w:r>
      <w:proofErr w:type="spellEnd"/>
      <w:r w:rsidRPr="00437F01">
        <w:rPr>
          <w:b/>
        </w:rPr>
        <w:t>/</w:t>
      </w:r>
      <w:r w:rsidRPr="00437F01">
        <w:rPr>
          <w:b/>
          <w:i/>
        </w:rPr>
        <w:t>Change of the currency of share capital</w:t>
      </w:r>
    </w:p>
    <w:p w14:paraId="0F45F6A2" w14:textId="77777777" w:rsidR="006350FE" w:rsidRPr="00437F01" w:rsidRDefault="006350FE" w:rsidP="006350FE">
      <w:pPr>
        <w:pStyle w:val="BodyText"/>
        <w:ind w:left="720"/>
      </w:pPr>
      <w:r w:rsidRPr="00A50800">
        <w:rPr>
          <w:lang w:val="sv-SE"/>
        </w:rPr>
        <w:t xml:space="preserve">Genomför bolaget </w:t>
      </w:r>
      <w:r w:rsidRPr="00A50800">
        <w:rPr>
          <w:u w:val="single"/>
          <w:lang w:val="sv-SE"/>
        </w:rPr>
        <w:t>byte av aktiekapitalsvaluta</w:t>
      </w:r>
      <w:r w:rsidRPr="00A50800">
        <w:rPr>
          <w:lang w:val="sv-SE"/>
        </w:rPr>
        <w:t xml:space="preserve">, innebärande att Bolagets aktiekapital </w:t>
      </w:r>
      <w:r>
        <w:rPr>
          <w:lang w:val="sv-SE"/>
        </w:rPr>
        <w:t>ska</w:t>
      </w:r>
      <w:r w:rsidRPr="00A50800">
        <w:rPr>
          <w:lang w:val="sv-SE"/>
        </w:rPr>
        <w:t xml:space="preserve"> vara bestämt i annan valuta än svenska kronor, </w:t>
      </w:r>
      <w:r>
        <w:rPr>
          <w:lang w:val="sv-SE"/>
        </w:rPr>
        <w:t>ska</w:t>
      </w:r>
      <w:r w:rsidRPr="00A50800">
        <w:rPr>
          <w:lang w:val="sv-SE"/>
        </w:rPr>
        <w:t xml:space="preserve"> Teckningskursen omräknas till samma valuta </w:t>
      </w:r>
      <w:r w:rsidRPr="00EB7BAC">
        <w:rPr>
          <w:szCs w:val="22"/>
          <w:lang w:val="sv-SE"/>
        </w:rPr>
        <w:t>som</w:t>
      </w:r>
      <w:r w:rsidRPr="00A50800">
        <w:rPr>
          <w:lang w:val="sv-SE"/>
        </w:rPr>
        <w:t xml:space="preserve"> aktiekapitalet är bestämt i samt därvid avrundas till två decimaler. Sådan valutaomräkning </w:t>
      </w:r>
      <w:r>
        <w:rPr>
          <w:lang w:val="sv-SE"/>
        </w:rPr>
        <w:t>ska</w:t>
      </w:r>
      <w:r w:rsidRPr="00A50800">
        <w:rPr>
          <w:lang w:val="sv-SE"/>
        </w:rPr>
        <w:t xml:space="preserve"> ske med tillämpning av den växelkurs som använts för omräkning av aktiekapitalet vid valutabytet.</w:t>
      </w:r>
      <w:r w:rsidRPr="00A50800">
        <w:rPr>
          <w:lang w:val="sv-SE"/>
        </w:rPr>
        <w:br/>
      </w:r>
      <w:r w:rsidRPr="00437F01">
        <w:rPr>
          <w:i/>
        </w:rPr>
        <w:t xml:space="preserve">In the event the Company </w:t>
      </w:r>
      <w:r w:rsidRPr="00437F01">
        <w:rPr>
          <w:i/>
          <w:u w:val="single"/>
        </w:rPr>
        <w:t xml:space="preserve">carries out a change of the currency of its share capital </w:t>
      </w:r>
      <w:r w:rsidRPr="00437F01">
        <w:rPr>
          <w:i/>
        </w:rPr>
        <w:t>resulting in that the share capital of the Company shall be determined in a currency other than SEK, the Subscription Price shall be recalculated into the same currency as the currency of the share capital and be rounded off to two decimals. Such recalculation of the currency shall be made with application of the exchange rate which has been used when re-calculating the currency of the share capital.</w:t>
      </w:r>
    </w:p>
    <w:p w14:paraId="0A136405" w14:textId="77777777" w:rsidR="006350FE" w:rsidRPr="00437F01" w:rsidRDefault="006350FE" w:rsidP="006350FE">
      <w:pPr>
        <w:pStyle w:val="BodyText"/>
        <w:ind w:left="720"/>
      </w:pPr>
      <w:r w:rsidRPr="00EB7BAC">
        <w:rPr>
          <w:szCs w:val="22"/>
          <w:lang w:val="sv-SE"/>
        </w:rPr>
        <w:t>Enligt</w:t>
      </w:r>
      <w:r w:rsidRPr="00A50800">
        <w:rPr>
          <w:lang w:val="sv-SE"/>
        </w:rPr>
        <w:t xml:space="preserve"> ovan omräknad Teckningskurs fastställs av Bolaget och </w:t>
      </w:r>
      <w:r>
        <w:rPr>
          <w:lang w:val="sv-SE"/>
        </w:rPr>
        <w:t>ska</w:t>
      </w:r>
      <w:r w:rsidRPr="00A50800">
        <w:rPr>
          <w:lang w:val="sv-SE"/>
        </w:rPr>
        <w:t xml:space="preserve"> tillämpas vid Teckning som verkställs från och med den dag som bytet av aktiekapitalsvaluta får verkan.</w:t>
      </w:r>
      <w:r w:rsidRPr="00A50800">
        <w:rPr>
          <w:lang w:val="sv-SE"/>
        </w:rPr>
        <w:br/>
      </w:r>
      <w:r w:rsidRPr="00437F01">
        <w:rPr>
          <w:i/>
        </w:rPr>
        <w:t xml:space="preserve">The recalculated Subscription Price in accordance with above shall be determined by the </w:t>
      </w:r>
      <w:r w:rsidRPr="00437F01">
        <w:rPr>
          <w:i/>
        </w:rPr>
        <w:lastRenderedPageBreak/>
        <w:t>Company and shall be applied on Subscriptions which are effected as from the day the currency change of the share capital became effective.</w:t>
      </w:r>
    </w:p>
    <w:p w14:paraId="24F0CC04" w14:textId="77777777" w:rsidR="006350FE" w:rsidRPr="00A50800" w:rsidRDefault="006350FE" w:rsidP="007C4B62">
      <w:pPr>
        <w:pStyle w:val="BodyText"/>
        <w:numPr>
          <w:ilvl w:val="2"/>
          <w:numId w:val="57"/>
        </w:numPr>
        <w:spacing w:after="0"/>
        <w:rPr>
          <w:b/>
          <w:lang w:val="sv-SE"/>
        </w:rPr>
      </w:pPr>
      <w:r w:rsidRPr="00A50800">
        <w:rPr>
          <w:b/>
          <w:lang w:val="sv-SE"/>
        </w:rPr>
        <w:t>Skälig omräkning/</w:t>
      </w:r>
      <w:proofErr w:type="spellStart"/>
      <w:r w:rsidRPr="00A50800">
        <w:rPr>
          <w:b/>
          <w:i/>
          <w:lang w:val="sv-SE"/>
        </w:rPr>
        <w:t>Reasonable</w:t>
      </w:r>
      <w:proofErr w:type="spellEnd"/>
      <w:r w:rsidRPr="00A50800">
        <w:rPr>
          <w:b/>
          <w:i/>
          <w:lang w:val="sv-SE"/>
        </w:rPr>
        <w:t xml:space="preserve"> </w:t>
      </w:r>
      <w:proofErr w:type="spellStart"/>
      <w:r w:rsidRPr="00A50800">
        <w:rPr>
          <w:b/>
          <w:i/>
          <w:lang w:val="sv-SE"/>
        </w:rPr>
        <w:t>recalculation</w:t>
      </w:r>
      <w:proofErr w:type="spellEnd"/>
    </w:p>
    <w:p w14:paraId="44CF71C5" w14:textId="77777777" w:rsidR="006350FE" w:rsidRPr="00437F01" w:rsidRDefault="006350FE" w:rsidP="006350FE">
      <w:pPr>
        <w:pStyle w:val="BodyText"/>
        <w:ind w:left="720"/>
      </w:pPr>
      <w:r w:rsidRPr="00A50800">
        <w:rPr>
          <w:lang w:val="sv-SE"/>
        </w:rPr>
        <w:t xml:space="preserve">Genomför Bolaget åtgärd som avses i punkterna </w:t>
      </w:r>
      <w:r>
        <w:rPr>
          <w:szCs w:val="22"/>
        </w:rPr>
        <w:fldChar w:fldCharType="begin"/>
      </w:r>
      <w:r>
        <w:rPr>
          <w:lang w:val="sv-SE"/>
        </w:rPr>
        <w:instrText xml:space="preserve"> REF _Ref419826047 \r \h </w:instrText>
      </w:r>
      <w:r>
        <w:rPr>
          <w:szCs w:val="22"/>
        </w:rPr>
      </w:r>
      <w:r>
        <w:rPr>
          <w:szCs w:val="22"/>
        </w:rPr>
        <w:fldChar w:fldCharType="separate"/>
      </w:r>
      <w:r>
        <w:rPr>
          <w:lang w:val="sv-SE"/>
        </w:rPr>
        <w:t>8.2.2</w:t>
      </w:r>
      <w:r>
        <w:rPr>
          <w:szCs w:val="22"/>
        </w:rPr>
        <w:fldChar w:fldCharType="end"/>
      </w:r>
      <w:r w:rsidRPr="00A50800">
        <w:rPr>
          <w:lang w:val="sv-SE"/>
        </w:rPr>
        <w:t>–</w:t>
      </w:r>
      <w:r>
        <w:rPr>
          <w:szCs w:val="22"/>
        </w:rPr>
        <w:fldChar w:fldCharType="begin"/>
      </w:r>
      <w:r>
        <w:rPr>
          <w:szCs w:val="22"/>
          <w:lang w:val="sv-SE"/>
        </w:rPr>
        <w:instrText xml:space="preserve"> REF _Ref445997940 \r \h </w:instrText>
      </w:r>
      <w:r>
        <w:rPr>
          <w:szCs w:val="22"/>
        </w:rPr>
      </w:r>
      <w:r>
        <w:rPr>
          <w:szCs w:val="22"/>
        </w:rPr>
        <w:fldChar w:fldCharType="separate"/>
      </w:r>
      <w:r>
        <w:rPr>
          <w:szCs w:val="22"/>
          <w:lang w:val="sv-SE"/>
        </w:rPr>
        <w:t>8.2.6</w:t>
      </w:r>
      <w:r>
        <w:rPr>
          <w:szCs w:val="22"/>
        </w:rPr>
        <w:fldChar w:fldCharType="end"/>
      </w:r>
      <w:r w:rsidRPr="00A50800">
        <w:rPr>
          <w:lang w:val="sv-SE"/>
        </w:rPr>
        <w:t xml:space="preserve"> eller punkterna </w:t>
      </w:r>
      <w:r>
        <w:rPr>
          <w:szCs w:val="22"/>
        </w:rPr>
        <w:fldChar w:fldCharType="begin"/>
      </w:r>
      <w:r>
        <w:rPr>
          <w:lang w:val="sv-SE"/>
        </w:rPr>
        <w:instrText xml:space="preserve"> REF _Ref445999030 \r \h </w:instrText>
      </w:r>
      <w:r>
        <w:rPr>
          <w:szCs w:val="22"/>
        </w:rPr>
      </w:r>
      <w:r>
        <w:rPr>
          <w:szCs w:val="22"/>
        </w:rPr>
        <w:fldChar w:fldCharType="separate"/>
      </w:r>
      <w:r>
        <w:rPr>
          <w:lang w:val="sv-SE"/>
        </w:rPr>
        <w:t>8.2.8</w:t>
      </w:r>
      <w:r>
        <w:rPr>
          <w:szCs w:val="22"/>
        </w:rPr>
        <w:fldChar w:fldCharType="end"/>
      </w:r>
      <w:r w:rsidRPr="00A50800">
        <w:rPr>
          <w:lang w:val="sv-SE"/>
        </w:rPr>
        <w:t>–</w:t>
      </w:r>
      <w:r>
        <w:rPr>
          <w:szCs w:val="22"/>
        </w:rPr>
        <w:fldChar w:fldCharType="begin"/>
      </w:r>
      <w:r>
        <w:rPr>
          <w:szCs w:val="22"/>
          <w:lang w:val="sv-SE"/>
        </w:rPr>
        <w:instrText xml:space="preserve"> REF _Ref445999037 \r \h </w:instrText>
      </w:r>
      <w:r>
        <w:rPr>
          <w:szCs w:val="22"/>
        </w:rPr>
      </w:r>
      <w:r>
        <w:rPr>
          <w:szCs w:val="22"/>
        </w:rPr>
        <w:fldChar w:fldCharType="separate"/>
      </w:r>
      <w:r>
        <w:rPr>
          <w:szCs w:val="22"/>
          <w:lang w:val="sv-SE"/>
        </w:rPr>
        <w:t>8.2.11</w:t>
      </w:r>
      <w:r>
        <w:rPr>
          <w:szCs w:val="22"/>
        </w:rPr>
        <w:fldChar w:fldCharType="end"/>
      </w:r>
      <w:r w:rsidRPr="00A50800">
        <w:rPr>
          <w:lang w:val="sv-SE"/>
        </w:rPr>
        <w:t xml:space="preserve"> ovan eller annan liknande åtgärd med liknande effekt och skulle, enligt Bolagets bedömning, </w:t>
      </w:r>
      <w:r w:rsidRPr="00EB7BAC">
        <w:rPr>
          <w:szCs w:val="22"/>
          <w:lang w:val="sv-SE"/>
        </w:rPr>
        <w:t>tillämpning</w:t>
      </w:r>
      <w:r w:rsidRPr="00A50800">
        <w:rPr>
          <w:lang w:val="sv-SE"/>
        </w:rPr>
        <w:t xml:space="preserve"> av härför avsedd omräkningsformel, med hänsyn till åtgärdens tekniska utformning eller av annat skäl, ej kunna ske eller leda till att den ekonomiska kompensation som </w:t>
      </w:r>
      <w:r>
        <w:rPr>
          <w:lang w:val="sv-SE"/>
        </w:rPr>
        <w:t>Optionsinnehavarna</w:t>
      </w:r>
      <w:r w:rsidRPr="00A50800">
        <w:rPr>
          <w:lang w:val="sv-SE"/>
        </w:rPr>
        <w:t xml:space="preserve"> erhåller i förhållande till aktieägarna inte är skälig, </w:t>
      </w:r>
      <w:r>
        <w:rPr>
          <w:lang w:val="sv-SE"/>
        </w:rPr>
        <w:t>ska</w:t>
      </w:r>
      <w:r w:rsidRPr="00A50800">
        <w:rPr>
          <w:lang w:val="sv-SE"/>
        </w:rPr>
        <w:t xml:space="preserve"> Bolaget genomföra omräkningarna av Teckningskursen och av antalet Aktier som varje Teckningsoption berättigar till Teckning av i syfte att omräkningarna leder till ett skäligt resultat.</w:t>
      </w:r>
      <w:r w:rsidRPr="00A50800">
        <w:rPr>
          <w:lang w:val="sv-SE"/>
        </w:rPr>
        <w:br/>
      </w:r>
      <w:r w:rsidRPr="00437F01">
        <w:rPr>
          <w:i/>
        </w:rPr>
        <w:t xml:space="preserve">In the event that the Company carries out measures set forth in sections </w:t>
      </w:r>
      <w:r>
        <w:rPr>
          <w:i/>
          <w:szCs w:val="22"/>
        </w:rPr>
        <w:fldChar w:fldCharType="begin"/>
      </w:r>
      <w:r>
        <w:rPr>
          <w:i/>
        </w:rPr>
        <w:instrText xml:space="preserve"> REF _Ref419826047 \r \h </w:instrText>
      </w:r>
      <w:r>
        <w:rPr>
          <w:i/>
          <w:szCs w:val="22"/>
        </w:rPr>
      </w:r>
      <w:r>
        <w:rPr>
          <w:i/>
          <w:szCs w:val="22"/>
        </w:rPr>
        <w:fldChar w:fldCharType="separate"/>
      </w:r>
      <w:r>
        <w:rPr>
          <w:i/>
        </w:rPr>
        <w:t>8.2.2</w:t>
      </w:r>
      <w:r>
        <w:rPr>
          <w:i/>
          <w:szCs w:val="22"/>
        </w:rPr>
        <w:fldChar w:fldCharType="end"/>
      </w:r>
      <w:r w:rsidRPr="00437F01">
        <w:rPr>
          <w:i/>
        </w:rPr>
        <w:t>–</w:t>
      </w:r>
      <w:r>
        <w:rPr>
          <w:i/>
          <w:szCs w:val="22"/>
        </w:rPr>
        <w:fldChar w:fldCharType="begin"/>
      </w:r>
      <w:r>
        <w:rPr>
          <w:i/>
          <w:szCs w:val="22"/>
        </w:rPr>
        <w:instrText xml:space="preserve"> REF _Ref445997940 \r \h </w:instrText>
      </w:r>
      <w:r>
        <w:rPr>
          <w:i/>
          <w:szCs w:val="22"/>
        </w:rPr>
      </w:r>
      <w:r>
        <w:rPr>
          <w:i/>
          <w:szCs w:val="22"/>
        </w:rPr>
        <w:fldChar w:fldCharType="separate"/>
      </w:r>
      <w:r>
        <w:rPr>
          <w:i/>
          <w:szCs w:val="22"/>
        </w:rPr>
        <w:t>8.2.6</w:t>
      </w:r>
      <w:r>
        <w:rPr>
          <w:i/>
          <w:szCs w:val="22"/>
        </w:rPr>
        <w:fldChar w:fldCharType="end"/>
      </w:r>
      <w:r w:rsidRPr="00437F01">
        <w:rPr>
          <w:i/>
        </w:rPr>
        <w:t xml:space="preserve"> or sections </w:t>
      </w:r>
      <w:r>
        <w:rPr>
          <w:i/>
          <w:szCs w:val="22"/>
        </w:rPr>
        <w:fldChar w:fldCharType="begin"/>
      </w:r>
      <w:r>
        <w:rPr>
          <w:i/>
        </w:rPr>
        <w:instrText xml:space="preserve"> REF _Ref445999030 \r \h </w:instrText>
      </w:r>
      <w:r>
        <w:rPr>
          <w:i/>
          <w:szCs w:val="22"/>
        </w:rPr>
      </w:r>
      <w:r>
        <w:rPr>
          <w:i/>
          <w:szCs w:val="22"/>
        </w:rPr>
        <w:fldChar w:fldCharType="separate"/>
      </w:r>
      <w:r>
        <w:rPr>
          <w:i/>
        </w:rPr>
        <w:t>8.2.8</w:t>
      </w:r>
      <w:r>
        <w:rPr>
          <w:i/>
          <w:szCs w:val="22"/>
        </w:rPr>
        <w:fldChar w:fldCharType="end"/>
      </w:r>
      <w:r w:rsidRPr="00437F01">
        <w:rPr>
          <w:i/>
        </w:rPr>
        <w:t>–</w:t>
      </w:r>
      <w:r>
        <w:rPr>
          <w:i/>
          <w:szCs w:val="22"/>
        </w:rPr>
        <w:fldChar w:fldCharType="begin"/>
      </w:r>
      <w:r>
        <w:rPr>
          <w:i/>
          <w:szCs w:val="22"/>
        </w:rPr>
        <w:instrText xml:space="preserve"> REF _Ref445999037 \r \h </w:instrText>
      </w:r>
      <w:r>
        <w:rPr>
          <w:i/>
          <w:szCs w:val="22"/>
        </w:rPr>
      </w:r>
      <w:r>
        <w:rPr>
          <w:i/>
          <w:szCs w:val="22"/>
        </w:rPr>
        <w:fldChar w:fldCharType="separate"/>
      </w:r>
      <w:r>
        <w:rPr>
          <w:i/>
          <w:szCs w:val="22"/>
        </w:rPr>
        <w:t>8.2.11</w:t>
      </w:r>
      <w:r>
        <w:rPr>
          <w:i/>
          <w:szCs w:val="22"/>
        </w:rPr>
        <w:fldChar w:fldCharType="end"/>
      </w:r>
      <w:r w:rsidRPr="00437F01">
        <w:rPr>
          <w:i/>
        </w:rPr>
        <w:t xml:space="preserve"> above or other similar measure with similar effect and, if, according to the Company's opinion, the application of the intended recalculation formula with regard to the technical structure or for another reason, may not be possible or result that the economic compensation the </w:t>
      </w:r>
      <w:r>
        <w:rPr>
          <w:i/>
        </w:rPr>
        <w:t>Warrant Holder</w:t>
      </w:r>
      <w:r w:rsidRPr="00437F01">
        <w:rPr>
          <w:i/>
        </w:rPr>
        <w:t>s shall receive becoming unreasonable in relation to that of the shareholders, the Company shall make the recalculation of the Subscription Price as well as the number of Shares that each Warrant entitles to Subscribe for, for the purpose of the recalculation leading to a reasonable result.</w:t>
      </w:r>
    </w:p>
    <w:p w14:paraId="654C74DF" w14:textId="77777777" w:rsidR="006350FE" w:rsidRPr="00A50800" w:rsidRDefault="006350FE" w:rsidP="007C4B62">
      <w:pPr>
        <w:pStyle w:val="BodyText"/>
        <w:numPr>
          <w:ilvl w:val="2"/>
          <w:numId w:val="57"/>
        </w:numPr>
        <w:spacing w:after="0"/>
        <w:rPr>
          <w:b/>
          <w:lang w:val="sv-SE"/>
        </w:rPr>
      </w:pPr>
      <w:r w:rsidRPr="00A50800">
        <w:rPr>
          <w:b/>
          <w:lang w:val="sv-SE"/>
        </w:rPr>
        <w:t>Avrundning/</w:t>
      </w:r>
      <w:proofErr w:type="spellStart"/>
      <w:r w:rsidRPr="00A50800">
        <w:rPr>
          <w:b/>
          <w:i/>
          <w:lang w:val="sv-SE"/>
        </w:rPr>
        <w:t>Rounding</w:t>
      </w:r>
      <w:proofErr w:type="spellEnd"/>
    </w:p>
    <w:p w14:paraId="412C74D7" w14:textId="77777777" w:rsidR="006350FE" w:rsidRPr="00437F01" w:rsidRDefault="006350FE" w:rsidP="006350FE">
      <w:pPr>
        <w:pStyle w:val="BodyText"/>
        <w:ind w:left="720"/>
      </w:pPr>
      <w:r w:rsidRPr="00EB7BAC">
        <w:rPr>
          <w:szCs w:val="22"/>
          <w:lang w:val="sv-SE"/>
        </w:rPr>
        <w:t>Vid</w:t>
      </w:r>
      <w:r w:rsidRPr="00A50800">
        <w:rPr>
          <w:lang w:val="sv-SE"/>
        </w:rPr>
        <w:t xml:space="preserve"> omräkning enligt ovan </w:t>
      </w:r>
      <w:r>
        <w:rPr>
          <w:lang w:val="sv-SE"/>
        </w:rPr>
        <w:t>ska</w:t>
      </w:r>
      <w:r w:rsidRPr="00A50800">
        <w:rPr>
          <w:lang w:val="sv-SE"/>
        </w:rPr>
        <w:t xml:space="preserve"> Teckningskursen avrundas till helt tiotal öre, varvid fem öre </w:t>
      </w:r>
      <w:r>
        <w:rPr>
          <w:lang w:val="sv-SE"/>
        </w:rPr>
        <w:t>ska</w:t>
      </w:r>
      <w:r w:rsidRPr="00A50800">
        <w:rPr>
          <w:lang w:val="sv-SE"/>
        </w:rPr>
        <w:t xml:space="preserve"> avrundas uppåt, och antalet Aktier avrundas till två decimaler. Endast hela Aktier kan tecknas. För det fall Teckningskursen är bestämd i annan valuta än svenska kronor </w:t>
      </w:r>
      <w:r>
        <w:rPr>
          <w:lang w:val="sv-SE"/>
        </w:rPr>
        <w:t>ska</w:t>
      </w:r>
      <w:r w:rsidRPr="00A50800">
        <w:rPr>
          <w:lang w:val="sv-SE"/>
        </w:rPr>
        <w:t xml:space="preserve">, vid omräkningar enligt ovan, Teckningskursen </w:t>
      </w:r>
      <w:proofErr w:type="gramStart"/>
      <w:r w:rsidRPr="00A50800">
        <w:rPr>
          <w:lang w:val="sv-SE"/>
        </w:rPr>
        <w:t>istället</w:t>
      </w:r>
      <w:proofErr w:type="gramEnd"/>
      <w:r w:rsidRPr="00A50800">
        <w:rPr>
          <w:lang w:val="sv-SE"/>
        </w:rPr>
        <w:t xml:space="preserve"> avrundas till två decimaler.</w:t>
      </w:r>
      <w:r w:rsidRPr="00A50800">
        <w:rPr>
          <w:lang w:val="sv-SE"/>
        </w:rPr>
        <w:br/>
      </w:r>
      <w:r w:rsidRPr="00437F01">
        <w:rPr>
          <w:i/>
        </w:rPr>
        <w:t xml:space="preserve">In conjunction with recalculations in accordance with the above, the Subscription Price shall be rounded to the nearest SEK 0.10, whereupon SEK 0.05 shall be rounded upwards and the number of Shares rounded off to two decimals. Only whole Shares may be Subscribed for. </w:t>
      </w:r>
      <w:proofErr w:type="gramStart"/>
      <w:r w:rsidRPr="00437F01">
        <w:rPr>
          <w:i/>
        </w:rPr>
        <w:t>In the event that</w:t>
      </w:r>
      <w:proofErr w:type="gramEnd"/>
      <w:r w:rsidRPr="00437F01">
        <w:rPr>
          <w:i/>
        </w:rPr>
        <w:t xml:space="preserve"> the Subscription Price is determined in another currency than SEK, the Subscription Price shall, upon recalculation in accordance with the above, be rounded off to two decimals.</w:t>
      </w:r>
    </w:p>
    <w:p w14:paraId="618B302C" w14:textId="77777777" w:rsidR="006350FE" w:rsidRPr="00A50800" w:rsidRDefault="006350FE" w:rsidP="007C4B62">
      <w:pPr>
        <w:pStyle w:val="BodyText"/>
        <w:numPr>
          <w:ilvl w:val="2"/>
          <w:numId w:val="57"/>
        </w:numPr>
        <w:spacing w:after="0"/>
        <w:rPr>
          <w:b/>
          <w:lang w:val="sv-SE"/>
        </w:rPr>
      </w:pPr>
      <w:r w:rsidRPr="00A50800">
        <w:rPr>
          <w:b/>
          <w:lang w:val="sv-SE"/>
        </w:rPr>
        <w:t>Likvidation/</w:t>
      </w:r>
      <w:proofErr w:type="spellStart"/>
      <w:r w:rsidRPr="00A50800">
        <w:rPr>
          <w:b/>
          <w:i/>
          <w:lang w:val="sv-SE"/>
        </w:rPr>
        <w:t>Liquidation</w:t>
      </w:r>
      <w:proofErr w:type="spellEnd"/>
    </w:p>
    <w:p w14:paraId="33C4008C" w14:textId="77777777" w:rsidR="006350FE" w:rsidRPr="00437F01" w:rsidRDefault="006350FE" w:rsidP="006350FE">
      <w:pPr>
        <w:pStyle w:val="BodyText"/>
        <w:ind w:left="720"/>
      </w:pPr>
      <w:r w:rsidRPr="00EB7BAC">
        <w:rPr>
          <w:szCs w:val="22"/>
          <w:lang w:val="sv-SE"/>
        </w:rPr>
        <w:t>Beslutas</w:t>
      </w:r>
      <w:r w:rsidRPr="00A50800">
        <w:rPr>
          <w:lang w:val="sv-SE"/>
        </w:rPr>
        <w:t xml:space="preserve"> att Bolaget </w:t>
      </w:r>
      <w:r>
        <w:rPr>
          <w:lang w:val="sv-SE"/>
        </w:rPr>
        <w:t>ska</w:t>
      </w:r>
      <w:r w:rsidRPr="00A50800">
        <w:rPr>
          <w:lang w:val="sv-SE"/>
        </w:rPr>
        <w:t xml:space="preserve"> träda i likvidation enligt 25 kap. </w:t>
      </w:r>
      <w:r>
        <w:rPr>
          <w:lang w:val="sv-SE"/>
        </w:rPr>
        <w:t>A</w:t>
      </w:r>
      <w:r w:rsidRPr="00A50800">
        <w:rPr>
          <w:lang w:val="sv-SE"/>
        </w:rPr>
        <w:t>ktiebolagslagen får, oavsett likvidationsgrunden, anmälan om Teckning ej därefter ske. Rätten att göra anmälan om Teckning upphör i och med bolagsstämmans likvidationsbeslut, oavsett sålunda att detta ej må ha vunnit laga kraft.</w:t>
      </w:r>
      <w:r w:rsidRPr="00A50800">
        <w:rPr>
          <w:lang w:val="sv-SE"/>
        </w:rPr>
        <w:br/>
      </w:r>
      <w:r w:rsidRPr="00437F01">
        <w:rPr>
          <w:i/>
        </w:rPr>
        <w:t xml:space="preserve">In the event it is resolved that the Company shall enter into liquidation according to Ch. 25 of the </w:t>
      </w:r>
      <w:r>
        <w:rPr>
          <w:i/>
        </w:rPr>
        <w:t xml:space="preserve">Swedish </w:t>
      </w:r>
      <w:r w:rsidRPr="00437F01">
        <w:rPr>
          <w:i/>
        </w:rPr>
        <w:t xml:space="preserve">Companies Act, notice for Subscription may not thereafter be made, regardless of the reasons for liquidation. The right to make notice for Subscription shall terminate upon the resolution to place the Company in liquidation regardless of whether such resolution has </w:t>
      </w:r>
      <w:proofErr w:type="gramStart"/>
      <w:r w:rsidRPr="00437F01">
        <w:rPr>
          <w:i/>
        </w:rPr>
        <w:t>entered into</w:t>
      </w:r>
      <w:proofErr w:type="gramEnd"/>
      <w:r w:rsidRPr="00437F01">
        <w:rPr>
          <w:i/>
        </w:rPr>
        <w:t xml:space="preserve"> effect.</w:t>
      </w:r>
    </w:p>
    <w:p w14:paraId="0155B84E" w14:textId="77777777" w:rsidR="006350FE" w:rsidRPr="00437F01" w:rsidRDefault="006350FE" w:rsidP="006350FE">
      <w:pPr>
        <w:pStyle w:val="BodyText"/>
        <w:ind w:left="720"/>
      </w:pPr>
      <w:r w:rsidRPr="00EB7BAC">
        <w:rPr>
          <w:szCs w:val="22"/>
          <w:lang w:val="sv-SE"/>
        </w:rPr>
        <w:t>Senast</w:t>
      </w:r>
      <w:r w:rsidRPr="00A50800">
        <w:rPr>
          <w:lang w:val="sv-SE"/>
        </w:rPr>
        <w:t xml:space="preserve"> två månader innan bolagsstämman tar ställning till fråga om Bolaget </w:t>
      </w:r>
      <w:r>
        <w:rPr>
          <w:lang w:val="sv-SE"/>
        </w:rPr>
        <w:t>ska</w:t>
      </w:r>
      <w:r w:rsidRPr="00A50800">
        <w:rPr>
          <w:lang w:val="sv-SE"/>
        </w:rPr>
        <w:t xml:space="preserve"> träda i frivillig likvidation enligt 25 kap. 1 § </w:t>
      </w:r>
      <w:r>
        <w:rPr>
          <w:lang w:val="sv-SE"/>
        </w:rPr>
        <w:t>A</w:t>
      </w:r>
      <w:r w:rsidRPr="00A50800">
        <w:rPr>
          <w:lang w:val="sv-SE"/>
        </w:rPr>
        <w:t xml:space="preserve">ktiebolagslagen, </w:t>
      </w:r>
      <w:r>
        <w:rPr>
          <w:lang w:val="sv-SE"/>
        </w:rPr>
        <w:t>ska</w:t>
      </w:r>
      <w:r w:rsidRPr="00A50800">
        <w:rPr>
          <w:lang w:val="sv-SE"/>
        </w:rPr>
        <w:t xml:space="preserve"> </w:t>
      </w:r>
      <w:r>
        <w:rPr>
          <w:lang w:val="sv-SE"/>
        </w:rPr>
        <w:t>Optionsinnehavarna</w:t>
      </w:r>
      <w:r w:rsidRPr="00A50800">
        <w:rPr>
          <w:lang w:val="sv-SE"/>
        </w:rPr>
        <w:t xml:space="preserve"> genom meddelande enligt punkt </w:t>
      </w:r>
      <w:r w:rsidRPr="00437F01">
        <w:fldChar w:fldCharType="begin"/>
      </w:r>
      <w:r w:rsidRPr="00A50800">
        <w:rPr>
          <w:lang w:val="sv-SE"/>
        </w:rPr>
        <w:instrText xml:space="preserve"> REF _Ref145593081 \r \h </w:instrText>
      </w:r>
      <w:r w:rsidRPr="00437F01">
        <w:fldChar w:fldCharType="separate"/>
      </w:r>
      <w:r w:rsidRPr="00A50800">
        <w:rPr>
          <w:lang w:val="sv-SE"/>
        </w:rPr>
        <w:t>11</w:t>
      </w:r>
      <w:r w:rsidRPr="00437F01">
        <w:fldChar w:fldCharType="end"/>
      </w:r>
      <w:r w:rsidRPr="00A50800">
        <w:rPr>
          <w:lang w:val="sv-SE"/>
        </w:rPr>
        <w:t xml:space="preserve"> nedan underrättas om den avsedda likvidationen. I meddelandet </w:t>
      </w:r>
      <w:r>
        <w:rPr>
          <w:lang w:val="sv-SE"/>
        </w:rPr>
        <w:t>ska</w:t>
      </w:r>
      <w:r w:rsidRPr="00A50800">
        <w:rPr>
          <w:lang w:val="sv-SE"/>
        </w:rPr>
        <w:t xml:space="preserve"> intagas en erinran om att anmälan om Teckning ej får ske, sedan bolagsstämman fattat beslut om likvidation.</w:t>
      </w:r>
      <w:r w:rsidRPr="00A50800">
        <w:rPr>
          <w:lang w:val="sv-SE"/>
        </w:rPr>
        <w:br/>
      </w:r>
      <w:r w:rsidRPr="00437F01">
        <w:rPr>
          <w:i/>
        </w:rPr>
        <w:t>No later than two months prior to the determination by the shareholders' meeting as to whether the Company shall be placed into voluntary liquidation according to Ch. 25</w:t>
      </w:r>
      <w:r>
        <w:rPr>
          <w:i/>
        </w:rPr>
        <w:t xml:space="preserve"> § </w:t>
      </w:r>
      <w:r w:rsidRPr="00437F01">
        <w:rPr>
          <w:i/>
        </w:rPr>
        <w:t xml:space="preserve">1 of the </w:t>
      </w:r>
      <w:r>
        <w:rPr>
          <w:i/>
        </w:rPr>
        <w:t xml:space="preserve">Swedish </w:t>
      </w:r>
      <w:r w:rsidRPr="00437F01">
        <w:rPr>
          <w:i/>
        </w:rPr>
        <w:t xml:space="preserve">Companies Act, notice shall be given to the </w:t>
      </w:r>
      <w:r>
        <w:rPr>
          <w:i/>
        </w:rPr>
        <w:t>Warrant Holder</w:t>
      </w:r>
      <w:r w:rsidRPr="00437F01">
        <w:rPr>
          <w:i/>
        </w:rPr>
        <w:t xml:space="preserve">s in accordance with section </w:t>
      </w:r>
      <w:r w:rsidRPr="00437F01">
        <w:rPr>
          <w:i/>
        </w:rPr>
        <w:fldChar w:fldCharType="begin"/>
      </w:r>
      <w:r w:rsidRPr="00437F01">
        <w:rPr>
          <w:i/>
        </w:rPr>
        <w:instrText xml:space="preserve"> REF _Ref145593081 \r \h </w:instrText>
      </w:r>
      <w:r w:rsidRPr="00437F01">
        <w:rPr>
          <w:i/>
        </w:rPr>
      </w:r>
      <w:r w:rsidRPr="00437F01">
        <w:rPr>
          <w:i/>
        </w:rPr>
        <w:fldChar w:fldCharType="separate"/>
      </w:r>
      <w:r w:rsidRPr="00437F01">
        <w:rPr>
          <w:i/>
        </w:rPr>
        <w:t>11</w:t>
      </w:r>
      <w:r w:rsidRPr="00437F01">
        <w:rPr>
          <w:i/>
        </w:rPr>
        <w:fldChar w:fldCharType="end"/>
      </w:r>
      <w:r w:rsidRPr="00437F01">
        <w:rPr>
          <w:i/>
        </w:rPr>
        <w:t xml:space="preserve"> below in respect of the intended liquidation. The notice shall state that notice of </w:t>
      </w:r>
      <w:r w:rsidRPr="00437F01">
        <w:rPr>
          <w:i/>
        </w:rPr>
        <w:lastRenderedPageBreak/>
        <w:t>Subscription may not be made following the adoption of a resolution by the shareholders' meeting to place the Company in liquidation.</w:t>
      </w:r>
    </w:p>
    <w:p w14:paraId="508C39B7" w14:textId="77777777" w:rsidR="006350FE" w:rsidRPr="00437F01" w:rsidRDefault="006350FE" w:rsidP="006350FE">
      <w:pPr>
        <w:pStyle w:val="BodyText"/>
        <w:ind w:left="720"/>
      </w:pPr>
      <w:r w:rsidRPr="00EB7BAC">
        <w:rPr>
          <w:szCs w:val="22"/>
          <w:lang w:val="sv-SE"/>
        </w:rPr>
        <w:t>Skulle</w:t>
      </w:r>
      <w:r w:rsidRPr="00A50800">
        <w:rPr>
          <w:lang w:val="sv-SE"/>
        </w:rPr>
        <w:t xml:space="preserve"> Bolaget lämna meddelande om avsedd likvidation enligt ovan, </w:t>
      </w:r>
      <w:r>
        <w:rPr>
          <w:lang w:val="sv-SE"/>
        </w:rPr>
        <w:t>ska</w:t>
      </w:r>
      <w:r w:rsidRPr="00A50800">
        <w:rPr>
          <w:lang w:val="sv-SE"/>
        </w:rPr>
        <w:t xml:space="preserve"> </w:t>
      </w:r>
      <w:r>
        <w:rPr>
          <w:lang w:val="sv-SE"/>
        </w:rPr>
        <w:t>Optionsinnehavare</w:t>
      </w:r>
      <w:r w:rsidRPr="00A50800">
        <w:rPr>
          <w:lang w:val="sv-SE"/>
        </w:rPr>
        <w:t xml:space="preserve"> – oavsett vad som i punkt </w:t>
      </w:r>
      <w:r>
        <w:rPr>
          <w:lang w:val="sv-SE"/>
        </w:rPr>
        <w:fldChar w:fldCharType="begin"/>
      </w:r>
      <w:r>
        <w:rPr>
          <w:lang w:val="sv-SE"/>
        </w:rPr>
        <w:instrText xml:space="preserve"> REF _Ref167350058 \r \h </w:instrText>
      </w:r>
      <w:r>
        <w:rPr>
          <w:lang w:val="sv-SE"/>
        </w:rPr>
      </w:r>
      <w:r>
        <w:rPr>
          <w:lang w:val="sv-SE"/>
        </w:rPr>
        <w:fldChar w:fldCharType="separate"/>
      </w:r>
      <w:r>
        <w:rPr>
          <w:lang w:val="sv-SE"/>
        </w:rPr>
        <w:t>4</w:t>
      </w:r>
      <w:r>
        <w:rPr>
          <w:lang w:val="sv-SE"/>
        </w:rPr>
        <w:fldChar w:fldCharType="end"/>
      </w:r>
      <w:r w:rsidRPr="00A50800">
        <w:rPr>
          <w:lang w:val="sv-SE"/>
        </w:rPr>
        <w:t xml:space="preserve"> ovan sägs om tidigaste tidpunkt för anmälan om Teckning – äga rätt att göra anmälan om Teckning från den dag då meddelandet lämnats, förutsatt att Teckning kan verkställas senast på tionde kalenderdagen före den bolagsstämma vid vilken frågan om Bolagets likvidation </w:t>
      </w:r>
      <w:r>
        <w:rPr>
          <w:lang w:val="sv-SE"/>
        </w:rPr>
        <w:t>ska</w:t>
      </w:r>
      <w:r w:rsidRPr="00A50800">
        <w:rPr>
          <w:lang w:val="sv-SE"/>
        </w:rPr>
        <w:t xml:space="preserve"> behandlas.</w:t>
      </w:r>
      <w:r w:rsidRPr="00A50800">
        <w:rPr>
          <w:lang w:val="sv-SE"/>
        </w:rPr>
        <w:br/>
      </w:r>
      <w:r w:rsidRPr="00437F01">
        <w:rPr>
          <w:i/>
        </w:rPr>
        <w:t xml:space="preserve">In the event the Company gives notice of an intended liquidation in accordance with the above, each </w:t>
      </w:r>
      <w:r>
        <w:rPr>
          <w:i/>
        </w:rPr>
        <w:t>Warrant Holder</w:t>
      </w:r>
      <w:r w:rsidRPr="00437F01">
        <w:rPr>
          <w:i/>
        </w:rPr>
        <w:t xml:space="preserve"> – irrespective of what is set forth in section </w:t>
      </w:r>
      <w:r>
        <w:rPr>
          <w:i/>
        </w:rPr>
        <w:fldChar w:fldCharType="begin"/>
      </w:r>
      <w:r>
        <w:rPr>
          <w:i/>
        </w:rPr>
        <w:instrText xml:space="preserve"> REF _Ref167350058 \r \h </w:instrText>
      </w:r>
      <w:r>
        <w:rPr>
          <w:i/>
        </w:rPr>
      </w:r>
      <w:r>
        <w:rPr>
          <w:i/>
        </w:rPr>
        <w:fldChar w:fldCharType="separate"/>
      </w:r>
      <w:r>
        <w:rPr>
          <w:i/>
        </w:rPr>
        <w:t>4</w:t>
      </w:r>
      <w:r>
        <w:rPr>
          <w:i/>
        </w:rPr>
        <w:fldChar w:fldCharType="end"/>
      </w:r>
      <w:r w:rsidRPr="00437F01">
        <w:rPr>
          <w:i/>
        </w:rPr>
        <w:t xml:space="preserve"> regarding the earliest time at which notice for Subscriptions may be made – shall be entitled to make a notice for Subscription from the day on which the notice is given, provided it is possible to effect Subscription not later than the tenth calendar day prior to the shareholders' meeting at which the issue of the Company's liquidation shall be addressed.</w:t>
      </w:r>
    </w:p>
    <w:p w14:paraId="2E8EEFDC" w14:textId="77777777" w:rsidR="006350FE" w:rsidRPr="00A50800" w:rsidRDefault="006350FE" w:rsidP="007C4B62">
      <w:pPr>
        <w:pStyle w:val="BodyText"/>
        <w:numPr>
          <w:ilvl w:val="2"/>
          <w:numId w:val="57"/>
        </w:numPr>
        <w:spacing w:after="0"/>
        <w:rPr>
          <w:rFonts w:eastAsia="Times New Roman"/>
          <w:lang w:val="sv-SE"/>
        </w:rPr>
      </w:pPr>
      <w:r w:rsidRPr="00F00BEF">
        <w:rPr>
          <w:b/>
          <w:lang w:val="sv-SE"/>
        </w:rPr>
        <w:t>Fusion</w:t>
      </w:r>
      <w:r w:rsidRPr="00A50800">
        <w:rPr>
          <w:rStyle w:val="Heading3Char"/>
          <w:b/>
          <w:lang w:val="sv-SE"/>
        </w:rPr>
        <w:t xml:space="preserve"> och delning/</w:t>
      </w:r>
      <w:r w:rsidRPr="00A50800">
        <w:rPr>
          <w:rStyle w:val="Heading3Char"/>
          <w:b/>
          <w:i/>
          <w:lang w:val="sv-SE"/>
        </w:rPr>
        <w:t>Merger and de-</w:t>
      </w:r>
      <w:proofErr w:type="spellStart"/>
      <w:r w:rsidRPr="00A50800">
        <w:rPr>
          <w:rStyle w:val="Heading3Char"/>
          <w:b/>
          <w:i/>
          <w:lang w:val="sv-SE"/>
        </w:rPr>
        <w:t>merger</w:t>
      </w:r>
      <w:proofErr w:type="spellEnd"/>
    </w:p>
    <w:p w14:paraId="3C9489B6" w14:textId="77777777" w:rsidR="006350FE" w:rsidRPr="00437F01" w:rsidRDefault="006350FE" w:rsidP="006350FE">
      <w:pPr>
        <w:pStyle w:val="BodyText"/>
        <w:ind w:left="720"/>
      </w:pPr>
      <w:r w:rsidRPr="00EB7BAC">
        <w:rPr>
          <w:szCs w:val="22"/>
          <w:lang w:val="sv-SE"/>
        </w:rPr>
        <w:t>Skulle</w:t>
      </w:r>
      <w:r w:rsidRPr="00A50800">
        <w:rPr>
          <w:lang w:val="sv-SE"/>
        </w:rPr>
        <w:t xml:space="preserve"> bolagsstämman, enligt </w:t>
      </w:r>
      <w:r w:rsidRPr="006B6AC0">
        <w:rPr>
          <w:u w:val="single"/>
          <w:lang w:val="sv-SE"/>
        </w:rPr>
        <w:t>23 kap. 15 § Aktiebolagslagen, godkänna fusionsplan</w:t>
      </w:r>
      <w:r w:rsidRPr="00A50800">
        <w:rPr>
          <w:lang w:val="sv-SE"/>
        </w:rPr>
        <w:t xml:space="preserve"> varigenom Bolaget </w:t>
      </w:r>
      <w:r>
        <w:rPr>
          <w:lang w:val="sv-SE"/>
        </w:rPr>
        <w:t>ska</w:t>
      </w:r>
      <w:r w:rsidRPr="00A50800">
        <w:rPr>
          <w:lang w:val="sv-SE"/>
        </w:rPr>
        <w:t xml:space="preserve"> uppgå i annat bolag, eller om bolagsstämman, enligt </w:t>
      </w:r>
      <w:r w:rsidRPr="006B6AC0">
        <w:rPr>
          <w:u w:val="single"/>
          <w:lang w:val="sv-SE"/>
        </w:rPr>
        <w:t>24 kap. 17 § Aktiebolagslagen, skulle godkänna delningsplan</w:t>
      </w:r>
      <w:r w:rsidRPr="00A50800">
        <w:rPr>
          <w:lang w:val="sv-SE"/>
        </w:rPr>
        <w:t xml:space="preserve"> varigenom Bolaget </w:t>
      </w:r>
      <w:r>
        <w:rPr>
          <w:lang w:val="sv-SE"/>
        </w:rPr>
        <w:t>ska</w:t>
      </w:r>
      <w:r w:rsidRPr="00A50800">
        <w:rPr>
          <w:lang w:val="sv-SE"/>
        </w:rPr>
        <w:t xml:space="preserve"> upplösas utan likvidation, får anmälan om Teckning därefter ej ske.</w:t>
      </w:r>
      <w:r w:rsidRPr="00E94CF0">
        <w:rPr>
          <w:lang w:val="sv-SE"/>
        </w:rPr>
        <w:br/>
      </w:r>
      <w:r w:rsidRPr="00437F01">
        <w:rPr>
          <w:i/>
        </w:rPr>
        <w:t xml:space="preserve">In the event the shareholders' meeting </w:t>
      </w:r>
      <w:r w:rsidRPr="006B6AC0">
        <w:rPr>
          <w:i/>
          <w:u w:val="single"/>
        </w:rPr>
        <w:t>approves a merger plan, in accordance with Ch. 23 § 15 of the Swedish Companies Act</w:t>
      </w:r>
      <w:r w:rsidRPr="00437F01">
        <w:rPr>
          <w:i/>
        </w:rPr>
        <w:t xml:space="preserve">, pursuant to which the Company is to be merged into another company, or in the event the shareholders' meeting </w:t>
      </w:r>
      <w:r w:rsidRPr="006B6AC0">
        <w:rPr>
          <w:i/>
          <w:u w:val="single"/>
        </w:rPr>
        <w:t>approves a demerger plan, in accordance with Ch. 24 § 17 of the Swedish Companies Act</w:t>
      </w:r>
      <w:r w:rsidRPr="00437F01">
        <w:rPr>
          <w:i/>
        </w:rPr>
        <w:t>, pursuant to which the Company will be dissolved without liquidation, notice for Subscription may not thereafter be made.</w:t>
      </w:r>
    </w:p>
    <w:p w14:paraId="2973ED33" w14:textId="77777777" w:rsidR="006350FE" w:rsidRPr="00437F01" w:rsidRDefault="006350FE" w:rsidP="006350FE">
      <w:pPr>
        <w:pStyle w:val="BodyText"/>
        <w:ind w:left="720"/>
      </w:pPr>
      <w:r w:rsidRPr="00A50800">
        <w:rPr>
          <w:lang w:val="sv-SE"/>
        </w:rPr>
        <w:t xml:space="preserve">Senast två månader innan Bolaget tar slutlig ställning till frågan om fusion eller delning enligt ovan, </w:t>
      </w:r>
      <w:r>
        <w:rPr>
          <w:lang w:val="sv-SE"/>
        </w:rPr>
        <w:t>ska</w:t>
      </w:r>
      <w:r w:rsidRPr="00A50800">
        <w:rPr>
          <w:lang w:val="sv-SE"/>
        </w:rPr>
        <w:t xml:space="preserve"> </w:t>
      </w:r>
      <w:r>
        <w:rPr>
          <w:lang w:val="sv-SE"/>
        </w:rPr>
        <w:t>Optionsinnehavarna</w:t>
      </w:r>
      <w:r w:rsidRPr="00A50800">
        <w:rPr>
          <w:lang w:val="sv-SE"/>
        </w:rPr>
        <w:t xml:space="preserve"> genom meddelande enligt punkt </w:t>
      </w:r>
      <w:r>
        <w:rPr>
          <w:lang w:val="sv-SE"/>
        </w:rPr>
        <w:fldChar w:fldCharType="begin"/>
      </w:r>
      <w:r>
        <w:rPr>
          <w:lang w:val="sv-SE"/>
        </w:rPr>
        <w:instrText xml:space="preserve"> REF _Ref145593081 \r \h </w:instrText>
      </w:r>
      <w:r>
        <w:rPr>
          <w:lang w:val="sv-SE"/>
        </w:rPr>
      </w:r>
      <w:r>
        <w:rPr>
          <w:lang w:val="sv-SE"/>
        </w:rPr>
        <w:fldChar w:fldCharType="separate"/>
      </w:r>
      <w:r>
        <w:rPr>
          <w:lang w:val="sv-SE"/>
        </w:rPr>
        <w:t>11</w:t>
      </w:r>
      <w:r>
        <w:rPr>
          <w:lang w:val="sv-SE"/>
        </w:rPr>
        <w:fldChar w:fldCharType="end"/>
      </w:r>
      <w:r w:rsidRPr="00A50800">
        <w:rPr>
          <w:lang w:val="sv-SE"/>
        </w:rPr>
        <w:t xml:space="preserve"> nedan underrättas om fusions- eller delningsavsikten. I meddelandet </w:t>
      </w:r>
      <w:r>
        <w:rPr>
          <w:lang w:val="sv-SE"/>
        </w:rPr>
        <w:t>ska</w:t>
      </w:r>
      <w:r w:rsidRPr="00A50800">
        <w:rPr>
          <w:lang w:val="sv-SE"/>
        </w:rPr>
        <w:t xml:space="preserve"> en redogörelse lämnas för det huvudsakliga innehållet i den avsedda fusionsplanen eller delningsplanen samt </w:t>
      </w:r>
      <w:r>
        <w:rPr>
          <w:lang w:val="sv-SE"/>
        </w:rPr>
        <w:t>ska</w:t>
      </w:r>
      <w:r w:rsidRPr="00A50800">
        <w:rPr>
          <w:lang w:val="sv-SE"/>
        </w:rPr>
        <w:t xml:space="preserve"> </w:t>
      </w:r>
      <w:r>
        <w:rPr>
          <w:lang w:val="sv-SE"/>
        </w:rPr>
        <w:t>Optionsinnehavarna</w:t>
      </w:r>
      <w:r w:rsidRPr="00A50800">
        <w:rPr>
          <w:lang w:val="sv-SE"/>
        </w:rPr>
        <w:t xml:space="preserve"> erinras om att anmälan om Teckning ej får ske, sedan slutligt beslut fattats om fusion eller delning.</w:t>
      </w:r>
      <w:r w:rsidRPr="00A50800">
        <w:rPr>
          <w:lang w:val="sv-SE"/>
        </w:rPr>
        <w:br/>
      </w:r>
      <w:r w:rsidRPr="00437F01">
        <w:rPr>
          <w:i/>
        </w:rPr>
        <w:t xml:space="preserve">No later than two months prior to final determination by the Company in respect of a merger or demerger as set forth above, notice shall be given to </w:t>
      </w:r>
      <w:r>
        <w:rPr>
          <w:i/>
        </w:rPr>
        <w:t>Warrant Holder</w:t>
      </w:r>
      <w:r w:rsidRPr="00437F01">
        <w:rPr>
          <w:i/>
        </w:rPr>
        <w:t xml:space="preserve">s in accordance with section </w:t>
      </w:r>
      <w:r>
        <w:rPr>
          <w:i/>
        </w:rPr>
        <w:fldChar w:fldCharType="begin"/>
      </w:r>
      <w:r>
        <w:rPr>
          <w:i/>
        </w:rPr>
        <w:instrText xml:space="preserve"> REF _Ref145593081 \r \h </w:instrText>
      </w:r>
      <w:r>
        <w:rPr>
          <w:i/>
        </w:rPr>
      </w:r>
      <w:r>
        <w:rPr>
          <w:i/>
        </w:rPr>
        <w:fldChar w:fldCharType="separate"/>
      </w:r>
      <w:r>
        <w:rPr>
          <w:i/>
        </w:rPr>
        <w:t>11</w:t>
      </w:r>
      <w:r>
        <w:rPr>
          <w:i/>
        </w:rPr>
        <w:fldChar w:fldCharType="end"/>
      </w:r>
      <w:r w:rsidRPr="00437F01">
        <w:rPr>
          <w:i/>
        </w:rPr>
        <w:t xml:space="preserve"> below of the intended merger or demerger. The notice shall set forth the principal contents of the intended merger plan or demerger plan and each </w:t>
      </w:r>
      <w:r>
        <w:rPr>
          <w:i/>
        </w:rPr>
        <w:t>Warrant Holder</w:t>
      </w:r>
      <w:r w:rsidRPr="00437F01">
        <w:rPr>
          <w:i/>
        </w:rPr>
        <w:t xml:space="preserve"> shall be notified that Subscription may not be made following a final </w:t>
      </w:r>
      <w:r>
        <w:rPr>
          <w:i/>
        </w:rPr>
        <w:t>resolution</w:t>
      </w:r>
      <w:r w:rsidRPr="00437F01">
        <w:rPr>
          <w:i/>
        </w:rPr>
        <w:t xml:space="preserve"> regarding the merger or demerger.</w:t>
      </w:r>
    </w:p>
    <w:p w14:paraId="5F5F8E73" w14:textId="77777777" w:rsidR="006350FE" w:rsidRDefault="006350FE" w:rsidP="006350FE">
      <w:pPr>
        <w:pStyle w:val="BodyText"/>
        <w:ind w:left="720"/>
        <w:rPr>
          <w:i/>
        </w:rPr>
      </w:pPr>
      <w:r w:rsidRPr="00A50800">
        <w:rPr>
          <w:lang w:val="sv-SE"/>
        </w:rPr>
        <w:t xml:space="preserve">Om Bolaget lämnar meddelande om planerad fusion eller delning enligt ovan, </w:t>
      </w:r>
      <w:r>
        <w:rPr>
          <w:lang w:val="sv-SE"/>
        </w:rPr>
        <w:t>ska</w:t>
      </w:r>
      <w:r w:rsidRPr="00A50800">
        <w:rPr>
          <w:lang w:val="sv-SE"/>
        </w:rPr>
        <w:t xml:space="preserve"> </w:t>
      </w:r>
      <w:r>
        <w:rPr>
          <w:lang w:val="sv-SE"/>
        </w:rPr>
        <w:t>Optionsinnehavare</w:t>
      </w:r>
      <w:r w:rsidRPr="00A50800">
        <w:rPr>
          <w:lang w:val="sv-SE"/>
        </w:rPr>
        <w:t xml:space="preserve"> – oavsett vad som i punkt </w:t>
      </w:r>
      <w:r>
        <w:rPr>
          <w:lang w:val="sv-SE"/>
        </w:rPr>
        <w:fldChar w:fldCharType="begin"/>
      </w:r>
      <w:r>
        <w:rPr>
          <w:lang w:val="sv-SE"/>
        </w:rPr>
        <w:instrText xml:space="preserve"> REF _Ref167350058 \r \h </w:instrText>
      </w:r>
      <w:r>
        <w:rPr>
          <w:lang w:val="sv-SE"/>
        </w:rPr>
      </w:r>
      <w:r>
        <w:rPr>
          <w:lang w:val="sv-SE"/>
        </w:rPr>
        <w:fldChar w:fldCharType="separate"/>
      </w:r>
      <w:r>
        <w:rPr>
          <w:lang w:val="sv-SE"/>
        </w:rPr>
        <w:t>4</w:t>
      </w:r>
      <w:r>
        <w:rPr>
          <w:lang w:val="sv-SE"/>
        </w:rPr>
        <w:fldChar w:fldCharType="end"/>
      </w:r>
      <w:r w:rsidRPr="00A50800">
        <w:rPr>
          <w:lang w:val="sv-SE"/>
        </w:rPr>
        <w:t xml:space="preserve"> ovan sägs om tidigaste tidpunkt för anmälan om Teckning – äga rätt att påkalla Teckning från den dag då meddelandet lämnats om fusions- eller delningsavsikten, förutsatt att Teckning kan verkställas senast på tionde kalenderdagen före den bolagsstämma vid vilken fusionsplanen eller delningsplanen </w:t>
      </w:r>
      <w:r>
        <w:rPr>
          <w:lang w:val="sv-SE"/>
        </w:rPr>
        <w:t>ska</w:t>
      </w:r>
      <w:r w:rsidRPr="00A50800">
        <w:rPr>
          <w:lang w:val="sv-SE"/>
        </w:rPr>
        <w:t xml:space="preserve"> godkännas.</w:t>
      </w:r>
      <w:r w:rsidRPr="00A50800">
        <w:rPr>
          <w:lang w:val="sv-SE"/>
        </w:rPr>
        <w:br/>
      </w:r>
      <w:r w:rsidRPr="00437F01">
        <w:rPr>
          <w:i/>
        </w:rPr>
        <w:t xml:space="preserve">In the event the Company gives notice regarding a intended merger or demerger in accordance with the above, each </w:t>
      </w:r>
      <w:r>
        <w:rPr>
          <w:i/>
        </w:rPr>
        <w:t>Warrant Holder</w:t>
      </w:r>
      <w:r w:rsidRPr="00437F01">
        <w:rPr>
          <w:i/>
        </w:rPr>
        <w:t xml:space="preserve"> – irrespective of what is set forth in section </w:t>
      </w:r>
      <w:r>
        <w:rPr>
          <w:i/>
        </w:rPr>
        <w:fldChar w:fldCharType="begin"/>
      </w:r>
      <w:r>
        <w:rPr>
          <w:i/>
        </w:rPr>
        <w:instrText xml:space="preserve"> REF _Ref167350058 \r \h </w:instrText>
      </w:r>
      <w:r>
        <w:rPr>
          <w:i/>
        </w:rPr>
      </w:r>
      <w:r>
        <w:rPr>
          <w:i/>
        </w:rPr>
        <w:fldChar w:fldCharType="separate"/>
      </w:r>
      <w:r>
        <w:rPr>
          <w:i/>
        </w:rPr>
        <w:t>4</w:t>
      </w:r>
      <w:r>
        <w:rPr>
          <w:i/>
        </w:rPr>
        <w:fldChar w:fldCharType="end"/>
      </w:r>
      <w:r w:rsidRPr="00437F01">
        <w:rPr>
          <w:i/>
        </w:rPr>
        <w:t xml:space="preserve"> above regarding the earliest time at which notice for Subscription may be made – shall be entitled to make a notice for Subscription from the date on which notice is given, provided it is possible to effect Subscription not later than the tenth calendar day prior to the shareholders' meeting at which the merger plan or demerger plan is to be approved.</w:t>
      </w:r>
    </w:p>
    <w:p w14:paraId="6FE8B235" w14:textId="77777777" w:rsidR="006350FE" w:rsidRPr="006B6AC0" w:rsidRDefault="006350FE" w:rsidP="006350FE">
      <w:pPr>
        <w:pStyle w:val="BodyText"/>
        <w:ind w:left="720"/>
        <w:rPr>
          <w:i/>
        </w:rPr>
      </w:pPr>
      <w:r w:rsidRPr="006B6AC0">
        <w:rPr>
          <w:lang w:val="sv-SE"/>
        </w:rPr>
        <w:t>Genomför</w:t>
      </w:r>
      <w:r w:rsidRPr="006B6AC0">
        <w:rPr>
          <w:szCs w:val="22"/>
          <w:lang w:val="sv-SE"/>
        </w:rPr>
        <w:t xml:space="preserve"> Bolaget en gränsöverskridande fusion enligt 23 kap. 36 § Aktiebolagslagen eller en gränsöverskridande delning enligt 24 kap. 30 § samma lag, gäller bestämmelserna i denna punkt i tillämpliga delar.</w:t>
      </w:r>
      <w:r w:rsidRPr="006B6AC0">
        <w:rPr>
          <w:szCs w:val="22"/>
          <w:lang w:val="sv-SE"/>
        </w:rPr>
        <w:br/>
      </w:r>
      <w:r>
        <w:rPr>
          <w:bCs/>
          <w:i/>
          <w:iCs/>
          <w:szCs w:val="22"/>
          <w:lang w:val="en-US"/>
        </w:rPr>
        <w:lastRenderedPageBreak/>
        <w:t xml:space="preserve">In the event the Company carries out a </w:t>
      </w:r>
      <w:r w:rsidRPr="00066F2D">
        <w:rPr>
          <w:bCs/>
          <w:i/>
          <w:iCs/>
          <w:szCs w:val="22"/>
          <w:lang w:val="en-US"/>
        </w:rPr>
        <w:t xml:space="preserve">cross-border merger </w:t>
      </w:r>
      <w:r>
        <w:rPr>
          <w:bCs/>
          <w:i/>
          <w:iCs/>
          <w:szCs w:val="22"/>
          <w:lang w:val="en-US"/>
        </w:rPr>
        <w:t>in accordance with Ch. 23 § 36 of the Companies Act or a cross-border demerger in accordance with Ch. 24 § 30 of the Swedish Companies Act, the provisions of this section shall apply in a corresponding manner.</w:t>
      </w:r>
    </w:p>
    <w:p w14:paraId="4D0992B0" w14:textId="77777777" w:rsidR="006350FE" w:rsidRPr="00A50800" w:rsidRDefault="006350FE" w:rsidP="007C4B62">
      <w:pPr>
        <w:pStyle w:val="BodyText"/>
        <w:numPr>
          <w:ilvl w:val="2"/>
          <w:numId w:val="57"/>
        </w:numPr>
        <w:spacing w:after="0"/>
        <w:rPr>
          <w:b/>
          <w:lang w:val="sv-SE"/>
        </w:rPr>
      </w:pPr>
      <w:r w:rsidRPr="00A50800">
        <w:rPr>
          <w:b/>
          <w:lang w:val="sv-SE"/>
        </w:rPr>
        <w:t>Förenklad fusion och tvångsinlösen/</w:t>
      </w:r>
      <w:proofErr w:type="spellStart"/>
      <w:r w:rsidRPr="00A50800">
        <w:rPr>
          <w:b/>
          <w:i/>
          <w:lang w:val="sv-SE"/>
        </w:rPr>
        <w:t>Simplified</w:t>
      </w:r>
      <w:proofErr w:type="spellEnd"/>
      <w:r w:rsidRPr="00A50800">
        <w:rPr>
          <w:b/>
          <w:i/>
          <w:lang w:val="sv-SE"/>
        </w:rPr>
        <w:t xml:space="preserve"> </w:t>
      </w:r>
      <w:proofErr w:type="spellStart"/>
      <w:r w:rsidRPr="00A50800">
        <w:rPr>
          <w:b/>
          <w:i/>
          <w:lang w:val="sv-SE"/>
        </w:rPr>
        <w:t>merger</w:t>
      </w:r>
      <w:proofErr w:type="spellEnd"/>
      <w:r w:rsidRPr="00A50800">
        <w:rPr>
          <w:b/>
          <w:i/>
          <w:lang w:val="sv-SE"/>
        </w:rPr>
        <w:t xml:space="preserve"> and </w:t>
      </w:r>
      <w:proofErr w:type="spellStart"/>
      <w:r w:rsidRPr="00A50800">
        <w:rPr>
          <w:b/>
          <w:i/>
          <w:lang w:val="sv-SE"/>
        </w:rPr>
        <w:t>buy</w:t>
      </w:r>
      <w:proofErr w:type="spellEnd"/>
      <w:r w:rsidRPr="00A50800">
        <w:rPr>
          <w:b/>
          <w:i/>
          <w:lang w:val="sv-SE"/>
        </w:rPr>
        <w:t xml:space="preserve"> out </w:t>
      </w:r>
      <w:proofErr w:type="spellStart"/>
      <w:r w:rsidRPr="00A50800">
        <w:rPr>
          <w:b/>
          <w:i/>
          <w:lang w:val="sv-SE"/>
        </w:rPr>
        <w:t>procedure</w:t>
      </w:r>
      <w:proofErr w:type="spellEnd"/>
    </w:p>
    <w:p w14:paraId="034D5876" w14:textId="77777777" w:rsidR="006350FE" w:rsidRPr="00437F01" w:rsidRDefault="006350FE" w:rsidP="006350FE">
      <w:pPr>
        <w:pStyle w:val="BodyText"/>
        <w:ind w:left="720"/>
      </w:pPr>
      <w:r w:rsidRPr="00A50800">
        <w:rPr>
          <w:lang w:val="sv-SE"/>
        </w:rPr>
        <w:t xml:space="preserve">Upprättar Bolagets styrelse en </w:t>
      </w:r>
      <w:r w:rsidRPr="00A50800">
        <w:rPr>
          <w:u w:val="single"/>
          <w:lang w:val="sv-SE"/>
        </w:rPr>
        <w:t xml:space="preserve">fusionsplan enligt 23 kap. 28 § </w:t>
      </w:r>
      <w:r>
        <w:rPr>
          <w:u w:val="single"/>
          <w:lang w:val="sv-SE"/>
        </w:rPr>
        <w:t>Ak</w:t>
      </w:r>
      <w:r w:rsidRPr="00A50800">
        <w:rPr>
          <w:u w:val="single"/>
          <w:lang w:val="sv-SE"/>
        </w:rPr>
        <w:t>tiebolagslagen</w:t>
      </w:r>
      <w:r w:rsidRPr="00A50800">
        <w:rPr>
          <w:lang w:val="sv-SE"/>
        </w:rPr>
        <w:t xml:space="preserve"> varigenom Bolaget </w:t>
      </w:r>
      <w:r>
        <w:rPr>
          <w:lang w:val="sv-SE"/>
        </w:rPr>
        <w:t>ska</w:t>
      </w:r>
      <w:r w:rsidRPr="00A50800">
        <w:rPr>
          <w:lang w:val="sv-SE"/>
        </w:rPr>
        <w:t xml:space="preserve"> uppgå i ett annat bolag eller blir Bolagets Aktier föremål för </w:t>
      </w:r>
      <w:proofErr w:type="spellStart"/>
      <w:r w:rsidRPr="00A50800">
        <w:rPr>
          <w:u w:val="single"/>
          <w:lang w:val="sv-SE"/>
        </w:rPr>
        <w:t>tvångsinlösenförfarande</w:t>
      </w:r>
      <w:proofErr w:type="spellEnd"/>
      <w:r w:rsidRPr="00A50800">
        <w:rPr>
          <w:lang w:val="sv-SE"/>
        </w:rPr>
        <w:t xml:space="preserve"> enligt 22 kap. </w:t>
      </w:r>
      <w:proofErr w:type="spellStart"/>
      <w:r w:rsidRPr="00D74CDD">
        <w:rPr>
          <w:lang w:val="en-US"/>
        </w:rPr>
        <w:t>Aktiebolagslag</w:t>
      </w:r>
      <w:r>
        <w:rPr>
          <w:lang w:val="en-US"/>
        </w:rPr>
        <w:t>en</w:t>
      </w:r>
      <w:proofErr w:type="spellEnd"/>
      <w:r>
        <w:rPr>
          <w:lang w:val="en-US"/>
        </w:rPr>
        <w:t xml:space="preserve"> </w:t>
      </w:r>
      <w:r w:rsidRPr="006B6AC0">
        <w:rPr>
          <w:lang w:val="en-US"/>
        </w:rPr>
        <w:t xml:space="preserve">ska </w:t>
      </w:r>
      <w:proofErr w:type="spellStart"/>
      <w:r w:rsidRPr="006B6AC0">
        <w:rPr>
          <w:lang w:val="en-US"/>
        </w:rPr>
        <w:t>följande</w:t>
      </w:r>
      <w:proofErr w:type="spellEnd"/>
      <w:r w:rsidRPr="006B6AC0">
        <w:rPr>
          <w:lang w:val="en-US"/>
        </w:rPr>
        <w:t xml:space="preserve"> </w:t>
      </w:r>
      <w:proofErr w:type="spellStart"/>
      <w:r w:rsidRPr="006B6AC0">
        <w:rPr>
          <w:lang w:val="en-US"/>
        </w:rPr>
        <w:t>gälla</w:t>
      </w:r>
      <w:proofErr w:type="spellEnd"/>
      <w:r w:rsidRPr="006B6AC0">
        <w:rPr>
          <w:lang w:val="en-US"/>
        </w:rPr>
        <w:t>.</w:t>
      </w:r>
      <w:r w:rsidRPr="006B6AC0">
        <w:rPr>
          <w:lang w:val="en-US"/>
        </w:rPr>
        <w:br/>
      </w:r>
      <w:r w:rsidRPr="00437F01">
        <w:rPr>
          <w:i/>
        </w:rPr>
        <w:t xml:space="preserve">In the event the Company's board of directors prepares a </w:t>
      </w:r>
      <w:r w:rsidRPr="00437F01">
        <w:rPr>
          <w:i/>
          <w:u w:val="single"/>
        </w:rPr>
        <w:t>merger plan in accordance with Ch.</w:t>
      </w:r>
      <w:r>
        <w:rPr>
          <w:i/>
          <w:u w:val="single"/>
        </w:rPr>
        <w:t> </w:t>
      </w:r>
      <w:r w:rsidRPr="00437F01">
        <w:rPr>
          <w:i/>
          <w:u w:val="single"/>
        </w:rPr>
        <w:t xml:space="preserve">23 </w:t>
      </w:r>
      <w:r>
        <w:rPr>
          <w:i/>
          <w:u w:val="single"/>
        </w:rPr>
        <w:t xml:space="preserve">§ </w:t>
      </w:r>
      <w:r w:rsidRPr="00437F01">
        <w:rPr>
          <w:i/>
          <w:u w:val="single"/>
        </w:rPr>
        <w:t xml:space="preserve">28 of the </w:t>
      </w:r>
      <w:r>
        <w:rPr>
          <w:i/>
          <w:u w:val="single"/>
        </w:rPr>
        <w:t xml:space="preserve">Swedish </w:t>
      </w:r>
      <w:r w:rsidRPr="00437F01">
        <w:rPr>
          <w:i/>
          <w:u w:val="single"/>
        </w:rPr>
        <w:t>Companies Act</w:t>
      </w:r>
      <w:r w:rsidRPr="00437F01">
        <w:rPr>
          <w:i/>
        </w:rPr>
        <w:t xml:space="preserve">, pursuant to which the Company is to be merged into another company or if the Company's Shares will be subject to a </w:t>
      </w:r>
      <w:proofErr w:type="spellStart"/>
      <w:r w:rsidRPr="00437F01">
        <w:rPr>
          <w:i/>
          <w:u w:val="single"/>
        </w:rPr>
        <w:t>buy out</w:t>
      </w:r>
      <w:proofErr w:type="spellEnd"/>
      <w:r w:rsidRPr="00437F01">
        <w:rPr>
          <w:i/>
          <w:u w:val="single"/>
        </w:rPr>
        <w:t xml:space="preserve"> procedure</w:t>
      </w:r>
      <w:r w:rsidRPr="00437F01">
        <w:rPr>
          <w:i/>
        </w:rPr>
        <w:t xml:space="preserve"> in accordance with Ch. 22 </w:t>
      </w:r>
      <w:r>
        <w:rPr>
          <w:i/>
        </w:rPr>
        <w:t>of the Swedish Companies Act</w:t>
      </w:r>
      <w:r w:rsidRPr="00437F01">
        <w:rPr>
          <w:i/>
        </w:rPr>
        <w:t>, the following shall apply.</w:t>
      </w:r>
    </w:p>
    <w:p w14:paraId="49475745" w14:textId="77777777" w:rsidR="006350FE" w:rsidRPr="00437F01" w:rsidRDefault="006350FE" w:rsidP="006350FE">
      <w:pPr>
        <w:pStyle w:val="BodyText"/>
        <w:ind w:left="720"/>
      </w:pPr>
      <w:r w:rsidRPr="00A50800">
        <w:rPr>
          <w:lang w:val="sv-SE"/>
        </w:rPr>
        <w:t xml:space="preserve">Äger ett svenskt aktiebolag samtliga Aktier i Bolaget, och offentliggör Bolagets styrelse sin avsikt att upprätta en fusionsplan enligt i föregående stycke angivet lagrum, </w:t>
      </w:r>
      <w:r>
        <w:rPr>
          <w:lang w:val="sv-SE"/>
        </w:rPr>
        <w:t>ska</w:t>
      </w:r>
      <w:r w:rsidRPr="00A50800">
        <w:rPr>
          <w:lang w:val="sv-SE"/>
        </w:rPr>
        <w:t xml:space="preserve"> Bolaget, för det fall att sista dag för Teckning enligt punkt </w:t>
      </w:r>
      <w:r>
        <w:rPr>
          <w:lang w:val="sv-SE"/>
        </w:rPr>
        <w:fldChar w:fldCharType="begin"/>
      </w:r>
      <w:r>
        <w:rPr>
          <w:lang w:val="sv-SE"/>
        </w:rPr>
        <w:instrText xml:space="preserve"> REF _Ref167350058 \r \h </w:instrText>
      </w:r>
      <w:r>
        <w:rPr>
          <w:lang w:val="sv-SE"/>
        </w:rPr>
      </w:r>
      <w:r>
        <w:rPr>
          <w:lang w:val="sv-SE"/>
        </w:rPr>
        <w:fldChar w:fldCharType="separate"/>
      </w:r>
      <w:r>
        <w:rPr>
          <w:lang w:val="sv-SE"/>
        </w:rPr>
        <w:t>4</w:t>
      </w:r>
      <w:r>
        <w:rPr>
          <w:lang w:val="sv-SE"/>
        </w:rPr>
        <w:fldChar w:fldCharType="end"/>
      </w:r>
      <w:r>
        <w:rPr>
          <w:lang w:val="sv-SE"/>
        </w:rPr>
        <w:t xml:space="preserve"> </w:t>
      </w:r>
      <w:r w:rsidRPr="00A50800">
        <w:rPr>
          <w:lang w:val="sv-SE"/>
        </w:rPr>
        <w:t xml:space="preserve">ovan infaller efter sådant offentliggörande, fastställa en ny sista dag för Teckning (slutdagen). </w:t>
      </w:r>
      <w:proofErr w:type="spellStart"/>
      <w:r w:rsidRPr="00437F01">
        <w:t>Slutdagen</w:t>
      </w:r>
      <w:proofErr w:type="spellEnd"/>
      <w:r w:rsidRPr="00437F01">
        <w:t xml:space="preserve"> </w:t>
      </w:r>
      <w:r>
        <w:t>ska</w:t>
      </w:r>
      <w:r w:rsidRPr="00437F01">
        <w:t xml:space="preserve"> </w:t>
      </w:r>
      <w:proofErr w:type="spellStart"/>
      <w:r w:rsidRPr="00437F01">
        <w:t>infalla</w:t>
      </w:r>
      <w:proofErr w:type="spellEnd"/>
      <w:r w:rsidRPr="00437F01">
        <w:t xml:space="preserve"> </w:t>
      </w:r>
      <w:proofErr w:type="spellStart"/>
      <w:r w:rsidRPr="00437F01">
        <w:t>inom</w:t>
      </w:r>
      <w:proofErr w:type="spellEnd"/>
      <w:r w:rsidRPr="00437F01">
        <w:t xml:space="preserve"> 60 </w:t>
      </w:r>
      <w:proofErr w:type="spellStart"/>
      <w:r w:rsidRPr="00437F01">
        <w:t>dagar</w:t>
      </w:r>
      <w:proofErr w:type="spellEnd"/>
      <w:r w:rsidRPr="00437F01">
        <w:t xml:space="preserve"> </w:t>
      </w:r>
      <w:proofErr w:type="spellStart"/>
      <w:r w:rsidRPr="00437F01">
        <w:t>från</w:t>
      </w:r>
      <w:proofErr w:type="spellEnd"/>
      <w:r w:rsidRPr="00437F01">
        <w:t xml:space="preserve"> </w:t>
      </w:r>
      <w:proofErr w:type="spellStart"/>
      <w:r w:rsidRPr="00437F01">
        <w:t>offentliggörandet</w:t>
      </w:r>
      <w:proofErr w:type="spellEnd"/>
      <w:r w:rsidRPr="00437F01">
        <w:t>.</w:t>
      </w:r>
      <w:r w:rsidRPr="00437F01">
        <w:br/>
      </w:r>
      <w:r w:rsidRPr="00437F01">
        <w:rPr>
          <w:i/>
        </w:rPr>
        <w:t xml:space="preserve">In the event a Swedish limited liability company owns all the shares of the Company and the Company's board of directors publishes its intention to prepare a merger plan in accordance with the legislation referred to in the preceding paragraph, the Company shall </w:t>
      </w:r>
      <w:proofErr w:type="spellStart"/>
      <w:r w:rsidRPr="00437F01">
        <w:rPr>
          <w:i/>
        </w:rPr>
        <w:t>provided</w:t>
      </w:r>
      <w:proofErr w:type="spellEnd"/>
      <w:r w:rsidRPr="00437F01">
        <w:rPr>
          <w:i/>
        </w:rPr>
        <w:t xml:space="preserve"> that the final day for notice for Subscription pursuant to section </w:t>
      </w:r>
      <w:r>
        <w:rPr>
          <w:i/>
        </w:rPr>
        <w:fldChar w:fldCharType="begin"/>
      </w:r>
      <w:r>
        <w:rPr>
          <w:i/>
        </w:rPr>
        <w:instrText xml:space="preserve"> REF _Ref167350058 \r \h </w:instrText>
      </w:r>
      <w:r>
        <w:rPr>
          <w:i/>
        </w:rPr>
      </w:r>
      <w:r>
        <w:rPr>
          <w:i/>
        </w:rPr>
        <w:fldChar w:fldCharType="separate"/>
      </w:r>
      <w:r>
        <w:rPr>
          <w:i/>
        </w:rPr>
        <w:t>4</w:t>
      </w:r>
      <w:r>
        <w:rPr>
          <w:i/>
        </w:rPr>
        <w:fldChar w:fldCharType="end"/>
      </w:r>
      <w:r w:rsidRPr="00437F01">
        <w:rPr>
          <w:i/>
        </w:rPr>
        <w:t xml:space="preserve"> above occurs after such publication, determine a new final date for notice for Subscription (expiration date). The expiration date shall occur within 60 days of the publication.</w:t>
      </w:r>
    </w:p>
    <w:p w14:paraId="50EBD8F2" w14:textId="77777777" w:rsidR="006350FE" w:rsidRPr="00437F01" w:rsidRDefault="006350FE" w:rsidP="006350FE">
      <w:pPr>
        <w:pStyle w:val="BodyText"/>
        <w:ind w:left="720"/>
      </w:pPr>
      <w:r w:rsidRPr="00A50800">
        <w:rPr>
          <w:lang w:val="sv-SE"/>
        </w:rPr>
        <w:t>Om offentliggörandet skett i enlighet med vad som anges ovan i de</w:t>
      </w:r>
      <w:r>
        <w:rPr>
          <w:lang w:val="sv-SE"/>
        </w:rPr>
        <w:t>nn</w:t>
      </w:r>
      <w:r w:rsidRPr="00A50800">
        <w:rPr>
          <w:lang w:val="sv-SE"/>
        </w:rPr>
        <w:t xml:space="preserve">a </w:t>
      </w:r>
      <w:r>
        <w:rPr>
          <w:lang w:val="sv-SE"/>
        </w:rPr>
        <w:t>punkt</w:t>
      </w:r>
      <w:r w:rsidRPr="00A50800">
        <w:rPr>
          <w:lang w:val="sv-SE"/>
        </w:rPr>
        <w:t xml:space="preserve"> </w:t>
      </w:r>
      <w:r>
        <w:rPr>
          <w:szCs w:val="22"/>
        </w:rPr>
        <w:fldChar w:fldCharType="begin"/>
      </w:r>
      <w:r>
        <w:rPr>
          <w:lang w:val="sv-SE"/>
        </w:rPr>
        <w:instrText xml:space="preserve"> REF _Ref445999098 \r \h </w:instrText>
      </w:r>
      <w:r>
        <w:rPr>
          <w:szCs w:val="22"/>
        </w:rPr>
      </w:r>
      <w:r>
        <w:rPr>
          <w:szCs w:val="22"/>
        </w:rPr>
        <w:fldChar w:fldCharType="separate"/>
      </w:r>
      <w:r>
        <w:rPr>
          <w:lang w:val="sv-SE"/>
        </w:rPr>
        <w:t>8.2.16</w:t>
      </w:r>
      <w:r>
        <w:rPr>
          <w:szCs w:val="22"/>
        </w:rPr>
        <w:fldChar w:fldCharType="end"/>
      </w:r>
      <w:r w:rsidRPr="00A50800">
        <w:rPr>
          <w:lang w:val="sv-SE"/>
        </w:rPr>
        <w:t xml:space="preserve">, </w:t>
      </w:r>
      <w:r>
        <w:rPr>
          <w:lang w:val="sv-SE"/>
        </w:rPr>
        <w:t>ska</w:t>
      </w:r>
      <w:r w:rsidRPr="00A50800">
        <w:rPr>
          <w:lang w:val="sv-SE"/>
        </w:rPr>
        <w:t xml:space="preserve"> – oavsett vad som i punkt </w:t>
      </w:r>
      <w:r>
        <w:rPr>
          <w:lang w:val="sv-SE"/>
        </w:rPr>
        <w:fldChar w:fldCharType="begin"/>
      </w:r>
      <w:r>
        <w:rPr>
          <w:lang w:val="sv-SE"/>
        </w:rPr>
        <w:instrText xml:space="preserve"> REF _Ref167350058 \r \h </w:instrText>
      </w:r>
      <w:r>
        <w:rPr>
          <w:lang w:val="sv-SE"/>
        </w:rPr>
      </w:r>
      <w:r>
        <w:rPr>
          <w:lang w:val="sv-SE"/>
        </w:rPr>
        <w:fldChar w:fldCharType="separate"/>
      </w:r>
      <w:r>
        <w:rPr>
          <w:lang w:val="sv-SE"/>
        </w:rPr>
        <w:t>4</w:t>
      </w:r>
      <w:r>
        <w:rPr>
          <w:lang w:val="sv-SE"/>
        </w:rPr>
        <w:fldChar w:fldCharType="end"/>
      </w:r>
      <w:r w:rsidRPr="00A50800">
        <w:rPr>
          <w:lang w:val="sv-SE"/>
        </w:rPr>
        <w:t xml:space="preserve"> ovan sägs om tidigaste tidpunkt för anmälan om Teckning – </w:t>
      </w:r>
      <w:r>
        <w:rPr>
          <w:lang w:val="sv-SE"/>
        </w:rPr>
        <w:t>Optionsinnehavare</w:t>
      </w:r>
      <w:r w:rsidRPr="00A50800">
        <w:rPr>
          <w:lang w:val="sv-SE"/>
        </w:rPr>
        <w:t xml:space="preserve"> äga rätt att göra sådan anmälan om Teckning fram till slutdagen. Bolaget </w:t>
      </w:r>
      <w:r>
        <w:rPr>
          <w:lang w:val="sv-SE"/>
        </w:rPr>
        <w:t>ska</w:t>
      </w:r>
      <w:r w:rsidRPr="00A50800">
        <w:rPr>
          <w:lang w:val="sv-SE"/>
        </w:rPr>
        <w:t xml:space="preserve"> senast tre veckor före slutdagen genom meddelande enligt punkt </w:t>
      </w:r>
      <w:r>
        <w:rPr>
          <w:lang w:val="sv-SE"/>
        </w:rPr>
        <w:fldChar w:fldCharType="begin"/>
      </w:r>
      <w:r>
        <w:rPr>
          <w:lang w:val="sv-SE"/>
        </w:rPr>
        <w:instrText xml:space="preserve"> REF _Ref145593081 \r \h </w:instrText>
      </w:r>
      <w:r>
        <w:rPr>
          <w:lang w:val="sv-SE"/>
        </w:rPr>
      </w:r>
      <w:r>
        <w:rPr>
          <w:lang w:val="sv-SE"/>
        </w:rPr>
        <w:fldChar w:fldCharType="separate"/>
      </w:r>
      <w:r>
        <w:rPr>
          <w:lang w:val="sv-SE"/>
        </w:rPr>
        <w:t>11</w:t>
      </w:r>
      <w:r>
        <w:rPr>
          <w:lang w:val="sv-SE"/>
        </w:rPr>
        <w:fldChar w:fldCharType="end"/>
      </w:r>
      <w:r w:rsidRPr="00A50800">
        <w:rPr>
          <w:lang w:val="sv-SE"/>
        </w:rPr>
        <w:t xml:space="preserve"> nedan erinra </w:t>
      </w:r>
      <w:r>
        <w:rPr>
          <w:lang w:val="sv-SE"/>
        </w:rPr>
        <w:t>Optionsinnehavarna</w:t>
      </w:r>
      <w:r w:rsidRPr="00A50800">
        <w:rPr>
          <w:lang w:val="sv-SE"/>
        </w:rPr>
        <w:t xml:space="preserve"> om denna rätt samt att Teckning ej får ske efter slutdagen.</w:t>
      </w:r>
      <w:r w:rsidRPr="00A50800">
        <w:rPr>
          <w:lang w:val="sv-SE"/>
        </w:rPr>
        <w:br/>
      </w:r>
      <w:r w:rsidRPr="00437F01">
        <w:rPr>
          <w:i/>
        </w:rPr>
        <w:t xml:space="preserve">If publication has been made in accordance with the above set forth in this section </w:t>
      </w:r>
      <w:r>
        <w:rPr>
          <w:i/>
          <w:szCs w:val="22"/>
        </w:rPr>
        <w:fldChar w:fldCharType="begin"/>
      </w:r>
      <w:r>
        <w:rPr>
          <w:i/>
        </w:rPr>
        <w:instrText xml:space="preserve"> REF _Ref445999098 \r \h </w:instrText>
      </w:r>
      <w:r>
        <w:rPr>
          <w:i/>
          <w:szCs w:val="22"/>
        </w:rPr>
      </w:r>
      <w:r>
        <w:rPr>
          <w:i/>
          <w:szCs w:val="22"/>
        </w:rPr>
        <w:fldChar w:fldCharType="separate"/>
      </w:r>
      <w:r>
        <w:rPr>
          <w:i/>
        </w:rPr>
        <w:t>8.2.16</w:t>
      </w:r>
      <w:r>
        <w:rPr>
          <w:i/>
          <w:szCs w:val="22"/>
        </w:rPr>
        <w:fldChar w:fldCharType="end"/>
      </w:r>
      <w:r w:rsidRPr="00437F01">
        <w:rPr>
          <w:i/>
        </w:rPr>
        <w:t xml:space="preserve">, each </w:t>
      </w:r>
      <w:r>
        <w:rPr>
          <w:i/>
        </w:rPr>
        <w:t>Warrant Holder</w:t>
      </w:r>
      <w:r w:rsidRPr="00437F01">
        <w:rPr>
          <w:i/>
        </w:rPr>
        <w:t xml:space="preserve"> – irrespective of what is set forth in section </w:t>
      </w:r>
      <w:r>
        <w:rPr>
          <w:i/>
        </w:rPr>
        <w:fldChar w:fldCharType="begin"/>
      </w:r>
      <w:r>
        <w:rPr>
          <w:i/>
        </w:rPr>
        <w:instrText xml:space="preserve"> REF _Ref167350058 \r \h </w:instrText>
      </w:r>
      <w:r>
        <w:rPr>
          <w:i/>
        </w:rPr>
      </w:r>
      <w:r>
        <w:rPr>
          <w:i/>
        </w:rPr>
        <w:fldChar w:fldCharType="separate"/>
      </w:r>
      <w:r>
        <w:rPr>
          <w:i/>
        </w:rPr>
        <w:t>4</w:t>
      </w:r>
      <w:r>
        <w:rPr>
          <w:i/>
        </w:rPr>
        <w:fldChar w:fldCharType="end"/>
      </w:r>
      <w:r w:rsidRPr="00437F01">
        <w:rPr>
          <w:i/>
        </w:rPr>
        <w:t xml:space="preserve"> above regarding the earliest time at which notice for Subscription may be made – shall be entitled to such notification to and including the expiration date. Not later than three weeks prior to the expiration date, the Company shall notify the </w:t>
      </w:r>
      <w:r>
        <w:rPr>
          <w:i/>
        </w:rPr>
        <w:t>Warrant Holder</w:t>
      </w:r>
      <w:r w:rsidRPr="00437F01">
        <w:rPr>
          <w:i/>
        </w:rPr>
        <w:t xml:space="preserve">s, pursuant to section </w:t>
      </w:r>
      <w:r>
        <w:rPr>
          <w:i/>
        </w:rPr>
        <w:fldChar w:fldCharType="begin"/>
      </w:r>
      <w:r>
        <w:rPr>
          <w:i/>
        </w:rPr>
        <w:instrText xml:space="preserve"> REF _Ref145593081 \r \h </w:instrText>
      </w:r>
      <w:r>
        <w:rPr>
          <w:i/>
        </w:rPr>
      </w:r>
      <w:r>
        <w:rPr>
          <w:i/>
        </w:rPr>
        <w:fldChar w:fldCharType="separate"/>
      </w:r>
      <w:r>
        <w:rPr>
          <w:i/>
        </w:rPr>
        <w:t>11</w:t>
      </w:r>
      <w:r>
        <w:rPr>
          <w:i/>
        </w:rPr>
        <w:fldChar w:fldCharType="end"/>
      </w:r>
      <w:r w:rsidRPr="00437F01">
        <w:rPr>
          <w:i/>
        </w:rPr>
        <w:t xml:space="preserve"> below, of such right and that notice for Subscription may not be made after the expiration date.</w:t>
      </w:r>
    </w:p>
    <w:p w14:paraId="02EE9575" w14:textId="77777777" w:rsidR="006350FE" w:rsidRPr="006B6AC0" w:rsidRDefault="006350FE" w:rsidP="007C4B62">
      <w:pPr>
        <w:pStyle w:val="BodyText"/>
        <w:numPr>
          <w:ilvl w:val="2"/>
          <w:numId w:val="57"/>
        </w:numPr>
        <w:spacing w:after="0"/>
        <w:rPr>
          <w:b/>
          <w:lang w:val="sv-SE"/>
        </w:rPr>
      </w:pPr>
      <w:proofErr w:type="spellStart"/>
      <w:r>
        <w:rPr>
          <w:b/>
          <w:szCs w:val="22"/>
        </w:rPr>
        <w:t>Gränsöverskridande</w:t>
      </w:r>
      <w:proofErr w:type="spellEnd"/>
      <w:r>
        <w:rPr>
          <w:b/>
          <w:szCs w:val="22"/>
        </w:rPr>
        <w:t xml:space="preserve"> </w:t>
      </w:r>
      <w:proofErr w:type="spellStart"/>
      <w:r>
        <w:rPr>
          <w:b/>
          <w:szCs w:val="22"/>
        </w:rPr>
        <w:t>ombildning</w:t>
      </w:r>
      <w:proofErr w:type="spellEnd"/>
      <w:r>
        <w:rPr>
          <w:b/>
          <w:szCs w:val="22"/>
        </w:rPr>
        <w:t>/</w:t>
      </w:r>
      <w:r>
        <w:rPr>
          <w:b/>
          <w:i/>
          <w:iCs/>
          <w:szCs w:val="22"/>
        </w:rPr>
        <w:t>Cross-border conversion</w:t>
      </w:r>
    </w:p>
    <w:p w14:paraId="15E85F4E" w14:textId="77777777" w:rsidR="006350FE" w:rsidRDefault="006350FE" w:rsidP="006350FE">
      <w:pPr>
        <w:pStyle w:val="BodyText"/>
        <w:ind w:left="720"/>
        <w:rPr>
          <w:i/>
          <w:iCs/>
          <w:lang w:val="en-US"/>
        </w:rPr>
      </w:pPr>
      <w:r w:rsidRPr="006B6AC0">
        <w:rPr>
          <w:bCs/>
          <w:szCs w:val="22"/>
          <w:lang w:val="sv-SE"/>
        </w:rPr>
        <w:t xml:space="preserve">Skulle bolagsstämman, enligt </w:t>
      </w:r>
      <w:r w:rsidRPr="006B6AC0">
        <w:rPr>
          <w:bCs/>
          <w:szCs w:val="22"/>
          <w:u w:val="single"/>
          <w:lang w:val="sv-SE"/>
        </w:rPr>
        <w:t>24 a kap. 17 § aktiebolagslagen, godkänna ombildningsplan</w:t>
      </w:r>
      <w:r w:rsidRPr="006B6AC0">
        <w:rPr>
          <w:bCs/>
          <w:szCs w:val="22"/>
          <w:lang w:val="sv-SE"/>
        </w:rPr>
        <w:t xml:space="preserve"> </w:t>
      </w:r>
      <w:r w:rsidRPr="006B6AC0">
        <w:rPr>
          <w:lang w:val="sv-SE"/>
        </w:rPr>
        <w:t>varigenom</w:t>
      </w:r>
      <w:r w:rsidRPr="006B6AC0">
        <w:rPr>
          <w:bCs/>
          <w:szCs w:val="22"/>
          <w:lang w:val="sv-SE"/>
        </w:rPr>
        <w:t xml:space="preserve"> Bolaget ombildas till en motsvarande juridisk person som omfattas av lagstiftningen i en annan stat inom </w:t>
      </w:r>
      <w:proofErr w:type="gramStart"/>
      <w:r w:rsidRPr="006B6AC0">
        <w:rPr>
          <w:bCs/>
          <w:szCs w:val="22"/>
          <w:lang w:val="sv-SE"/>
        </w:rPr>
        <w:t>Europeiska</w:t>
      </w:r>
      <w:proofErr w:type="gramEnd"/>
      <w:r w:rsidRPr="006B6AC0">
        <w:rPr>
          <w:bCs/>
          <w:szCs w:val="22"/>
          <w:lang w:val="sv-SE"/>
        </w:rPr>
        <w:t xml:space="preserve"> ekonomiska samarbetsområdet än Sverige (gränsöverskridande ombildning), får anmälan om Teckning inte ske.</w:t>
      </w:r>
      <w:r>
        <w:rPr>
          <w:bCs/>
          <w:szCs w:val="22"/>
          <w:lang w:val="sv-SE"/>
        </w:rPr>
        <w:br/>
      </w:r>
      <w:r w:rsidRPr="006B6AC0">
        <w:rPr>
          <w:i/>
          <w:iCs/>
          <w:lang w:val="en-US"/>
        </w:rPr>
        <w:t xml:space="preserve">In the event the shareholders' meeting </w:t>
      </w:r>
      <w:r w:rsidRPr="006B6AC0">
        <w:rPr>
          <w:i/>
          <w:iCs/>
          <w:u w:val="single"/>
          <w:lang w:val="en-US"/>
        </w:rPr>
        <w:t>approves a conversion plan, in accordance with Ch. 24 a § 17 of the Companies Act</w:t>
      </w:r>
      <w:r w:rsidRPr="006B6AC0">
        <w:rPr>
          <w:i/>
          <w:iCs/>
          <w:lang w:val="en-US"/>
        </w:rPr>
        <w:t>, pursuant to which the Company is converted to a corresponding legal entity subject to the legislation of a state within the European Economic Area other than Sweden (cross-border conversion), notice for Subscription may not thereafter be made.</w:t>
      </w:r>
    </w:p>
    <w:p w14:paraId="0E9CF6DA" w14:textId="77777777" w:rsidR="006350FE" w:rsidRDefault="006350FE" w:rsidP="006350FE">
      <w:pPr>
        <w:pStyle w:val="BodyText"/>
        <w:ind w:left="720"/>
        <w:rPr>
          <w:i/>
          <w:szCs w:val="22"/>
          <w:lang w:val="en-US"/>
        </w:rPr>
      </w:pPr>
      <w:r w:rsidRPr="006B6AC0">
        <w:rPr>
          <w:lang w:val="sv-SE"/>
        </w:rPr>
        <w:t>Senast</w:t>
      </w:r>
      <w:r w:rsidRPr="006B6AC0">
        <w:rPr>
          <w:szCs w:val="22"/>
          <w:lang w:val="sv-SE"/>
        </w:rPr>
        <w:t xml:space="preserve"> två månader innan Bolaget tar slutlig ställning till frågan om gränsöverskridande ombildning enligt ovan, ska Teckningsoptionshavarna genom meddelande enligt punkt </w:t>
      </w:r>
      <w:r>
        <w:rPr>
          <w:szCs w:val="22"/>
          <w:lang w:val="sv-SE"/>
        </w:rPr>
        <w:fldChar w:fldCharType="begin"/>
      </w:r>
      <w:r>
        <w:rPr>
          <w:szCs w:val="22"/>
          <w:lang w:val="sv-SE"/>
        </w:rPr>
        <w:instrText xml:space="preserve"> REF _Ref439064597 \r \h </w:instrText>
      </w:r>
      <w:r>
        <w:rPr>
          <w:szCs w:val="22"/>
          <w:lang w:val="sv-SE"/>
        </w:rPr>
      </w:r>
      <w:r>
        <w:rPr>
          <w:szCs w:val="22"/>
          <w:lang w:val="sv-SE"/>
        </w:rPr>
        <w:fldChar w:fldCharType="separate"/>
      </w:r>
      <w:r>
        <w:rPr>
          <w:szCs w:val="22"/>
          <w:lang w:val="sv-SE"/>
        </w:rPr>
        <w:t>12</w:t>
      </w:r>
      <w:r>
        <w:rPr>
          <w:szCs w:val="22"/>
          <w:lang w:val="sv-SE"/>
        </w:rPr>
        <w:fldChar w:fldCharType="end"/>
      </w:r>
      <w:r w:rsidRPr="006B6AC0">
        <w:rPr>
          <w:szCs w:val="22"/>
          <w:lang w:val="sv-SE"/>
        </w:rPr>
        <w:t xml:space="preserve"> nedan underrättas om ombildningsavsikten. I meddelandet ska en redogörelse lämnas för det huvudsakliga innehållet i den avsedda ombildningsplanen samt ska Teckningsoptionshavarna erinras om att anmälan om Teckning ej får ske, sedan slutligt beslut fattats om ombildning.</w:t>
      </w:r>
      <w:r>
        <w:rPr>
          <w:szCs w:val="22"/>
          <w:lang w:val="sv-SE"/>
        </w:rPr>
        <w:br/>
      </w:r>
      <w:r w:rsidRPr="002D0367">
        <w:rPr>
          <w:i/>
          <w:szCs w:val="22"/>
          <w:lang w:val="en-US"/>
        </w:rPr>
        <w:t xml:space="preserve">No later than two months prior to final determination by the Company in respect of a </w:t>
      </w:r>
      <w:r>
        <w:rPr>
          <w:i/>
          <w:szCs w:val="22"/>
          <w:lang w:val="en-US"/>
        </w:rPr>
        <w:t>cross-border conversion</w:t>
      </w:r>
      <w:r w:rsidRPr="002D0367">
        <w:rPr>
          <w:i/>
          <w:szCs w:val="22"/>
          <w:lang w:val="en-US"/>
        </w:rPr>
        <w:t xml:space="preserve"> </w:t>
      </w:r>
      <w:proofErr w:type="gramStart"/>
      <w:r w:rsidRPr="002D0367">
        <w:rPr>
          <w:i/>
          <w:szCs w:val="22"/>
          <w:lang w:val="en-US"/>
        </w:rPr>
        <w:t>as set</w:t>
      </w:r>
      <w:proofErr w:type="gramEnd"/>
      <w:r w:rsidRPr="002D0367">
        <w:rPr>
          <w:i/>
          <w:szCs w:val="22"/>
          <w:lang w:val="en-US"/>
        </w:rPr>
        <w:t xml:space="preserve"> forth above, notice shall be given to Warrant </w:t>
      </w:r>
      <w:r>
        <w:rPr>
          <w:i/>
          <w:szCs w:val="22"/>
          <w:lang w:val="en-US"/>
        </w:rPr>
        <w:t>H</w:t>
      </w:r>
      <w:r w:rsidRPr="002D0367">
        <w:rPr>
          <w:i/>
          <w:szCs w:val="22"/>
          <w:lang w:val="en-US"/>
        </w:rPr>
        <w:t xml:space="preserve">olders in accordance </w:t>
      </w:r>
      <w:r w:rsidRPr="002D0367">
        <w:rPr>
          <w:i/>
          <w:szCs w:val="22"/>
          <w:lang w:val="en-US"/>
        </w:rPr>
        <w:lastRenderedPageBreak/>
        <w:t xml:space="preserve">with </w:t>
      </w:r>
      <w:r>
        <w:rPr>
          <w:i/>
          <w:szCs w:val="22"/>
          <w:lang w:val="en-US"/>
        </w:rPr>
        <w:t>s</w:t>
      </w:r>
      <w:r w:rsidRPr="002D0367">
        <w:rPr>
          <w:i/>
          <w:szCs w:val="22"/>
          <w:lang w:val="en-US"/>
        </w:rPr>
        <w:t xml:space="preserve">ection </w:t>
      </w:r>
      <w:r>
        <w:rPr>
          <w:i/>
          <w:szCs w:val="22"/>
          <w:lang w:val="en-US"/>
        </w:rPr>
        <w:fldChar w:fldCharType="begin"/>
      </w:r>
      <w:r>
        <w:rPr>
          <w:i/>
          <w:szCs w:val="22"/>
          <w:lang w:val="en-US"/>
        </w:rPr>
        <w:instrText xml:space="preserve"> REF _Ref439064597 \r \h </w:instrText>
      </w:r>
      <w:r>
        <w:rPr>
          <w:i/>
          <w:szCs w:val="22"/>
          <w:lang w:val="en-US"/>
        </w:rPr>
      </w:r>
      <w:r>
        <w:rPr>
          <w:i/>
          <w:szCs w:val="22"/>
          <w:lang w:val="en-US"/>
        </w:rPr>
        <w:fldChar w:fldCharType="separate"/>
      </w:r>
      <w:r>
        <w:rPr>
          <w:i/>
          <w:szCs w:val="22"/>
          <w:lang w:val="en-US"/>
        </w:rPr>
        <w:t>12</w:t>
      </w:r>
      <w:r>
        <w:rPr>
          <w:i/>
          <w:szCs w:val="22"/>
          <w:lang w:val="en-US"/>
        </w:rPr>
        <w:fldChar w:fldCharType="end"/>
      </w:r>
      <w:r w:rsidRPr="002D0367">
        <w:rPr>
          <w:i/>
          <w:szCs w:val="22"/>
          <w:lang w:val="en-US"/>
        </w:rPr>
        <w:t xml:space="preserve"> below of the intended </w:t>
      </w:r>
      <w:r>
        <w:rPr>
          <w:i/>
          <w:szCs w:val="22"/>
          <w:lang w:val="en-US"/>
        </w:rPr>
        <w:t>conversion</w:t>
      </w:r>
      <w:r w:rsidRPr="002D0367">
        <w:rPr>
          <w:i/>
          <w:szCs w:val="22"/>
          <w:lang w:val="en-US"/>
        </w:rPr>
        <w:t xml:space="preserve">. The notice shall set forth the principal contents of the intended </w:t>
      </w:r>
      <w:r>
        <w:rPr>
          <w:i/>
          <w:szCs w:val="22"/>
          <w:lang w:val="en-US"/>
        </w:rPr>
        <w:t>conversion</w:t>
      </w:r>
      <w:r w:rsidRPr="002D0367">
        <w:rPr>
          <w:i/>
          <w:szCs w:val="22"/>
          <w:lang w:val="en-US"/>
        </w:rPr>
        <w:t xml:space="preserve"> plan and each Warrant </w:t>
      </w:r>
      <w:r>
        <w:rPr>
          <w:i/>
          <w:szCs w:val="22"/>
          <w:lang w:val="en-US"/>
        </w:rPr>
        <w:t>H</w:t>
      </w:r>
      <w:r w:rsidRPr="002D0367">
        <w:rPr>
          <w:i/>
          <w:szCs w:val="22"/>
          <w:lang w:val="en-US"/>
        </w:rPr>
        <w:t xml:space="preserve">older shall be notified that Subscription may not be made following a final decision regarding the </w:t>
      </w:r>
      <w:r>
        <w:rPr>
          <w:i/>
          <w:szCs w:val="22"/>
          <w:lang w:val="en-US"/>
        </w:rPr>
        <w:t>conversion</w:t>
      </w:r>
      <w:r w:rsidRPr="002D0367">
        <w:rPr>
          <w:i/>
          <w:szCs w:val="22"/>
          <w:lang w:val="en-US"/>
        </w:rPr>
        <w:t>.</w:t>
      </w:r>
    </w:p>
    <w:p w14:paraId="36B6C690" w14:textId="77777777" w:rsidR="006350FE" w:rsidRDefault="006350FE" w:rsidP="006350FE">
      <w:pPr>
        <w:pStyle w:val="BodyText"/>
        <w:ind w:left="720"/>
        <w:rPr>
          <w:i/>
          <w:szCs w:val="22"/>
          <w:lang w:val="en-US"/>
        </w:rPr>
      </w:pPr>
      <w:r w:rsidRPr="006B6AC0">
        <w:rPr>
          <w:lang w:val="sv-SE"/>
        </w:rPr>
        <w:t>Om</w:t>
      </w:r>
      <w:r w:rsidRPr="006B6AC0">
        <w:rPr>
          <w:szCs w:val="22"/>
          <w:lang w:val="sv-SE"/>
        </w:rPr>
        <w:t xml:space="preserve"> Bolaget lämnar meddelande om planerad gränsöverskridande ombildning enligt ovan, ska </w:t>
      </w:r>
      <w:r w:rsidRPr="00D00630">
        <w:rPr>
          <w:szCs w:val="22"/>
          <w:lang w:val="sv-SE"/>
        </w:rPr>
        <w:t>Optionsinnehavare</w:t>
      </w:r>
      <w:r w:rsidRPr="006B6AC0">
        <w:rPr>
          <w:szCs w:val="22"/>
          <w:lang w:val="sv-SE"/>
        </w:rPr>
        <w:t xml:space="preserve"> – oavsett vad som i punkt </w:t>
      </w:r>
      <w:r>
        <w:rPr>
          <w:szCs w:val="22"/>
        </w:rPr>
        <w:fldChar w:fldCharType="begin"/>
      </w:r>
      <w:r w:rsidRPr="006B6AC0">
        <w:rPr>
          <w:szCs w:val="22"/>
          <w:lang w:val="sv-SE"/>
        </w:rPr>
        <w:instrText xml:space="preserve"> REF _Ref167350058 \r \h </w:instrText>
      </w:r>
      <w:r>
        <w:rPr>
          <w:szCs w:val="22"/>
        </w:rPr>
      </w:r>
      <w:r>
        <w:rPr>
          <w:szCs w:val="22"/>
        </w:rPr>
        <w:fldChar w:fldCharType="separate"/>
      </w:r>
      <w:r w:rsidRPr="006B6AC0">
        <w:rPr>
          <w:szCs w:val="22"/>
          <w:lang w:val="sv-SE"/>
        </w:rPr>
        <w:t>4</w:t>
      </w:r>
      <w:r>
        <w:rPr>
          <w:szCs w:val="22"/>
        </w:rPr>
        <w:fldChar w:fldCharType="end"/>
      </w:r>
      <w:r w:rsidRPr="006B6AC0">
        <w:rPr>
          <w:szCs w:val="22"/>
          <w:lang w:val="sv-SE"/>
        </w:rPr>
        <w:t xml:space="preserve"> ovan sägs om tidigaste tidpunkt för anmälan om Teckning – äga rätt att påkalla Teckning från den dag då meddelandet lämnats om ombildningsavsikten, förutsatt att Teckning kan verkställas senast på tionde kalenderdagen före den bolagsstämma vid vilken ombildningsplanen ska godkännas.</w:t>
      </w:r>
      <w:r w:rsidRPr="006B6AC0">
        <w:rPr>
          <w:szCs w:val="22"/>
          <w:lang w:val="sv-SE"/>
        </w:rPr>
        <w:br/>
      </w:r>
      <w:r w:rsidRPr="002D0367">
        <w:rPr>
          <w:i/>
          <w:szCs w:val="22"/>
          <w:lang w:val="en-US"/>
        </w:rPr>
        <w:t xml:space="preserve">In the event the Company gives notice regarding a intended </w:t>
      </w:r>
      <w:r>
        <w:rPr>
          <w:i/>
          <w:szCs w:val="22"/>
          <w:lang w:val="en-US"/>
        </w:rPr>
        <w:t>cross-border conversion</w:t>
      </w:r>
      <w:r w:rsidRPr="002D0367">
        <w:rPr>
          <w:i/>
          <w:szCs w:val="22"/>
          <w:lang w:val="en-US"/>
        </w:rPr>
        <w:t xml:space="preserve"> in accordance with the above, each Warrant </w:t>
      </w:r>
      <w:r>
        <w:rPr>
          <w:i/>
          <w:szCs w:val="22"/>
          <w:lang w:val="en-US"/>
        </w:rPr>
        <w:t>H</w:t>
      </w:r>
      <w:r w:rsidRPr="002D0367">
        <w:rPr>
          <w:i/>
          <w:szCs w:val="22"/>
          <w:lang w:val="en-US"/>
        </w:rPr>
        <w:t xml:space="preserve">older – irrespective of what is set forth in </w:t>
      </w:r>
      <w:r>
        <w:rPr>
          <w:i/>
          <w:szCs w:val="22"/>
          <w:lang w:val="en-US"/>
        </w:rPr>
        <w:t>s</w:t>
      </w:r>
      <w:r w:rsidRPr="002D0367">
        <w:rPr>
          <w:i/>
          <w:szCs w:val="22"/>
          <w:lang w:val="en-US"/>
        </w:rPr>
        <w:t>ection</w:t>
      </w:r>
      <w:r>
        <w:rPr>
          <w:i/>
          <w:szCs w:val="22"/>
          <w:lang w:val="en-US"/>
        </w:rPr>
        <w:t> </w:t>
      </w:r>
      <w:r>
        <w:rPr>
          <w:i/>
          <w:szCs w:val="22"/>
          <w:lang w:val="en-US"/>
        </w:rPr>
        <w:fldChar w:fldCharType="begin"/>
      </w:r>
      <w:r>
        <w:rPr>
          <w:i/>
          <w:szCs w:val="22"/>
          <w:lang w:val="en-US"/>
        </w:rPr>
        <w:instrText xml:space="preserve"> REF _Ref167350058 \r \h </w:instrText>
      </w:r>
      <w:r>
        <w:rPr>
          <w:i/>
          <w:szCs w:val="22"/>
          <w:lang w:val="en-US"/>
        </w:rPr>
      </w:r>
      <w:r>
        <w:rPr>
          <w:i/>
          <w:szCs w:val="22"/>
          <w:lang w:val="en-US"/>
        </w:rPr>
        <w:fldChar w:fldCharType="separate"/>
      </w:r>
      <w:r>
        <w:rPr>
          <w:i/>
          <w:szCs w:val="22"/>
          <w:lang w:val="en-US"/>
        </w:rPr>
        <w:t>4</w:t>
      </w:r>
      <w:r>
        <w:rPr>
          <w:i/>
          <w:szCs w:val="22"/>
          <w:lang w:val="en-US"/>
        </w:rPr>
        <w:fldChar w:fldCharType="end"/>
      </w:r>
      <w:r w:rsidRPr="002D0367">
        <w:rPr>
          <w:i/>
          <w:szCs w:val="22"/>
          <w:lang w:val="en-US"/>
        </w:rPr>
        <w:t xml:space="preserve"> above regarding the earliest time at which notice for Subscription may be made – shall be entitled to make a notice for Subscription from the date on which notice is given, provided it is possible to effect Subscription not later than the tenth calendar day prior to the shareholders' meeting at which the </w:t>
      </w:r>
      <w:r>
        <w:rPr>
          <w:i/>
          <w:szCs w:val="22"/>
          <w:lang w:val="en-US"/>
        </w:rPr>
        <w:t>conversion</w:t>
      </w:r>
      <w:r w:rsidRPr="002D0367">
        <w:rPr>
          <w:i/>
          <w:szCs w:val="22"/>
          <w:lang w:val="en-US"/>
        </w:rPr>
        <w:t xml:space="preserve"> plan is to be approved.</w:t>
      </w:r>
    </w:p>
    <w:p w14:paraId="1CEC5316" w14:textId="77777777" w:rsidR="006350FE" w:rsidRPr="00A50800" w:rsidRDefault="006350FE" w:rsidP="007C4B62">
      <w:pPr>
        <w:pStyle w:val="BodyText"/>
        <w:numPr>
          <w:ilvl w:val="2"/>
          <w:numId w:val="57"/>
        </w:numPr>
        <w:spacing w:after="0"/>
        <w:rPr>
          <w:b/>
          <w:lang w:val="sv-SE"/>
        </w:rPr>
      </w:pPr>
      <w:r w:rsidRPr="00A50800">
        <w:rPr>
          <w:b/>
          <w:lang w:val="sv-SE"/>
        </w:rPr>
        <w:t xml:space="preserve">Återställande av rätt att teckna </w:t>
      </w:r>
      <w:r>
        <w:rPr>
          <w:b/>
          <w:lang w:val="sv-SE"/>
        </w:rPr>
        <w:t>Aktie</w:t>
      </w:r>
      <w:r w:rsidRPr="00A50800">
        <w:rPr>
          <w:b/>
          <w:lang w:val="sv-SE"/>
        </w:rPr>
        <w:t>r/</w:t>
      </w:r>
      <w:r w:rsidRPr="00A50800">
        <w:rPr>
          <w:b/>
          <w:i/>
          <w:lang w:val="sv-SE"/>
        </w:rPr>
        <w:t xml:space="preserve">Restoration of </w:t>
      </w:r>
      <w:proofErr w:type="spellStart"/>
      <w:r w:rsidRPr="00A50800">
        <w:rPr>
          <w:b/>
          <w:i/>
          <w:lang w:val="sv-SE"/>
        </w:rPr>
        <w:t>rights</w:t>
      </w:r>
      <w:proofErr w:type="spellEnd"/>
    </w:p>
    <w:p w14:paraId="313C457D" w14:textId="77777777" w:rsidR="006350FE" w:rsidRPr="00437F01" w:rsidRDefault="006350FE" w:rsidP="006350FE">
      <w:pPr>
        <w:pStyle w:val="BodyText"/>
        <w:ind w:left="720"/>
      </w:pPr>
      <w:r w:rsidRPr="00A50800">
        <w:rPr>
          <w:lang w:val="sv-SE"/>
        </w:rPr>
        <w:t xml:space="preserve">Oavsett vad under punkterna </w:t>
      </w:r>
      <w:r>
        <w:rPr>
          <w:szCs w:val="22"/>
        </w:rPr>
        <w:fldChar w:fldCharType="begin"/>
      </w:r>
      <w:r>
        <w:rPr>
          <w:lang w:val="sv-SE"/>
        </w:rPr>
        <w:instrText xml:space="preserve"> REF _Ref445999119 \r \h </w:instrText>
      </w:r>
      <w:r>
        <w:rPr>
          <w:szCs w:val="22"/>
        </w:rPr>
      </w:r>
      <w:r>
        <w:rPr>
          <w:szCs w:val="22"/>
        </w:rPr>
        <w:fldChar w:fldCharType="separate"/>
      </w:r>
      <w:r>
        <w:rPr>
          <w:lang w:val="sv-SE"/>
        </w:rPr>
        <w:t>8.2.14</w:t>
      </w:r>
      <w:r>
        <w:rPr>
          <w:szCs w:val="22"/>
        </w:rPr>
        <w:fldChar w:fldCharType="end"/>
      </w:r>
      <w:r w:rsidRPr="00A50800">
        <w:rPr>
          <w:szCs w:val="22"/>
          <w:lang w:val="sv-SE"/>
        </w:rPr>
        <w:t xml:space="preserve">, </w:t>
      </w:r>
      <w:r>
        <w:rPr>
          <w:szCs w:val="22"/>
        </w:rPr>
        <w:fldChar w:fldCharType="begin"/>
      </w:r>
      <w:r>
        <w:rPr>
          <w:szCs w:val="22"/>
          <w:lang w:val="sv-SE"/>
        </w:rPr>
        <w:instrText xml:space="preserve"> REF _Ref445999126 \r \h </w:instrText>
      </w:r>
      <w:r>
        <w:rPr>
          <w:szCs w:val="22"/>
        </w:rPr>
      </w:r>
      <w:r>
        <w:rPr>
          <w:szCs w:val="22"/>
        </w:rPr>
        <w:fldChar w:fldCharType="separate"/>
      </w:r>
      <w:r>
        <w:rPr>
          <w:szCs w:val="22"/>
          <w:lang w:val="sv-SE"/>
        </w:rPr>
        <w:t>8.2.15</w:t>
      </w:r>
      <w:r>
        <w:rPr>
          <w:szCs w:val="22"/>
        </w:rPr>
        <w:fldChar w:fldCharType="end"/>
      </w:r>
      <w:r>
        <w:rPr>
          <w:lang w:val="sv-SE"/>
        </w:rPr>
        <w:t xml:space="preserve">, </w:t>
      </w:r>
      <w:r>
        <w:rPr>
          <w:szCs w:val="22"/>
        </w:rPr>
        <w:fldChar w:fldCharType="begin"/>
      </w:r>
      <w:r>
        <w:rPr>
          <w:lang w:val="sv-SE"/>
        </w:rPr>
        <w:instrText xml:space="preserve"> REF _Ref445999098 \r \h </w:instrText>
      </w:r>
      <w:r>
        <w:rPr>
          <w:szCs w:val="22"/>
        </w:rPr>
      </w:r>
      <w:r>
        <w:rPr>
          <w:szCs w:val="22"/>
        </w:rPr>
        <w:fldChar w:fldCharType="separate"/>
      </w:r>
      <w:r>
        <w:rPr>
          <w:lang w:val="sv-SE"/>
        </w:rPr>
        <w:t>8.2.16</w:t>
      </w:r>
      <w:r>
        <w:rPr>
          <w:szCs w:val="22"/>
        </w:rPr>
        <w:fldChar w:fldCharType="end"/>
      </w:r>
      <w:r w:rsidRPr="00A50800">
        <w:rPr>
          <w:lang w:val="sv-SE"/>
        </w:rPr>
        <w:t xml:space="preserve"> </w:t>
      </w:r>
      <w:r>
        <w:rPr>
          <w:lang w:val="sv-SE"/>
        </w:rPr>
        <w:t xml:space="preserve">och </w:t>
      </w:r>
      <w:r>
        <w:rPr>
          <w:lang w:val="sv-SE"/>
        </w:rPr>
        <w:fldChar w:fldCharType="begin"/>
      </w:r>
      <w:r>
        <w:rPr>
          <w:lang w:val="sv-SE"/>
        </w:rPr>
        <w:instrText xml:space="preserve"> REF _Ref168476295 \r \h </w:instrText>
      </w:r>
      <w:r>
        <w:rPr>
          <w:lang w:val="sv-SE"/>
        </w:rPr>
      </w:r>
      <w:r>
        <w:rPr>
          <w:lang w:val="sv-SE"/>
        </w:rPr>
        <w:fldChar w:fldCharType="separate"/>
      </w:r>
      <w:r>
        <w:rPr>
          <w:lang w:val="sv-SE"/>
        </w:rPr>
        <w:t>8.2.17</w:t>
      </w:r>
      <w:r>
        <w:rPr>
          <w:lang w:val="sv-SE"/>
        </w:rPr>
        <w:fldChar w:fldCharType="end"/>
      </w:r>
      <w:r>
        <w:rPr>
          <w:lang w:val="sv-SE"/>
        </w:rPr>
        <w:t xml:space="preserve"> </w:t>
      </w:r>
      <w:r w:rsidRPr="00A50800">
        <w:rPr>
          <w:lang w:val="sv-SE"/>
        </w:rPr>
        <w:t>ovan sagts om att anmälan om Teckning ej får ske efter beslut om likvidation, godkännande av fusionsplan/delningsplan</w:t>
      </w:r>
      <w:r>
        <w:rPr>
          <w:lang w:val="sv-SE"/>
        </w:rPr>
        <w:t>/ombildningsplan</w:t>
      </w:r>
      <w:r w:rsidRPr="00A50800">
        <w:rPr>
          <w:lang w:val="sv-SE"/>
        </w:rPr>
        <w:t xml:space="preserve"> eller efter utgången av ny slutdag vid fusion</w:t>
      </w:r>
      <w:r>
        <w:rPr>
          <w:lang w:val="sv-SE"/>
        </w:rPr>
        <w:t xml:space="preserve">, </w:t>
      </w:r>
      <w:r w:rsidRPr="00A50800">
        <w:rPr>
          <w:lang w:val="sv-SE"/>
        </w:rPr>
        <w:t xml:space="preserve">delning </w:t>
      </w:r>
      <w:r>
        <w:rPr>
          <w:lang w:val="sv-SE"/>
        </w:rPr>
        <w:t>eller ombildning ska</w:t>
      </w:r>
      <w:r w:rsidRPr="00A50800">
        <w:rPr>
          <w:lang w:val="sv-SE"/>
        </w:rPr>
        <w:t xml:space="preserve"> rätten att göra anmälan om Teckning åter inträda för det fall att likvidationen upphör respektive fusionen</w:t>
      </w:r>
      <w:r>
        <w:rPr>
          <w:lang w:val="sv-SE"/>
        </w:rPr>
        <w:t xml:space="preserve">, </w:t>
      </w:r>
      <w:r w:rsidRPr="00A50800">
        <w:rPr>
          <w:lang w:val="sv-SE"/>
        </w:rPr>
        <w:t xml:space="preserve">delningen </w:t>
      </w:r>
      <w:r>
        <w:rPr>
          <w:lang w:val="sv-SE"/>
        </w:rPr>
        <w:t xml:space="preserve">eller ombildningen </w:t>
      </w:r>
      <w:r w:rsidRPr="00A50800">
        <w:rPr>
          <w:lang w:val="sv-SE"/>
        </w:rPr>
        <w:t>ej genomförs.</w:t>
      </w:r>
      <w:r w:rsidRPr="00A50800">
        <w:rPr>
          <w:lang w:val="sv-SE"/>
        </w:rPr>
        <w:br/>
      </w:r>
      <w:r w:rsidRPr="00437F01">
        <w:rPr>
          <w:i/>
        </w:rPr>
        <w:t xml:space="preserve">Notwithstanding the provisions set forth in sections </w:t>
      </w:r>
      <w:r>
        <w:rPr>
          <w:i/>
          <w:szCs w:val="22"/>
        </w:rPr>
        <w:fldChar w:fldCharType="begin"/>
      </w:r>
      <w:r>
        <w:rPr>
          <w:i/>
        </w:rPr>
        <w:instrText xml:space="preserve"> REF _Ref445999119 \r \h </w:instrText>
      </w:r>
      <w:r>
        <w:rPr>
          <w:i/>
          <w:szCs w:val="22"/>
        </w:rPr>
      </w:r>
      <w:r>
        <w:rPr>
          <w:i/>
          <w:szCs w:val="22"/>
        </w:rPr>
        <w:fldChar w:fldCharType="separate"/>
      </w:r>
      <w:r>
        <w:rPr>
          <w:i/>
        </w:rPr>
        <w:t>8.2.14</w:t>
      </w:r>
      <w:r>
        <w:rPr>
          <w:i/>
          <w:szCs w:val="22"/>
        </w:rPr>
        <w:fldChar w:fldCharType="end"/>
      </w:r>
      <w:r w:rsidRPr="00437F01">
        <w:rPr>
          <w:i/>
          <w:szCs w:val="22"/>
        </w:rPr>
        <w:t xml:space="preserve">, </w:t>
      </w:r>
      <w:r>
        <w:rPr>
          <w:i/>
          <w:szCs w:val="22"/>
        </w:rPr>
        <w:fldChar w:fldCharType="begin"/>
      </w:r>
      <w:r>
        <w:rPr>
          <w:i/>
          <w:szCs w:val="22"/>
        </w:rPr>
        <w:instrText xml:space="preserve"> REF _Ref445999126 \r \h </w:instrText>
      </w:r>
      <w:r>
        <w:rPr>
          <w:i/>
          <w:szCs w:val="22"/>
        </w:rPr>
      </w:r>
      <w:r>
        <w:rPr>
          <w:i/>
          <w:szCs w:val="22"/>
        </w:rPr>
        <w:fldChar w:fldCharType="separate"/>
      </w:r>
      <w:r>
        <w:rPr>
          <w:i/>
          <w:szCs w:val="22"/>
        </w:rPr>
        <w:t>8.2.15</w:t>
      </w:r>
      <w:r>
        <w:rPr>
          <w:i/>
          <w:szCs w:val="22"/>
        </w:rPr>
        <w:fldChar w:fldCharType="end"/>
      </w:r>
      <w:r>
        <w:rPr>
          <w:i/>
        </w:rPr>
        <w:t xml:space="preserve">, </w:t>
      </w:r>
      <w:r>
        <w:rPr>
          <w:i/>
          <w:szCs w:val="22"/>
        </w:rPr>
        <w:fldChar w:fldCharType="begin"/>
      </w:r>
      <w:r>
        <w:rPr>
          <w:i/>
        </w:rPr>
        <w:instrText xml:space="preserve"> REF _Ref445999098 \r \h </w:instrText>
      </w:r>
      <w:r>
        <w:rPr>
          <w:i/>
          <w:szCs w:val="22"/>
        </w:rPr>
      </w:r>
      <w:r>
        <w:rPr>
          <w:i/>
          <w:szCs w:val="22"/>
        </w:rPr>
        <w:fldChar w:fldCharType="separate"/>
      </w:r>
      <w:r>
        <w:rPr>
          <w:i/>
        </w:rPr>
        <w:t>8.2.16</w:t>
      </w:r>
      <w:r>
        <w:rPr>
          <w:i/>
          <w:szCs w:val="22"/>
        </w:rPr>
        <w:fldChar w:fldCharType="end"/>
      </w:r>
      <w:r w:rsidRPr="00437F01">
        <w:rPr>
          <w:i/>
        </w:rPr>
        <w:t xml:space="preserve"> </w:t>
      </w:r>
      <w:r>
        <w:rPr>
          <w:i/>
        </w:rPr>
        <w:t xml:space="preserve">and </w:t>
      </w:r>
      <w:r>
        <w:rPr>
          <w:i/>
        </w:rPr>
        <w:fldChar w:fldCharType="begin"/>
      </w:r>
      <w:r>
        <w:rPr>
          <w:i/>
        </w:rPr>
        <w:instrText xml:space="preserve"> REF _Ref168476295 \r \h </w:instrText>
      </w:r>
      <w:r>
        <w:rPr>
          <w:i/>
        </w:rPr>
      </w:r>
      <w:r>
        <w:rPr>
          <w:i/>
        </w:rPr>
        <w:fldChar w:fldCharType="separate"/>
      </w:r>
      <w:r>
        <w:rPr>
          <w:i/>
        </w:rPr>
        <w:t>8.2.17</w:t>
      </w:r>
      <w:r>
        <w:rPr>
          <w:i/>
        </w:rPr>
        <w:fldChar w:fldCharType="end"/>
      </w:r>
      <w:r>
        <w:rPr>
          <w:i/>
        </w:rPr>
        <w:t xml:space="preserve"> </w:t>
      </w:r>
      <w:r w:rsidRPr="00437F01">
        <w:rPr>
          <w:i/>
        </w:rPr>
        <w:t xml:space="preserve">above stating that notice for Subscriptions may not be made following the </w:t>
      </w:r>
      <w:r>
        <w:rPr>
          <w:i/>
        </w:rPr>
        <w:t>resolution</w:t>
      </w:r>
      <w:r w:rsidRPr="00437F01">
        <w:rPr>
          <w:i/>
        </w:rPr>
        <w:t xml:space="preserve"> o</w:t>
      </w:r>
      <w:r>
        <w:rPr>
          <w:i/>
        </w:rPr>
        <w:t>n</w:t>
      </w:r>
      <w:r w:rsidRPr="00437F01">
        <w:rPr>
          <w:i/>
        </w:rPr>
        <w:t xml:space="preserve"> liquidation, approval of a merger plan/demerger plan</w:t>
      </w:r>
      <w:r>
        <w:rPr>
          <w:i/>
        </w:rPr>
        <w:t>/conversion plan</w:t>
      </w:r>
      <w:r w:rsidRPr="00437F01">
        <w:rPr>
          <w:i/>
        </w:rPr>
        <w:t xml:space="preserve"> or the end of a new expiration date at a merger</w:t>
      </w:r>
      <w:r>
        <w:rPr>
          <w:i/>
        </w:rPr>
        <w:t xml:space="preserve">, </w:t>
      </w:r>
      <w:r w:rsidRPr="00437F01">
        <w:rPr>
          <w:i/>
        </w:rPr>
        <w:t>demerger</w:t>
      </w:r>
      <w:r>
        <w:rPr>
          <w:i/>
        </w:rPr>
        <w:t xml:space="preserve"> or conversion</w:t>
      </w:r>
      <w:r w:rsidRPr="00437F01">
        <w:rPr>
          <w:i/>
        </w:rPr>
        <w:t>, the right to make a notice for Subscription shall be reinstated in the event the liquidation is terminated or where the merger</w:t>
      </w:r>
      <w:r>
        <w:rPr>
          <w:i/>
        </w:rPr>
        <w:t xml:space="preserve">, </w:t>
      </w:r>
      <w:r w:rsidRPr="00437F01">
        <w:rPr>
          <w:i/>
        </w:rPr>
        <w:t xml:space="preserve">demerger </w:t>
      </w:r>
      <w:r>
        <w:rPr>
          <w:i/>
        </w:rPr>
        <w:t xml:space="preserve">or conversion </w:t>
      </w:r>
      <w:r w:rsidRPr="00437F01">
        <w:rPr>
          <w:i/>
        </w:rPr>
        <w:t>is not executed.</w:t>
      </w:r>
    </w:p>
    <w:p w14:paraId="7042A5B9" w14:textId="77777777" w:rsidR="006350FE" w:rsidRPr="00A50800" w:rsidRDefault="006350FE" w:rsidP="007C4B62">
      <w:pPr>
        <w:pStyle w:val="BodyText"/>
        <w:numPr>
          <w:ilvl w:val="2"/>
          <w:numId w:val="57"/>
        </w:numPr>
        <w:spacing w:after="0"/>
        <w:rPr>
          <w:b/>
          <w:lang w:val="sv-SE"/>
        </w:rPr>
      </w:pPr>
      <w:r w:rsidRPr="00A50800">
        <w:rPr>
          <w:b/>
          <w:lang w:val="sv-SE"/>
        </w:rPr>
        <w:t>Konkurs/</w:t>
      </w:r>
      <w:proofErr w:type="spellStart"/>
      <w:r w:rsidRPr="00A50800">
        <w:rPr>
          <w:b/>
          <w:i/>
          <w:lang w:val="sv-SE"/>
        </w:rPr>
        <w:t>Bankruptcy</w:t>
      </w:r>
      <w:proofErr w:type="spellEnd"/>
    </w:p>
    <w:p w14:paraId="47DC97D4" w14:textId="77777777" w:rsidR="006350FE" w:rsidRPr="00437F01" w:rsidRDefault="006350FE" w:rsidP="006350FE">
      <w:pPr>
        <w:pStyle w:val="BodyText"/>
        <w:ind w:left="720"/>
      </w:pPr>
      <w:r w:rsidRPr="00A50800">
        <w:rPr>
          <w:lang w:val="sv-SE"/>
        </w:rPr>
        <w:t xml:space="preserve">För den händelse Bolaget skulle </w:t>
      </w:r>
      <w:r w:rsidRPr="00A50800">
        <w:rPr>
          <w:u w:val="single"/>
          <w:lang w:val="sv-SE"/>
        </w:rPr>
        <w:t>försättas i konkurs</w:t>
      </w:r>
      <w:r w:rsidRPr="00A50800">
        <w:rPr>
          <w:lang w:val="sv-SE"/>
        </w:rPr>
        <w:t>, får anmälan om Teckning ej därefter ske. Om emellertid konkursbeslutet häves av högre rätt får anmälan om Teckning återigen ske.</w:t>
      </w:r>
      <w:r w:rsidRPr="00A50800">
        <w:rPr>
          <w:lang w:val="sv-SE"/>
        </w:rPr>
        <w:br/>
      </w:r>
      <w:r w:rsidRPr="00437F01">
        <w:rPr>
          <w:i/>
        </w:rPr>
        <w:t xml:space="preserve">In the event the Company is </w:t>
      </w:r>
      <w:r w:rsidRPr="00437F01">
        <w:rPr>
          <w:i/>
          <w:u w:val="single"/>
        </w:rPr>
        <w:t>declared bankrupt</w:t>
      </w:r>
      <w:r w:rsidRPr="00437F01">
        <w:rPr>
          <w:i/>
        </w:rPr>
        <w:t>, notice for Subscription may not thereafter be made. Where, however, the bankruptcy decision is reversed by a court of higher instance, notice for Subscription may again be made.</w:t>
      </w:r>
    </w:p>
    <w:p w14:paraId="74B96FF6" w14:textId="77777777" w:rsidR="006350FE" w:rsidRPr="00A50800" w:rsidRDefault="006350FE" w:rsidP="007C4B62">
      <w:pPr>
        <w:pStyle w:val="BodyText"/>
        <w:numPr>
          <w:ilvl w:val="2"/>
          <w:numId w:val="57"/>
        </w:numPr>
        <w:spacing w:after="0"/>
        <w:rPr>
          <w:b/>
          <w:lang w:val="sv-SE"/>
        </w:rPr>
      </w:pPr>
      <w:r w:rsidRPr="00A50800">
        <w:rPr>
          <w:b/>
          <w:lang w:val="sv-SE"/>
        </w:rPr>
        <w:t>Notering/</w:t>
      </w:r>
      <w:proofErr w:type="spellStart"/>
      <w:r w:rsidRPr="00A50800">
        <w:rPr>
          <w:b/>
          <w:i/>
          <w:lang w:val="sv-SE"/>
        </w:rPr>
        <w:t>Listing</w:t>
      </w:r>
      <w:proofErr w:type="spellEnd"/>
    </w:p>
    <w:p w14:paraId="0909294E" w14:textId="77777777" w:rsidR="006350FE" w:rsidRPr="00437F01" w:rsidRDefault="006350FE" w:rsidP="006350FE">
      <w:pPr>
        <w:pStyle w:val="BodyText"/>
        <w:ind w:left="720"/>
      </w:pPr>
      <w:r w:rsidRPr="00A50800">
        <w:rPr>
          <w:lang w:val="sv-SE"/>
        </w:rPr>
        <w:t xml:space="preserve">Vad som ovan angivits rörande notering på handelsplats </w:t>
      </w:r>
      <w:r>
        <w:rPr>
          <w:lang w:val="sv-SE"/>
        </w:rPr>
        <w:t>ska</w:t>
      </w:r>
      <w:r w:rsidRPr="00A50800">
        <w:rPr>
          <w:lang w:val="sv-SE"/>
        </w:rPr>
        <w:t xml:space="preserve"> gälla för det fall Bolagets Aktier är föremål för offentlig och organiserad handel på reglerad marknad eller annan organiserad multilateral handelsplattform. Hänvisning till handelsplats </w:t>
      </w:r>
      <w:r>
        <w:rPr>
          <w:lang w:val="sv-SE"/>
        </w:rPr>
        <w:t>ska</w:t>
      </w:r>
      <w:r w:rsidRPr="00A50800">
        <w:rPr>
          <w:lang w:val="sv-SE"/>
        </w:rPr>
        <w:t xml:space="preserve"> då avse sådan reglerad marknad eller annan multilateral handelsplattform.</w:t>
      </w:r>
      <w:r w:rsidRPr="00A50800">
        <w:rPr>
          <w:szCs w:val="22"/>
          <w:lang w:val="sv-SE"/>
        </w:rPr>
        <w:t xml:space="preserve"> Vid utgivandet av Teckningsoptionerna är Aktier</w:t>
      </w:r>
      <w:r w:rsidRPr="008570D1">
        <w:rPr>
          <w:szCs w:val="22"/>
          <w:lang w:val="sv-SE"/>
        </w:rPr>
        <w:t xml:space="preserve">na noterade på Nasdaq </w:t>
      </w:r>
      <w:proofErr w:type="spellStart"/>
      <w:r w:rsidRPr="008570D1">
        <w:rPr>
          <w:szCs w:val="22"/>
          <w:lang w:val="sv-SE"/>
        </w:rPr>
        <w:t>First</w:t>
      </w:r>
      <w:proofErr w:type="spellEnd"/>
      <w:r w:rsidRPr="008570D1">
        <w:rPr>
          <w:szCs w:val="22"/>
          <w:lang w:val="sv-SE"/>
        </w:rPr>
        <w:t xml:space="preserve"> North Premier </w:t>
      </w:r>
      <w:proofErr w:type="spellStart"/>
      <w:r w:rsidRPr="008570D1">
        <w:rPr>
          <w:szCs w:val="22"/>
          <w:lang w:val="sv-SE"/>
        </w:rPr>
        <w:t>Growth</w:t>
      </w:r>
      <w:proofErr w:type="spellEnd"/>
      <w:r w:rsidRPr="008570D1">
        <w:rPr>
          <w:szCs w:val="22"/>
          <w:lang w:val="sv-SE"/>
        </w:rPr>
        <w:t xml:space="preserve"> Market som vid tillfället är en multilateral handelsplattform.</w:t>
      </w:r>
      <w:r w:rsidRPr="008570D1">
        <w:rPr>
          <w:lang w:val="sv-SE"/>
        </w:rPr>
        <w:br/>
      </w:r>
      <w:r w:rsidRPr="008570D1">
        <w:rPr>
          <w:i/>
        </w:rPr>
        <w:t>What is stated above concerning quoting on a market will apply if the Company's Shares are subject to public and organized trading on a regulated market or other organized multilateral trading facility. Reference to trading then shall apply to such a regulated market or other multilateral trading facility</w:t>
      </w:r>
      <w:r w:rsidRPr="008570D1">
        <w:t>.</w:t>
      </w:r>
      <w:r w:rsidRPr="008570D1">
        <w:rPr>
          <w:i/>
          <w:szCs w:val="22"/>
        </w:rPr>
        <w:t xml:space="preserve"> At the date of the issuance of the Warrants the Shares are listed at </w:t>
      </w:r>
      <w:r w:rsidRPr="008570D1">
        <w:rPr>
          <w:i/>
          <w:iCs/>
          <w:szCs w:val="22"/>
        </w:rPr>
        <w:t>Nasdaq First North Premier Growth Market</w:t>
      </w:r>
      <w:r w:rsidRPr="008570D1">
        <w:rPr>
          <w:szCs w:val="22"/>
        </w:rPr>
        <w:t xml:space="preserve"> </w:t>
      </w:r>
      <w:r w:rsidRPr="008570D1">
        <w:rPr>
          <w:i/>
          <w:szCs w:val="22"/>
        </w:rPr>
        <w:t>which at that time is a multilateral trading facility.</w:t>
      </w:r>
    </w:p>
    <w:p w14:paraId="3F824F68" w14:textId="77777777" w:rsidR="006350FE" w:rsidRPr="00A50800" w:rsidRDefault="006350FE" w:rsidP="007C4B62">
      <w:pPr>
        <w:pStyle w:val="BodyText"/>
        <w:numPr>
          <w:ilvl w:val="2"/>
          <w:numId w:val="57"/>
        </w:numPr>
        <w:spacing w:after="0"/>
        <w:rPr>
          <w:b/>
          <w:lang w:val="sv-SE"/>
        </w:rPr>
      </w:pPr>
      <w:r w:rsidRPr="00A50800">
        <w:rPr>
          <w:b/>
          <w:lang w:val="sv-SE"/>
        </w:rPr>
        <w:t>Kvotvärde/</w:t>
      </w:r>
      <w:proofErr w:type="spellStart"/>
      <w:r w:rsidRPr="00A50800">
        <w:rPr>
          <w:b/>
          <w:i/>
          <w:lang w:val="sv-SE"/>
        </w:rPr>
        <w:t>Quota</w:t>
      </w:r>
      <w:proofErr w:type="spellEnd"/>
      <w:r w:rsidRPr="00A50800">
        <w:rPr>
          <w:b/>
          <w:i/>
          <w:lang w:val="sv-SE"/>
        </w:rPr>
        <w:t xml:space="preserve"> </w:t>
      </w:r>
      <w:proofErr w:type="spellStart"/>
      <w:r w:rsidRPr="00A50800">
        <w:rPr>
          <w:b/>
          <w:i/>
          <w:lang w:val="sv-SE"/>
        </w:rPr>
        <w:t>value</w:t>
      </w:r>
      <w:proofErr w:type="spellEnd"/>
    </w:p>
    <w:p w14:paraId="052D19DC" w14:textId="77777777" w:rsidR="006350FE" w:rsidRPr="00437F01" w:rsidRDefault="006350FE" w:rsidP="006350FE">
      <w:pPr>
        <w:pStyle w:val="BodyText"/>
        <w:ind w:left="720"/>
      </w:pPr>
      <w:r w:rsidRPr="00A50800">
        <w:rPr>
          <w:lang w:val="sv-SE"/>
        </w:rPr>
        <w:t xml:space="preserve">Om angiven åtgärd och omräkning enligt något av punkterna </w:t>
      </w:r>
      <w:r>
        <w:rPr>
          <w:szCs w:val="22"/>
        </w:rPr>
        <w:fldChar w:fldCharType="begin"/>
      </w:r>
      <w:r>
        <w:rPr>
          <w:lang w:val="sv-SE"/>
        </w:rPr>
        <w:instrText xml:space="preserve"> REF _Ref419826047 \r \h </w:instrText>
      </w:r>
      <w:r>
        <w:rPr>
          <w:szCs w:val="22"/>
        </w:rPr>
      </w:r>
      <w:r>
        <w:rPr>
          <w:szCs w:val="22"/>
        </w:rPr>
        <w:fldChar w:fldCharType="separate"/>
      </w:r>
      <w:r>
        <w:rPr>
          <w:lang w:val="sv-SE"/>
        </w:rPr>
        <w:t>8.2.2</w:t>
      </w:r>
      <w:r>
        <w:rPr>
          <w:szCs w:val="22"/>
        </w:rPr>
        <w:fldChar w:fldCharType="end"/>
      </w:r>
      <w:r w:rsidRPr="00A50800">
        <w:rPr>
          <w:lang w:val="sv-SE"/>
        </w:rPr>
        <w:t>–</w:t>
      </w:r>
      <w:r>
        <w:rPr>
          <w:szCs w:val="22"/>
        </w:rPr>
        <w:fldChar w:fldCharType="begin"/>
      </w:r>
      <w:r>
        <w:rPr>
          <w:szCs w:val="22"/>
          <w:lang w:val="sv-SE"/>
        </w:rPr>
        <w:instrText xml:space="preserve"> REF _Ref445999198 \r \h </w:instrText>
      </w:r>
      <w:r>
        <w:rPr>
          <w:szCs w:val="22"/>
        </w:rPr>
      </w:r>
      <w:r>
        <w:rPr>
          <w:szCs w:val="22"/>
        </w:rPr>
        <w:fldChar w:fldCharType="separate"/>
      </w:r>
      <w:r>
        <w:rPr>
          <w:szCs w:val="22"/>
          <w:lang w:val="sv-SE"/>
        </w:rPr>
        <w:t>8.2.12</w:t>
      </w:r>
      <w:r>
        <w:rPr>
          <w:szCs w:val="22"/>
        </w:rPr>
        <w:fldChar w:fldCharType="end"/>
      </w:r>
      <w:r w:rsidRPr="001B669B">
        <w:rPr>
          <w:szCs w:val="22"/>
          <w:lang w:val="sv-SE"/>
        </w:rPr>
        <w:t xml:space="preserve"> </w:t>
      </w:r>
      <w:r w:rsidRPr="00A50800">
        <w:rPr>
          <w:lang w:val="sv-SE"/>
        </w:rPr>
        <w:t xml:space="preserve">ovan skulle medföra en omräkning av Teckningskursen till ett belopp understigande </w:t>
      </w:r>
      <w:r>
        <w:rPr>
          <w:lang w:val="sv-SE"/>
        </w:rPr>
        <w:t>Aktie</w:t>
      </w:r>
      <w:r w:rsidRPr="00A50800">
        <w:rPr>
          <w:lang w:val="sv-SE"/>
        </w:rPr>
        <w:t xml:space="preserve">ns kvotvärde, </w:t>
      </w:r>
      <w:r>
        <w:rPr>
          <w:lang w:val="sv-SE"/>
        </w:rPr>
        <w:t>ska</w:t>
      </w:r>
      <w:r w:rsidRPr="00A50800">
        <w:rPr>
          <w:lang w:val="sv-SE"/>
        </w:rPr>
        <w:t xml:space="preserve"> ändå </w:t>
      </w:r>
      <w:r>
        <w:rPr>
          <w:lang w:val="sv-SE"/>
        </w:rPr>
        <w:t>Aktie</w:t>
      </w:r>
      <w:r w:rsidRPr="00A50800">
        <w:rPr>
          <w:lang w:val="sv-SE"/>
        </w:rPr>
        <w:t>ns kvotvärde erläggas för Aktie.</w:t>
      </w:r>
      <w:r w:rsidRPr="00A50800">
        <w:rPr>
          <w:lang w:val="sv-SE"/>
        </w:rPr>
        <w:br/>
      </w:r>
      <w:r w:rsidRPr="00437F01">
        <w:rPr>
          <w:i/>
        </w:rPr>
        <w:t xml:space="preserve">If the measures and recalculations stated in any of the sections </w:t>
      </w:r>
      <w:r>
        <w:rPr>
          <w:i/>
          <w:szCs w:val="22"/>
        </w:rPr>
        <w:fldChar w:fldCharType="begin"/>
      </w:r>
      <w:r>
        <w:rPr>
          <w:i/>
        </w:rPr>
        <w:instrText xml:space="preserve"> REF _Ref419826047 \r \h </w:instrText>
      </w:r>
      <w:r>
        <w:rPr>
          <w:i/>
          <w:szCs w:val="22"/>
        </w:rPr>
      </w:r>
      <w:r>
        <w:rPr>
          <w:i/>
          <w:szCs w:val="22"/>
        </w:rPr>
        <w:fldChar w:fldCharType="separate"/>
      </w:r>
      <w:r>
        <w:rPr>
          <w:i/>
        </w:rPr>
        <w:t>8.2.2</w:t>
      </w:r>
      <w:r>
        <w:rPr>
          <w:i/>
          <w:szCs w:val="22"/>
        </w:rPr>
        <w:fldChar w:fldCharType="end"/>
      </w:r>
      <w:r w:rsidRPr="00437F01">
        <w:rPr>
          <w:i/>
        </w:rPr>
        <w:t>–</w:t>
      </w:r>
      <w:r>
        <w:rPr>
          <w:i/>
          <w:szCs w:val="22"/>
        </w:rPr>
        <w:fldChar w:fldCharType="begin"/>
      </w:r>
      <w:r>
        <w:rPr>
          <w:i/>
          <w:szCs w:val="22"/>
        </w:rPr>
        <w:instrText xml:space="preserve"> REF _Ref445999198 \r \h </w:instrText>
      </w:r>
      <w:r>
        <w:rPr>
          <w:i/>
          <w:szCs w:val="22"/>
        </w:rPr>
      </w:r>
      <w:r>
        <w:rPr>
          <w:i/>
          <w:szCs w:val="22"/>
        </w:rPr>
        <w:fldChar w:fldCharType="separate"/>
      </w:r>
      <w:r>
        <w:rPr>
          <w:i/>
          <w:szCs w:val="22"/>
        </w:rPr>
        <w:t>8.2.12</w:t>
      </w:r>
      <w:r>
        <w:rPr>
          <w:i/>
          <w:szCs w:val="22"/>
        </w:rPr>
        <w:fldChar w:fldCharType="end"/>
      </w:r>
      <w:r>
        <w:rPr>
          <w:i/>
          <w:szCs w:val="22"/>
        </w:rPr>
        <w:t xml:space="preserve"> </w:t>
      </w:r>
      <w:r w:rsidRPr="00437F01">
        <w:rPr>
          <w:i/>
        </w:rPr>
        <w:t xml:space="preserve">above would </w:t>
      </w:r>
      <w:r w:rsidRPr="00437F01">
        <w:rPr>
          <w:i/>
        </w:rPr>
        <w:lastRenderedPageBreak/>
        <w:t>result in a recalculation of the Subscription Price that would amount to a number less than the Share's quota value, the quota value shall nevertheless be paid for the Share.</w:t>
      </w:r>
    </w:p>
    <w:p w14:paraId="2E45AE91" w14:textId="77777777" w:rsidR="006350FE" w:rsidRPr="00D04C29" w:rsidRDefault="006350FE" w:rsidP="007C4B62">
      <w:pPr>
        <w:pStyle w:val="BodyText"/>
        <w:numPr>
          <w:ilvl w:val="0"/>
          <w:numId w:val="57"/>
        </w:numPr>
        <w:spacing w:after="0"/>
        <w:rPr>
          <w:b/>
          <w:lang w:val="sv-SE"/>
        </w:rPr>
      </w:pPr>
      <w:r w:rsidRPr="00D04C29">
        <w:rPr>
          <w:b/>
          <w:lang w:val="sv-SE"/>
        </w:rPr>
        <w:t>Ersättning/</w:t>
      </w:r>
      <w:proofErr w:type="spellStart"/>
      <w:r w:rsidRPr="00D04C29">
        <w:rPr>
          <w:b/>
          <w:i/>
          <w:lang w:val="sv-SE"/>
        </w:rPr>
        <w:t>Compensation</w:t>
      </w:r>
      <w:proofErr w:type="spellEnd"/>
    </w:p>
    <w:p w14:paraId="4246B982" w14:textId="77777777" w:rsidR="006350FE" w:rsidRDefault="006350FE" w:rsidP="006350FE">
      <w:pPr>
        <w:pStyle w:val="BodyText"/>
        <w:ind w:left="720"/>
        <w:rPr>
          <w:i/>
        </w:rPr>
      </w:pPr>
      <w:r w:rsidRPr="00A50800">
        <w:rPr>
          <w:lang w:val="sv-SE"/>
        </w:rPr>
        <w:t xml:space="preserve">Om det vid tillämpningen av ändringarna i punkt </w:t>
      </w:r>
      <w:r>
        <w:rPr>
          <w:rFonts w:cstheme="minorHAnsi"/>
        </w:rPr>
        <w:fldChar w:fldCharType="begin"/>
      </w:r>
      <w:r>
        <w:rPr>
          <w:lang w:val="sv-SE"/>
        </w:rPr>
        <w:instrText xml:space="preserve"> REF _Ref419825929 \r \h </w:instrText>
      </w:r>
      <w:r>
        <w:rPr>
          <w:rFonts w:cstheme="minorHAnsi"/>
        </w:rPr>
      </w:r>
      <w:r>
        <w:rPr>
          <w:rFonts w:cstheme="minorHAnsi"/>
        </w:rPr>
        <w:fldChar w:fldCharType="separate"/>
      </w:r>
      <w:r>
        <w:rPr>
          <w:lang w:val="sv-SE"/>
        </w:rPr>
        <w:t>8.2</w:t>
      </w:r>
      <w:r>
        <w:rPr>
          <w:rFonts w:cstheme="minorHAnsi"/>
        </w:rPr>
        <w:fldChar w:fldCharType="end"/>
      </w:r>
      <w:r w:rsidRPr="00A50800">
        <w:rPr>
          <w:lang w:val="sv-SE"/>
        </w:rPr>
        <w:t xml:space="preserve">, inte är praktiskt eller juridiskt möjligt att tillämpa en reducerad Teckningskurs </w:t>
      </w:r>
      <w:r>
        <w:rPr>
          <w:lang w:val="sv-SE"/>
        </w:rPr>
        <w:t>ska</w:t>
      </w:r>
      <w:r w:rsidRPr="00A50800">
        <w:rPr>
          <w:lang w:val="sv-SE"/>
        </w:rPr>
        <w:t xml:space="preserve"> antalet Aktier som varje Teckningsoption berättigar Optionsinnehavaren att teckna, i ett andra steg, omräknas (dvs ökas) för att ersätta Optionsinnehavaren för den uteblivna reduceringen av Teckningskursen, dvs ökat krona för krona.</w:t>
      </w:r>
      <w:r w:rsidRPr="00A50800">
        <w:rPr>
          <w:lang w:val="sv-SE"/>
        </w:rPr>
        <w:br/>
      </w:r>
      <w:r w:rsidRPr="00437F01">
        <w:rPr>
          <w:i/>
        </w:rPr>
        <w:t xml:space="preserve">If, in the application of the adjustments in this section </w:t>
      </w:r>
      <w:r>
        <w:rPr>
          <w:i/>
        </w:rPr>
        <w:fldChar w:fldCharType="begin"/>
      </w:r>
      <w:r>
        <w:rPr>
          <w:i/>
        </w:rPr>
        <w:instrText xml:space="preserve"> REF _Ref419825929 \r \h </w:instrText>
      </w:r>
      <w:r>
        <w:rPr>
          <w:i/>
        </w:rPr>
      </w:r>
      <w:r>
        <w:rPr>
          <w:i/>
        </w:rPr>
        <w:fldChar w:fldCharType="separate"/>
      </w:r>
      <w:r>
        <w:rPr>
          <w:i/>
        </w:rPr>
        <w:t>8.2</w:t>
      </w:r>
      <w:r>
        <w:rPr>
          <w:i/>
        </w:rPr>
        <w:fldChar w:fldCharType="end"/>
      </w:r>
      <w:r w:rsidRPr="00437F01">
        <w:rPr>
          <w:i/>
        </w:rPr>
        <w:t xml:space="preserve">, it is not practicable or legally possible to apply a reduced Subscription Price, the number of Shares which each Warrant entitles the </w:t>
      </w:r>
      <w:r>
        <w:rPr>
          <w:i/>
        </w:rPr>
        <w:t>Warrant Holder</w:t>
      </w:r>
      <w:r w:rsidRPr="00437F01">
        <w:rPr>
          <w:i/>
        </w:rPr>
        <w:t xml:space="preserve"> to purchase shall, in a secondary step, be recalculated (i.e. increased) in order to compensate the </w:t>
      </w:r>
      <w:r>
        <w:rPr>
          <w:i/>
        </w:rPr>
        <w:t>Warrant Holder</w:t>
      </w:r>
      <w:r w:rsidRPr="00437F01">
        <w:rPr>
          <w:i/>
        </w:rPr>
        <w:t xml:space="preserve"> for the </w:t>
      </w:r>
      <w:proofErr w:type="spellStart"/>
      <w:r w:rsidRPr="00437F01">
        <w:rPr>
          <w:i/>
        </w:rPr>
        <w:t>non reduction</w:t>
      </w:r>
      <w:proofErr w:type="spellEnd"/>
      <w:r w:rsidRPr="00437F01">
        <w:rPr>
          <w:i/>
        </w:rPr>
        <w:t xml:space="preserve"> in the Subscription Price, i.e. increased krona per krona.</w:t>
      </w:r>
    </w:p>
    <w:p w14:paraId="2E4778FC" w14:textId="77777777" w:rsidR="006350FE" w:rsidRPr="00D04C29" w:rsidRDefault="006350FE" w:rsidP="007C4B62">
      <w:pPr>
        <w:pStyle w:val="BodyText"/>
        <w:numPr>
          <w:ilvl w:val="0"/>
          <w:numId w:val="57"/>
        </w:numPr>
        <w:spacing w:after="0"/>
        <w:rPr>
          <w:b/>
          <w:bCs/>
          <w:lang w:val="sv-SE"/>
        </w:rPr>
      </w:pPr>
      <w:r w:rsidRPr="00D04C29">
        <w:rPr>
          <w:b/>
          <w:bCs/>
          <w:lang w:val="sv-SE"/>
        </w:rPr>
        <w:t>Förvaltare/</w:t>
      </w:r>
      <w:proofErr w:type="spellStart"/>
      <w:r w:rsidRPr="00D04C29">
        <w:rPr>
          <w:b/>
          <w:bCs/>
          <w:i/>
          <w:lang w:val="sv-SE"/>
        </w:rPr>
        <w:t>Nominee</w:t>
      </w:r>
      <w:proofErr w:type="spellEnd"/>
    </w:p>
    <w:p w14:paraId="06F91D56" w14:textId="77777777" w:rsidR="006350FE" w:rsidRPr="00437F01" w:rsidRDefault="006350FE" w:rsidP="006350FE">
      <w:pPr>
        <w:pStyle w:val="BodyText"/>
        <w:ind w:left="720"/>
      </w:pPr>
      <w:r w:rsidRPr="00A50800">
        <w:rPr>
          <w:lang w:val="sv-SE"/>
        </w:rPr>
        <w:t xml:space="preserve">För Teckningsoption som är förvaltarregistrerad enligt lag om värdepapperscentraler och kontoföring av finansiella instrument </w:t>
      </w:r>
      <w:r>
        <w:rPr>
          <w:lang w:val="sv-SE"/>
        </w:rPr>
        <w:t>ska</w:t>
      </w:r>
      <w:r w:rsidRPr="00A50800">
        <w:rPr>
          <w:lang w:val="sv-SE"/>
        </w:rPr>
        <w:t xml:space="preserve"> vid tillämpningen av dessa villkor förvaltaren betraktas som </w:t>
      </w:r>
      <w:r>
        <w:rPr>
          <w:lang w:val="sv-SE"/>
        </w:rPr>
        <w:t>Optionsinnehavare</w:t>
      </w:r>
      <w:r w:rsidRPr="00A50800">
        <w:rPr>
          <w:lang w:val="sv-SE"/>
        </w:rPr>
        <w:t>.</w:t>
      </w:r>
      <w:r w:rsidRPr="00A50800">
        <w:rPr>
          <w:lang w:val="sv-SE"/>
        </w:rPr>
        <w:br/>
      </w:r>
      <w:r w:rsidRPr="00437F01">
        <w:rPr>
          <w:i/>
        </w:rPr>
        <w:t xml:space="preserve">If a Warrant is registered with a nominee pursuant to the Central Securities Depositories and Swedish Financial Instruments Accounts Act, such nominee shall be regarded as the </w:t>
      </w:r>
      <w:r>
        <w:rPr>
          <w:i/>
        </w:rPr>
        <w:t>Warrant Holder</w:t>
      </w:r>
      <w:r w:rsidRPr="00437F01">
        <w:rPr>
          <w:i/>
        </w:rPr>
        <w:t xml:space="preserve"> where these terms</w:t>
      </w:r>
      <w:r>
        <w:rPr>
          <w:i/>
        </w:rPr>
        <w:t xml:space="preserve"> and conditions</w:t>
      </w:r>
      <w:r w:rsidRPr="00437F01">
        <w:rPr>
          <w:i/>
        </w:rPr>
        <w:t xml:space="preserve"> are applied.</w:t>
      </w:r>
    </w:p>
    <w:p w14:paraId="1DE73227" w14:textId="77777777" w:rsidR="006350FE" w:rsidRPr="00D04C29" w:rsidRDefault="006350FE" w:rsidP="007C4B62">
      <w:pPr>
        <w:pStyle w:val="BodyText"/>
        <w:numPr>
          <w:ilvl w:val="0"/>
          <w:numId w:val="57"/>
        </w:numPr>
        <w:spacing w:after="0"/>
        <w:rPr>
          <w:b/>
          <w:bCs/>
          <w:lang w:val="sv-SE"/>
        </w:rPr>
      </w:pPr>
      <w:r w:rsidRPr="00D04C29">
        <w:rPr>
          <w:b/>
          <w:bCs/>
          <w:lang w:val="sv-SE"/>
        </w:rPr>
        <w:t>Meddelanden/</w:t>
      </w:r>
      <w:proofErr w:type="spellStart"/>
      <w:r w:rsidRPr="00D04C29">
        <w:rPr>
          <w:b/>
          <w:bCs/>
          <w:i/>
          <w:lang w:val="sv-SE"/>
        </w:rPr>
        <w:t>Notices</w:t>
      </w:r>
      <w:proofErr w:type="spellEnd"/>
    </w:p>
    <w:p w14:paraId="497BC7B4" w14:textId="77777777" w:rsidR="006350FE" w:rsidRPr="00437F01" w:rsidRDefault="006350FE" w:rsidP="007C4B62">
      <w:pPr>
        <w:pStyle w:val="BodyText"/>
        <w:numPr>
          <w:ilvl w:val="1"/>
          <w:numId w:val="57"/>
        </w:numPr>
      </w:pPr>
      <w:r w:rsidRPr="00A50800">
        <w:rPr>
          <w:lang w:val="sv-SE"/>
        </w:rPr>
        <w:t xml:space="preserve">Meddelanden rörande Teckningsoptionerna </w:t>
      </w:r>
      <w:r>
        <w:rPr>
          <w:lang w:val="sv-SE"/>
        </w:rPr>
        <w:t>ska</w:t>
      </w:r>
      <w:r w:rsidRPr="00A50800">
        <w:rPr>
          <w:lang w:val="sv-SE"/>
        </w:rPr>
        <w:t xml:space="preserve"> tillställas varje </w:t>
      </w:r>
      <w:r>
        <w:rPr>
          <w:lang w:val="sv-SE"/>
        </w:rPr>
        <w:t>Optionsinnehavare</w:t>
      </w:r>
      <w:r w:rsidRPr="00A50800">
        <w:rPr>
          <w:lang w:val="sv-SE"/>
        </w:rPr>
        <w:t xml:space="preserve"> som skriftligen meddelat sin postadress till Bolaget.</w:t>
      </w:r>
      <w:r w:rsidRPr="00A50800">
        <w:rPr>
          <w:lang w:val="sv-SE"/>
        </w:rPr>
        <w:br/>
      </w:r>
      <w:r w:rsidRPr="00437F01">
        <w:rPr>
          <w:i/>
        </w:rPr>
        <w:t xml:space="preserve">Notices concerning the Warrants shall be sent to each </w:t>
      </w:r>
      <w:r>
        <w:rPr>
          <w:i/>
        </w:rPr>
        <w:t>Warrant Holder</w:t>
      </w:r>
      <w:r w:rsidRPr="00437F01">
        <w:rPr>
          <w:i/>
        </w:rPr>
        <w:t xml:space="preserve"> who has informed the Company of his/her/its </w:t>
      </w:r>
      <w:proofErr w:type="gramStart"/>
      <w:r w:rsidRPr="00437F01">
        <w:rPr>
          <w:i/>
        </w:rPr>
        <w:t>mail</w:t>
      </w:r>
      <w:proofErr w:type="gramEnd"/>
      <w:r w:rsidRPr="00437F01">
        <w:rPr>
          <w:i/>
        </w:rPr>
        <w:t xml:space="preserve"> address.</w:t>
      </w:r>
    </w:p>
    <w:p w14:paraId="2CA90D72" w14:textId="77777777" w:rsidR="006350FE" w:rsidRPr="00437F01" w:rsidRDefault="006350FE" w:rsidP="007C4B62">
      <w:pPr>
        <w:pStyle w:val="BodyText"/>
        <w:numPr>
          <w:ilvl w:val="1"/>
          <w:numId w:val="57"/>
        </w:numPr>
      </w:pPr>
      <w:r w:rsidRPr="00A50800">
        <w:rPr>
          <w:lang w:val="sv-SE"/>
        </w:rPr>
        <w:t xml:space="preserve">För det fall Teckningsoptionerna är registrerade av Euroclear i ett avstämningsregister </w:t>
      </w:r>
      <w:r>
        <w:rPr>
          <w:lang w:val="sv-SE"/>
        </w:rPr>
        <w:t>ska</w:t>
      </w:r>
      <w:r w:rsidRPr="00A50800">
        <w:rPr>
          <w:lang w:val="sv-SE"/>
        </w:rPr>
        <w:t xml:space="preserve"> meddelande rörande Teckningsoptionerna, istället för vad som stadgas i punkt </w:t>
      </w:r>
      <w:r>
        <w:fldChar w:fldCharType="begin"/>
      </w:r>
      <w:r>
        <w:rPr>
          <w:lang w:val="sv-SE"/>
        </w:rPr>
        <w:instrText xml:space="preserve"> REF _Ref167349964 \r \h </w:instrText>
      </w:r>
      <w:r>
        <w:fldChar w:fldCharType="separate"/>
      </w:r>
      <w:r>
        <w:rPr>
          <w:lang w:val="sv-SE"/>
        </w:rPr>
        <w:t>11.1</w:t>
      </w:r>
      <w:r>
        <w:fldChar w:fldCharType="end"/>
      </w:r>
      <w:r w:rsidRPr="00A50800">
        <w:rPr>
          <w:lang w:val="sv-SE"/>
        </w:rPr>
        <w:t xml:space="preserve"> ovan tillställas varje registrerad Optionsinnehavare och annan rättighetshavare som är antecknad på konto i Bolagets avstämningsregister.</w:t>
      </w:r>
      <w:r w:rsidRPr="00A50800">
        <w:rPr>
          <w:lang w:val="sv-SE"/>
        </w:rPr>
        <w:br/>
      </w:r>
      <w:r w:rsidRPr="00437F01">
        <w:rPr>
          <w:i/>
        </w:rPr>
        <w:t xml:space="preserve">In the event that the Warrants are registered with Euroclear in a, notices concerning the Warrants shall, instead of what is stated in section </w:t>
      </w:r>
      <w:r>
        <w:rPr>
          <w:b/>
          <w:i/>
        </w:rPr>
        <w:fldChar w:fldCharType="begin"/>
      </w:r>
      <w:r>
        <w:rPr>
          <w:i/>
        </w:rPr>
        <w:instrText xml:space="preserve"> REF _Ref167349964 \r \h </w:instrText>
      </w:r>
      <w:r>
        <w:rPr>
          <w:b/>
          <w:i/>
        </w:rPr>
      </w:r>
      <w:r>
        <w:rPr>
          <w:b/>
          <w:i/>
        </w:rPr>
        <w:fldChar w:fldCharType="separate"/>
      </w:r>
      <w:r>
        <w:rPr>
          <w:i/>
        </w:rPr>
        <w:t>11.1</w:t>
      </w:r>
      <w:r>
        <w:rPr>
          <w:b/>
          <w:i/>
        </w:rPr>
        <w:fldChar w:fldCharType="end"/>
      </w:r>
      <w:r w:rsidRPr="00437F01">
        <w:rPr>
          <w:i/>
        </w:rPr>
        <w:t xml:space="preserve"> above, be sent to each registered </w:t>
      </w:r>
      <w:r>
        <w:rPr>
          <w:i/>
        </w:rPr>
        <w:t>Warrant Holder</w:t>
      </w:r>
      <w:r w:rsidRPr="00437F01">
        <w:rPr>
          <w:i/>
        </w:rPr>
        <w:t xml:space="preserve"> or other right holder who is registered in an account the Company's securities register.</w:t>
      </w:r>
    </w:p>
    <w:p w14:paraId="6C75AC12" w14:textId="77777777" w:rsidR="006350FE" w:rsidRPr="00437F01" w:rsidRDefault="006350FE" w:rsidP="007C4B62">
      <w:pPr>
        <w:pStyle w:val="BodyText"/>
        <w:numPr>
          <w:ilvl w:val="1"/>
          <w:numId w:val="57"/>
        </w:numPr>
      </w:pPr>
      <w:r w:rsidRPr="00A50800">
        <w:rPr>
          <w:lang w:val="sv-SE"/>
        </w:rPr>
        <w:t xml:space="preserve">Meddelanden </w:t>
      </w:r>
      <w:r>
        <w:rPr>
          <w:lang w:val="sv-SE"/>
        </w:rPr>
        <w:t>ska</w:t>
      </w:r>
      <w:r w:rsidRPr="00A50800">
        <w:rPr>
          <w:lang w:val="sv-SE"/>
        </w:rPr>
        <w:t>, i förekommande fall, även lämnas till marknadsplatsen och offentliggöras enligt marknadsplatsens regler.</w:t>
      </w:r>
      <w:r w:rsidRPr="00A50800">
        <w:rPr>
          <w:lang w:val="sv-SE"/>
        </w:rPr>
        <w:br/>
      </w:r>
      <w:r w:rsidRPr="00437F01">
        <w:rPr>
          <w:i/>
        </w:rPr>
        <w:t>Notices shall, if applicable, also be given to the market place and be made public in accordance with the rules applicable to such market place.</w:t>
      </w:r>
    </w:p>
    <w:p w14:paraId="795730B0" w14:textId="77777777" w:rsidR="006350FE" w:rsidRPr="00D04C29" w:rsidRDefault="006350FE" w:rsidP="007C4B62">
      <w:pPr>
        <w:pStyle w:val="BodyText"/>
        <w:numPr>
          <w:ilvl w:val="0"/>
          <w:numId w:val="57"/>
        </w:numPr>
        <w:spacing w:after="0"/>
        <w:rPr>
          <w:b/>
          <w:bCs/>
        </w:rPr>
      </w:pPr>
      <w:proofErr w:type="spellStart"/>
      <w:r w:rsidRPr="00D04C29">
        <w:rPr>
          <w:b/>
          <w:bCs/>
        </w:rPr>
        <w:t>Ändring</w:t>
      </w:r>
      <w:proofErr w:type="spellEnd"/>
      <w:r w:rsidRPr="00D04C29">
        <w:rPr>
          <w:b/>
          <w:bCs/>
        </w:rPr>
        <w:t xml:space="preserve"> </w:t>
      </w:r>
      <w:proofErr w:type="spellStart"/>
      <w:r w:rsidRPr="00D04C29">
        <w:rPr>
          <w:b/>
          <w:bCs/>
        </w:rPr>
        <w:t>av</w:t>
      </w:r>
      <w:proofErr w:type="spellEnd"/>
      <w:r w:rsidRPr="00D04C29">
        <w:rPr>
          <w:b/>
          <w:bCs/>
        </w:rPr>
        <w:t xml:space="preserve"> </w:t>
      </w:r>
      <w:proofErr w:type="spellStart"/>
      <w:r w:rsidRPr="00D04C29">
        <w:rPr>
          <w:b/>
          <w:bCs/>
        </w:rPr>
        <w:t>villkoren</w:t>
      </w:r>
      <w:proofErr w:type="spellEnd"/>
      <w:r w:rsidRPr="00D04C29">
        <w:rPr>
          <w:b/>
          <w:bCs/>
        </w:rPr>
        <w:t>/</w:t>
      </w:r>
      <w:r w:rsidRPr="00D04C29">
        <w:rPr>
          <w:b/>
          <w:bCs/>
          <w:i/>
        </w:rPr>
        <w:t>Amendments of the terms and conditions</w:t>
      </w:r>
    </w:p>
    <w:p w14:paraId="20F3BD69" w14:textId="77777777" w:rsidR="006350FE" w:rsidRDefault="006350FE" w:rsidP="006350FE">
      <w:pPr>
        <w:pStyle w:val="BodyText"/>
        <w:ind w:left="720"/>
        <w:rPr>
          <w:i/>
        </w:rPr>
      </w:pPr>
      <w:r w:rsidRPr="00A50800">
        <w:rPr>
          <w:lang w:val="sv-SE"/>
        </w:rPr>
        <w:t>Bolaget äger rätt att besluta om ändring av dessa villkor i den mån lagstiftning, domstolsavgörande eller myndighetsbeslut så kräver eller om det i övrigt – enligt Bolagets bedömning – av praktiska skäl är ändamålsenligt eller nödvändigt och Options</w:t>
      </w:r>
      <w:r>
        <w:rPr>
          <w:lang w:val="sv-SE"/>
        </w:rPr>
        <w:t>inne</w:t>
      </w:r>
      <w:r w:rsidRPr="00A50800">
        <w:rPr>
          <w:lang w:val="sv-SE"/>
        </w:rPr>
        <w:t>havarnas rättigheter inte i något väsentligt avseende försämras.</w:t>
      </w:r>
      <w:r w:rsidRPr="00A50800">
        <w:rPr>
          <w:lang w:val="sv-SE"/>
        </w:rPr>
        <w:br/>
      </w:r>
      <w:r w:rsidRPr="00437F01">
        <w:rPr>
          <w:i/>
        </w:rPr>
        <w:t>The Company is entitled to amend these terms</w:t>
      </w:r>
      <w:r>
        <w:rPr>
          <w:i/>
        </w:rPr>
        <w:t xml:space="preserve"> and conditions</w:t>
      </w:r>
      <w:r w:rsidRPr="00437F01">
        <w:rPr>
          <w:i/>
        </w:rPr>
        <w:t xml:space="preserve"> to the extent it is required by legislation, court decisions or decisions of authorities, or if there under other circumstances – according to the Company's opinion – are practical reasons that are appropriate or necessary and the </w:t>
      </w:r>
      <w:r>
        <w:rPr>
          <w:i/>
        </w:rPr>
        <w:t>Warrant Holder</w:t>
      </w:r>
      <w:r w:rsidRPr="00437F01">
        <w:rPr>
          <w:i/>
        </w:rPr>
        <w:t>s' rights are not materially impaired.</w:t>
      </w:r>
    </w:p>
    <w:p w14:paraId="7C1D01D3" w14:textId="35EF4B95" w:rsidR="006350FE" w:rsidRDefault="006350FE" w:rsidP="006350FE">
      <w:pPr>
        <w:pStyle w:val="BodyText"/>
        <w:ind w:left="720"/>
        <w:rPr>
          <w:i/>
        </w:rPr>
      </w:pPr>
      <w:r>
        <w:rPr>
          <w:i/>
        </w:rPr>
        <w:br w:type="page"/>
      </w:r>
    </w:p>
    <w:p w14:paraId="41B62728" w14:textId="77777777" w:rsidR="006350FE" w:rsidRPr="00D04C29" w:rsidRDefault="006350FE" w:rsidP="007C4B62">
      <w:pPr>
        <w:pStyle w:val="BodyText"/>
        <w:numPr>
          <w:ilvl w:val="0"/>
          <w:numId w:val="57"/>
        </w:numPr>
        <w:spacing w:after="0"/>
        <w:rPr>
          <w:b/>
          <w:bCs/>
          <w:lang w:val="sv-SE"/>
        </w:rPr>
      </w:pPr>
      <w:r w:rsidRPr="00D04C29">
        <w:rPr>
          <w:b/>
          <w:bCs/>
          <w:lang w:val="sv-SE"/>
        </w:rPr>
        <w:lastRenderedPageBreak/>
        <w:t>Sekretess/</w:t>
      </w:r>
      <w:proofErr w:type="spellStart"/>
      <w:r w:rsidRPr="00D04C29">
        <w:rPr>
          <w:b/>
          <w:bCs/>
          <w:i/>
          <w:lang w:val="sv-SE"/>
        </w:rPr>
        <w:t>Confidentiality</w:t>
      </w:r>
      <w:proofErr w:type="spellEnd"/>
    </w:p>
    <w:p w14:paraId="04090459" w14:textId="77777777" w:rsidR="006350FE" w:rsidRPr="00437F01" w:rsidRDefault="006350FE" w:rsidP="006350FE">
      <w:pPr>
        <w:pStyle w:val="BodyText"/>
        <w:ind w:left="720"/>
      </w:pPr>
      <w:r w:rsidRPr="00A50800">
        <w:rPr>
          <w:lang w:val="sv-SE"/>
        </w:rPr>
        <w:t xml:space="preserve">Bolaget, Banken eller Euroclear får ej obehörigen till tredje man lämna ut uppgift om Optionsinnehavare. Bolaget äger rätt att få ut följande uppgifter från Euroclear om </w:t>
      </w:r>
      <w:r>
        <w:rPr>
          <w:lang w:val="sv-SE"/>
        </w:rPr>
        <w:t>Optionsinnehavare</w:t>
      </w:r>
      <w:r w:rsidRPr="00A50800">
        <w:rPr>
          <w:lang w:val="sv-SE"/>
        </w:rPr>
        <w:t xml:space="preserve">s konto i Bolagets avstämningsregister: (i) </w:t>
      </w:r>
      <w:r w:rsidRPr="00D00630">
        <w:rPr>
          <w:lang w:val="sv-SE"/>
        </w:rPr>
        <w:t>Optionsinnehavare</w:t>
      </w:r>
      <w:r w:rsidRPr="00A50800">
        <w:rPr>
          <w:lang w:val="sv-SE"/>
        </w:rPr>
        <w:t>s namn, personnummer eller annat identifikationsnummer samt postadress och (ii) antal Teckningsoptioner.</w:t>
      </w:r>
      <w:r w:rsidRPr="00A50800">
        <w:rPr>
          <w:lang w:val="sv-SE"/>
        </w:rPr>
        <w:br/>
      </w:r>
      <w:r w:rsidRPr="00437F01">
        <w:rPr>
          <w:i/>
        </w:rPr>
        <w:t xml:space="preserve">The Company, the Bank or Euroclear may not without necessary authorization disclose information regarding the </w:t>
      </w:r>
      <w:r>
        <w:rPr>
          <w:i/>
        </w:rPr>
        <w:t>Warrant Holder</w:t>
      </w:r>
      <w:r w:rsidRPr="00437F01">
        <w:rPr>
          <w:i/>
        </w:rPr>
        <w:t xml:space="preserve">s to third parties. The Company shall be entitled to the following information from Euroclear about the </w:t>
      </w:r>
      <w:r>
        <w:rPr>
          <w:i/>
        </w:rPr>
        <w:t>Warrant Holder</w:t>
      </w:r>
      <w:r w:rsidRPr="00437F01">
        <w:rPr>
          <w:i/>
        </w:rPr>
        <w:t>'s account in the share register of the Company: (</w:t>
      </w:r>
      <w:proofErr w:type="spellStart"/>
      <w:r w:rsidRPr="00437F01">
        <w:rPr>
          <w:i/>
        </w:rPr>
        <w:t>i</w:t>
      </w:r>
      <w:proofErr w:type="spellEnd"/>
      <w:r w:rsidRPr="00437F01">
        <w:rPr>
          <w:i/>
        </w:rPr>
        <w:t xml:space="preserve">) the </w:t>
      </w:r>
      <w:r>
        <w:rPr>
          <w:i/>
        </w:rPr>
        <w:t>Warrant Holder</w:t>
      </w:r>
      <w:r w:rsidRPr="00437F01">
        <w:rPr>
          <w:i/>
        </w:rPr>
        <w:t>'s name, personal identity number or other identity number and address and (ii) the number of Warrants.</w:t>
      </w:r>
    </w:p>
    <w:p w14:paraId="68F88380" w14:textId="77777777" w:rsidR="006350FE" w:rsidRPr="00D04C29" w:rsidRDefault="006350FE" w:rsidP="007C4B62">
      <w:pPr>
        <w:pStyle w:val="BodyText"/>
        <w:numPr>
          <w:ilvl w:val="0"/>
          <w:numId w:val="57"/>
        </w:numPr>
        <w:spacing w:after="0"/>
        <w:rPr>
          <w:b/>
          <w:bCs/>
        </w:rPr>
      </w:pPr>
      <w:proofErr w:type="spellStart"/>
      <w:r w:rsidRPr="00D04C29">
        <w:rPr>
          <w:b/>
          <w:bCs/>
        </w:rPr>
        <w:t>Begränsning</w:t>
      </w:r>
      <w:proofErr w:type="spellEnd"/>
      <w:r w:rsidRPr="00D04C29">
        <w:rPr>
          <w:b/>
          <w:bCs/>
        </w:rPr>
        <w:t xml:space="preserve"> </w:t>
      </w:r>
      <w:proofErr w:type="spellStart"/>
      <w:r w:rsidRPr="00D04C29">
        <w:rPr>
          <w:b/>
          <w:bCs/>
        </w:rPr>
        <w:t>av</w:t>
      </w:r>
      <w:proofErr w:type="spellEnd"/>
      <w:r w:rsidRPr="00D04C29">
        <w:rPr>
          <w:b/>
          <w:bCs/>
        </w:rPr>
        <w:t xml:space="preserve"> </w:t>
      </w:r>
      <w:proofErr w:type="spellStart"/>
      <w:r w:rsidRPr="00D04C29">
        <w:rPr>
          <w:b/>
          <w:bCs/>
        </w:rPr>
        <w:t>Bolagets</w:t>
      </w:r>
      <w:proofErr w:type="spellEnd"/>
      <w:r w:rsidRPr="00D04C29">
        <w:rPr>
          <w:b/>
          <w:bCs/>
        </w:rPr>
        <w:t xml:space="preserve">, </w:t>
      </w:r>
      <w:proofErr w:type="spellStart"/>
      <w:r w:rsidRPr="00D04C29">
        <w:rPr>
          <w:b/>
          <w:bCs/>
        </w:rPr>
        <w:t>Bankens</w:t>
      </w:r>
      <w:proofErr w:type="spellEnd"/>
      <w:r w:rsidRPr="00D04C29">
        <w:rPr>
          <w:b/>
          <w:bCs/>
        </w:rPr>
        <w:t xml:space="preserve"> </w:t>
      </w:r>
      <w:proofErr w:type="spellStart"/>
      <w:r w:rsidRPr="00D04C29">
        <w:rPr>
          <w:b/>
          <w:bCs/>
        </w:rPr>
        <w:t>och</w:t>
      </w:r>
      <w:proofErr w:type="spellEnd"/>
      <w:r w:rsidRPr="00D04C29">
        <w:rPr>
          <w:b/>
          <w:bCs/>
        </w:rPr>
        <w:t xml:space="preserve"> </w:t>
      </w:r>
      <w:proofErr w:type="spellStart"/>
      <w:r w:rsidRPr="00D04C29">
        <w:rPr>
          <w:b/>
          <w:bCs/>
        </w:rPr>
        <w:t>Euroclears</w:t>
      </w:r>
      <w:proofErr w:type="spellEnd"/>
      <w:r w:rsidRPr="00D04C29">
        <w:rPr>
          <w:b/>
          <w:bCs/>
        </w:rPr>
        <w:t xml:space="preserve"> </w:t>
      </w:r>
      <w:proofErr w:type="spellStart"/>
      <w:r w:rsidRPr="00D04C29">
        <w:rPr>
          <w:b/>
          <w:bCs/>
        </w:rPr>
        <w:t>ansvar</w:t>
      </w:r>
      <w:proofErr w:type="spellEnd"/>
      <w:r w:rsidRPr="00D04C29">
        <w:rPr>
          <w:b/>
          <w:bCs/>
        </w:rPr>
        <w:t>/</w:t>
      </w:r>
      <w:r w:rsidRPr="00D04C29">
        <w:rPr>
          <w:b/>
          <w:bCs/>
          <w:i/>
        </w:rPr>
        <w:t xml:space="preserve">Limitation of the Company's, the Bank's and the </w:t>
      </w:r>
      <w:r>
        <w:rPr>
          <w:b/>
          <w:bCs/>
          <w:i/>
        </w:rPr>
        <w:t>Euroclear</w:t>
      </w:r>
      <w:r w:rsidRPr="00D04C29">
        <w:rPr>
          <w:b/>
          <w:bCs/>
          <w:i/>
        </w:rPr>
        <w:t>'</w:t>
      </w:r>
      <w:r>
        <w:rPr>
          <w:b/>
          <w:bCs/>
          <w:i/>
        </w:rPr>
        <w:t xml:space="preserve">s </w:t>
      </w:r>
      <w:r w:rsidRPr="00D04C29">
        <w:rPr>
          <w:b/>
          <w:bCs/>
          <w:i/>
        </w:rPr>
        <w:t>liability</w:t>
      </w:r>
    </w:p>
    <w:p w14:paraId="20D9B60B" w14:textId="77777777" w:rsidR="006350FE" w:rsidRPr="00437F01" w:rsidRDefault="006350FE" w:rsidP="007C4B62">
      <w:pPr>
        <w:pStyle w:val="BodyText"/>
        <w:numPr>
          <w:ilvl w:val="1"/>
          <w:numId w:val="57"/>
        </w:numPr>
      </w:pPr>
      <w:r w:rsidRPr="00A50800">
        <w:rPr>
          <w:lang w:val="sv-SE"/>
        </w:rPr>
        <w:t xml:space="preserve">I fråga om de på Bolaget, Banken och Euroclear ankommande åtgärderna gäller – beträffande Euroclear med betraktande av bestämmelserna i lagen om värdepapperscentraler och kontoföring av finansiella instrument – att ansvarighet inte kan göras gällande för skada som beror på svenskt eller utländskt lagbud, svensk eller utländsk </w:t>
      </w:r>
      <w:proofErr w:type="gramStart"/>
      <w:r w:rsidRPr="00A50800">
        <w:rPr>
          <w:lang w:val="sv-SE"/>
        </w:rPr>
        <w:t>myndighets åtgärd</w:t>
      </w:r>
      <w:proofErr w:type="gramEnd"/>
      <w:r w:rsidRPr="00A50800">
        <w:rPr>
          <w:lang w:val="sv-SE"/>
        </w:rPr>
        <w:t>, krigshändelse, strejk, blockad, bojkott, lockout eller annan liknande omständighet. Förbehållet i fråga om strejk, blockad, bojkott och lockout gäller även om Bolaget, Banken eller Euroclear själv vidtar eller är föremål för sådan konfliktåtgärd.</w:t>
      </w:r>
      <w:r w:rsidRPr="00A50800">
        <w:rPr>
          <w:lang w:val="sv-SE"/>
        </w:rPr>
        <w:br/>
      </w:r>
      <w:r w:rsidRPr="00437F01">
        <w:rPr>
          <w:i/>
        </w:rPr>
        <w:t>With respect to the actions incumbent on the Company, the Bank or Euroclear, none of the Company, the Bank or Euroclear – in the case of Euroclear, subject to the provisions of the Central Securities Depositories and Swedish Financial Instruments Accounts Act – shall be held liable for damage arising as a result of Swedish or foreign legislation, any action of a Swedish or foreign authority, acts of war, strikes, blockades, boycotts, lockouts, or similar circumstances. The exemption in respect of strikes, blockades, boycotts and lockouts applies also in cases where the Company, the Bank or Euroclear itself takes or is the subject of such measure or conflict.</w:t>
      </w:r>
    </w:p>
    <w:p w14:paraId="5B299717" w14:textId="77777777" w:rsidR="006350FE" w:rsidRPr="00437F01" w:rsidRDefault="006350FE" w:rsidP="007C4B62">
      <w:pPr>
        <w:pStyle w:val="BodyText"/>
        <w:numPr>
          <w:ilvl w:val="1"/>
          <w:numId w:val="57"/>
        </w:numPr>
      </w:pPr>
      <w:r w:rsidRPr="00A50800">
        <w:rPr>
          <w:lang w:val="sv-SE"/>
        </w:rPr>
        <w:t xml:space="preserve">Bolaget, Banken eller Euroclear är inte heller skyldig att i andra fall ersätta skada som uppkommer om Bolaget, Banken eller Euroclear varit normalt aktsam. Bolaget, Banken och Euroclear är i intet fall ansvarig för indirekt skada. Härvid uppmärksammas </w:t>
      </w:r>
      <w:r>
        <w:rPr>
          <w:lang w:val="sv-SE"/>
        </w:rPr>
        <w:t>Optionsinnehavare</w:t>
      </w:r>
      <w:r w:rsidRPr="00A50800">
        <w:rPr>
          <w:lang w:val="sv-SE"/>
        </w:rPr>
        <w:t xml:space="preserve"> på att denne ansvarar för att handlingar som Bolaget tillställts är riktiga och behörigen undertecknade samt att Bolaget underrättas om ändringar som sker beträffande lämnade uppgifter.</w:t>
      </w:r>
      <w:r w:rsidRPr="00A50800">
        <w:rPr>
          <w:lang w:val="sv-SE"/>
        </w:rPr>
        <w:br/>
      </w:r>
      <w:r w:rsidRPr="00437F01">
        <w:rPr>
          <w:i/>
        </w:rPr>
        <w:t xml:space="preserve">Furthermore neither shall the Company, the Bank nor Euroclear shall be liable for damage arising in other cases if the Company, the Bank or Euroclear, as appropriate, has exercised normal caution. In addition, under no circumstances shall the Company, the Bank or Euroclear be held liable for any indirect damage. A </w:t>
      </w:r>
      <w:r>
        <w:rPr>
          <w:i/>
        </w:rPr>
        <w:t>Warrant Holder</w:t>
      </w:r>
      <w:r w:rsidRPr="00437F01">
        <w:rPr>
          <w:i/>
        </w:rPr>
        <w:t xml:space="preserve"> is hereby made aware that he/she/it is responsible for that the documents sent to the Company are correct and have been duly signed and that the Company is informed of changes that are made </w:t>
      </w:r>
      <w:proofErr w:type="gramStart"/>
      <w:r w:rsidRPr="00437F01">
        <w:rPr>
          <w:i/>
        </w:rPr>
        <w:t>with regard to</w:t>
      </w:r>
      <w:proofErr w:type="gramEnd"/>
      <w:r w:rsidRPr="00437F01">
        <w:rPr>
          <w:i/>
        </w:rPr>
        <w:t xml:space="preserve"> information provided.</w:t>
      </w:r>
    </w:p>
    <w:p w14:paraId="6596380D" w14:textId="77777777" w:rsidR="006350FE" w:rsidRPr="00437F01" w:rsidRDefault="006350FE" w:rsidP="007C4B62">
      <w:pPr>
        <w:pStyle w:val="BodyText"/>
        <w:numPr>
          <w:ilvl w:val="1"/>
          <w:numId w:val="57"/>
        </w:numPr>
      </w:pPr>
      <w:r w:rsidRPr="00A50800">
        <w:rPr>
          <w:lang w:val="sv-SE"/>
        </w:rPr>
        <w:t xml:space="preserve">Föreligger hinder för Bolaget, Banken eller Euroclear att verkställa betalning eller vidta annan åtgärd på grund av omständighet som anges i första stycket, får åtgärden uppskjutas till dess hindret har upphört. Om Bolaget till följd av en sådan omständighet är förhindrat att verkställa eller ta emot betalning </w:t>
      </w:r>
      <w:r>
        <w:rPr>
          <w:lang w:val="sv-SE"/>
        </w:rPr>
        <w:t>ska</w:t>
      </w:r>
      <w:r w:rsidRPr="00A50800">
        <w:rPr>
          <w:lang w:val="sv-SE"/>
        </w:rPr>
        <w:t xml:space="preserve"> Bolaget respektive </w:t>
      </w:r>
      <w:r>
        <w:rPr>
          <w:lang w:val="sv-SE"/>
        </w:rPr>
        <w:t>Optionsinnehavare</w:t>
      </w:r>
      <w:r w:rsidRPr="00A50800">
        <w:rPr>
          <w:lang w:val="sv-SE"/>
        </w:rPr>
        <w:t>n inte vara skyldig att erlägga dröjsmålsränta.</w:t>
      </w:r>
      <w:r w:rsidRPr="00A50800">
        <w:rPr>
          <w:lang w:val="sv-SE"/>
        </w:rPr>
        <w:br/>
      </w:r>
      <w:r w:rsidRPr="00437F01">
        <w:rPr>
          <w:i/>
        </w:rPr>
        <w:t xml:space="preserve">If the Company, the Bank or Euroclear is prevented from making payment or taking any measure due to a circumstance referred to in the first paragraph, the taking of such measure may be postponed until such hinder no longer exists. If the Company </w:t>
      </w:r>
      <w:proofErr w:type="gramStart"/>
      <w:r w:rsidRPr="00437F01">
        <w:rPr>
          <w:i/>
        </w:rPr>
        <w:t>as a result of</w:t>
      </w:r>
      <w:proofErr w:type="gramEnd"/>
      <w:r w:rsidRPr="00437F01">
        <w:rPr>
          <w:i/>
        </w:rPr>
        <w:t xml:space="preserve"> such a circumstance is prevented from making or receiving a payment, the Company or the </w:t>
      </w:r>
      <w:r>
        <w:rPr>
          <w:i/>
        </w:rPr>
        <w:t>Warrant Holder</w:t>
      </w:r>
      <w:r w:rsidRPr="00437F01">
        <w:rPr>
          <w:i/>
        </w:rPr>
        <w:t xml:space="preserve"> shall not be required to pay interest.</w:t>
      </w:r>
    </w:p>
    <w:p w14:paraId="4EF13DBD" w14:textId="77777777" w:rsidR="006350FE" w:rsidRPr="00D04C29" w:rsidRDefault="006350FE" w:rsidP="007C4B62">
      <w:pPr>
        <w:pStyle w:val="BodyText"/>
        <w:numPr>
          <w:ilvl w:val="0"/>
          <w:numId w:val="57"/>
        </w:numPr>
        <w:spacing w:after="0"/>
        <w:rPr>
          <w:b/>
          <w:bCs/>
          <w:lang w:val="sv-SE"/>
        </w:rPr>
      </w:pPr>
      <w:r w:rsidRPr="00D04C29">
        <w:rPr>
          <w:b/>
          <w:bCs/>
          <w:lang w:val="sv-SE"/>
        </w:rPr>
        <w:lastRenderedPageBreak/>
        <w:t>Tillämplig lag och forum/</w:t>
      </w:r>
      <w:proofErr w:type="spellStart"/>
      <w:r w:rsidRPr="00D04C29">
        <w:rPr>
          <w:b/>
          <w:bCs/>
          <w:i/>
          <w:lang w:val="sv-SE"/>
        </w:rPr>
        <w:t>Applicable</w:t>
      </w:r>
      <w:proofErr w:type="spellEnd"/>
      <w:r w:rsidRPr="00D04C29">
        <w:rPr>
          <w:b/>
          <w:bCs/>
          <w:i/>
          <w:lang w:val="sv-SE"/>
        </w:rPr>
        <w:t xml:space="preserve"> </w:t>
      </w:r>
      <w:proofErr w:type="spellStart"/>
      <w:r w:rsidRPr="00D04C29">
        <w:rPr>
          <w:b/>
          <w:bCs/>
          <w:i/>
          <w:lang w:val="sv-SE"/>
        </w:rPr>
        <w:t>law</w:t>
      </w:r>
      <w:proofErr w:type="spellEnd"/>
      <w:r w:rsidRPr="00D04C29">
        <w:rPr>
          <w:b/>
          <w:bCs/>
          <w:i/>
          <w:lang w:val="sv-SE"/>
        </w:rPr>
        <w:t xml:space="preserve"> and </w:t>
      </w:r>
      <w:proofErr w:type="spellStart"/>
      <w:r w:rsidRPr="00D04C29">
        <w:rPr>
          <w:b/>
          <w:bCs/>
          <w:i/>
          <w:lang w:val="sv-SE"/>
        </w:rPr>
        <w:t>dispute</w:t>
      </w:r>
      <w:proofErr w:type="spellEnd"/>
      <w:r w:rsidRPr="00D04C29">
        <w:rPr>
          <w:b/>
          <w:bCs/>
          <w:i/>
          <w:lang w:val="sv-SE"/>
        </w:rPr>
        <w:t xml:space="preserve"> resolution</w:t>
      </w:r>
    </w:p>
    <w:p w14:paraId="17DA4E89" w14:textId="77777777" w:rsidR="006350FE" w:rsidRPr="006B6AC0" w:rsidRDefault="006350FE" w:rsidP="007C4B62">
      <w:pPr>
        <w:pStyle w:val="BodyText"/>
        <w:numPr>
          <w:ilvl w:val="1"/>
          <w:numId w:val="57"/>
        </w:numPr>
        <w:rPr>
          <w:lang w:val="en-US"/>
        </w:rPr>
      </w:pPr>
      <w:r w:rsidRPr="00A50800">
        <w:rPr>
          <w:lang w:val="sv-SE"/>
        </w:rPr>
        <w:t xml:space="preserve">Dessa villkor och alla rättsliga frågor med anknytning till Teckningsoptionerna </w:t>
      </w:r>
      <w:r>
        <w:rPr>
          <w:lang w:val="sv-SE"/>
        </w:rPr>
        <w:t>ska</w:t>
      </w:r>
      <w:r w:rsidRPr="00A50800">
        <w:rPr>
          <w:lang w:val="sv-SE"/>
        </w:rPr>
        <w:t xml:space="preserve"> avgöras och tolkas enligt svensk rätt.</w:t>
      </w:r>
      <w:r w:rsidRPr="00A50800">
        <w:rPr>
          <w:lang w:val="sv-SE"/>
        </w:rPr>
        <w:br/>
      </w:r>
      <w:r w:rsidRPr="006B6AC0">
        <w:rPr>
          <w:i/>
          <w:lang w:val="en-US"/>
        </w:rPr>
        <w:t xml:space="preserve">These </w:t>
      </w:r>
      <w:r>
        <w:rPr>
          <w:i/>
          <w:lang w:val="en-US"/>
        </w:rPr>
        <w:t>terms and conditions</w:t>
      </w:r>
      <w:r w:rsidRPr="006B6AC0">
        <w:rPr>
          <w:i/>
          <w:lang w:val="en-US"/>
        </w:rPr>
        <w:t xml:space="preserve"> and relating legal matters with connection to the Warrants shall be governed and interpreted by Swedish law.</w:t>
      </w:r>
    </w:p>
    <w:p w14:paraId="2D038D33" w14:textId="77777777" w:rsidR="006350FE" w:rsidRPr="00437F01" w:rsidRDefault="006350FE" w:rsidP="007C4B62">
      <w:pPr>
        <w:pStyle w:val="BodyText"/>
        <w:numPr>
          <w:ilvl w:val="1"/>
          <w:numId w:val="57"/>
        </w:numPr>
      </w:pPr>
      <w:r w:rsidRPr="00A50800">
        <w:rPr>
          <w:lang w:val="sv-SE"/>
        </w:rPr>
        <w:t xml:space="preserve">Tvist i anledning av dessa villkor </w:t>
      </w:r>
      <w:r>
        <w:rPr>
          <w:lang w:val="sv-SE"/>
        </w:rPr>
        <w:t>ska</w:t>
      </w:r>
      <w:r w:rsidRPr="00A50800">
        <w:rPr>
          <w:lang w:val="sv-SE"/>
        </w:rPr>
        <w:t xml:space="preserve"> slutligt avgöras genom skiljedom </w:t>
      </w:r>
      <w:r w:rsidRPr="00A50800">
        <w:rPr>
          <w:szCs w:val="22"/>
          <w:lang w:val="sv-SE"/>
        </w:rPr>
        <w:t xml:space="preserve">administrerad vid SCC Skiljedomsinstitut. </w:t>
      </w:r>
      <w:r w:rsidRPr="00A50800">
        <w:rPr>
          <w:lang w:val="sv-SE"/>
        </w:rPr>
        <w:br/>
      </w:r>
      <w:r w:rsidRPr="00437F01">
        <w:rPr>
          <w:i/>
        </w:rPr>
        <w:t xml:space="preserve">Any dispute with respect to these </w:t>
      </w:r>
      <w:r>
        <w:rPr>
          <w:i/>
        </w:rPr>
        <w:t>terms</w:t>
      </w:r>
      <w:r w:rsidRPr="00437F01">
        <w:rPr>
          <w:i/>
        </w:rPr>
        <w:t xml:space="preserve"> </w:t>
      </w:r>
      <w:r>
        <w:rPr>
          <w:i/>
        </w:rPr>
        <w:t xml:space="preserve">and conditions </w:t>
      </w:r>
      <w:r w:rsidRPr="00437F01">
        <w:rPr>
          <w:i/>
        </w:rPr>
        <w:t xml:space="preserve">shall be decided through </w:t>
      </w:r>
      <w:r w:rsidRPr="00437F01">
        <w:rPr>
          <w:i/>
          <w:szCs w:val="22"/>
        </w:rPr>
        <w:t>arbitration according to the Arbitration Rules of the SCC Arbitration Institute.</w:t>
      </w:r>
    </w:p>
    <w:p w14:paraId="7C4CB68A" w14:textId="77777777" w:rsidR="006350FE" w:rsidRPr="00437F01" w:rsidRDefault="006350FE" w:rsidP="007C4B62">
      <w:pPr>
        <w:pStyle w:val="BodyText"/>
        <w:numPr>
          <w:ilvl w:val="1"/>
          <w:numId w:val="57"/>
        </w:numPr>
      </w:pPr>
      <w:r w:rsidRPr="00A50800">
        <w:rPr>
          <w:lang w:val="sv-SE"/>
        </w:rPr>
        <w:t xml:space="preserve">Skiljeförfarandet </w:t>
      </w:r>
      <w:r>
        <w:rPr>
          <w:lang w:val="sv-SE"/>
        </w:rPr>
        <w:t>ska</w:t>
      </w:r>
      <w:r w:rsidRPr="00A50800">
        <w:rPr>
          <w:lang w:val="sv-SE"/>
        </w:rPr>
        <w:t xml:space="preserve"> hållas i Stockholm. Det svenska språket </w:t>
      </w:r>
      <w:r>
        <w:rPr>
          <w:lang w:val="sv-SE"/>
        </w:rPr>
        <w:t>ska</w:t>
      </w:r>
      <w:r w:rsidRPr="00A50800">
        <w:rPr>
          <w:lang w:val="sv-SE"/>
        </w:rPr>
        <w:t xml:space="preserve"> användas i förfarandet.</w:t>
      </w:r>
      <w:r w:rsidRPr="00A50800">
        <w:rPr>
          <w:lang w:val="sv-SE"/>
        </w:rPr>
        <w:br/>
      </w:r>
      <w:r w:rsidRPr="00437F01">
        <w:rPr>
          <w:i/>
        </w:rPr>
        <w:t>The arbitration shall take place in Stockholm. The Swedish language shall be used during the proceedings.</w:t>
      </w:r>
    </w:p>
    <w:p w14:paraId="2603C43F" w14:textId="77777777" w:rsidR="006350FE" w:rsidRPr="00437F01" w:rsidRDefault="006350FE" w:rsidP="007C4B62">
      <w:pPr>
        <w:pStyle w:val="BodyText"/>
        <w:numPr>
          <w:ilvl w:val="1"/>
          <w:numId w:val="57"/>
        </w:numPr>
      </w:pPr>
      <w:r w:rsidRPr="00A50800">
        <w:rPr>
          <w:lang w:val="sv-SE"/>
        </w:rPr>
        <w:t xml:space="preserve">Skiljeförfarande som påkallats med hänvisning till denna skiljeklausul omfattas av sekretess. Sekretessen omfattar all information som framkommer under förfarandet liksom beslut eller skiljedom som meddelas i anledning av förfarandet. Information som omfattas av sekretess får inte i någon form vidarebefordras till tredje person. Om Teckningsoptioner överlåts till en tredje person </w:t>
      </w:r>
      <w:r>
        <w:rPr>
          <w:lang w:val="sv-SE"/>
        </w:rPr>
        <w:t>ska</w:t>
      </w:r>
      <w:r w:rsidRPr="00A50800">
        <w:rPr>
          <w:lang w:val="sv-SE"/>
        </w:rPr>
        <w:t xml:space="preserve"> sådan tredje person automatiskt vara bunden av denna skiljeklausul.</w:t>
      </w:r>
      <w:r w:rsidRPr="00A50800">
        <w:rPr>
          <w:lang w:val="sv-SE"/>
        </w:rPr>
        <w:br/>
      </w:r>
      <w:r w:rsidRPr="00437F01">
        <w:rPr>
          <w:i/>
        </w:rPr>
        <w:t xml:space="preserve">Arbitration called for in accordance with this arbitration clause is subject to confidentiality. The confidentiality applies for all information which is obtained during the procedure as well as the decision or the arbitration decision which is communicated </w:t>
      </w:r>
      <w:proofErr w:type="gramStart"/>
      <w:r w:rsidRPr="00437F01">
        <w:rPr>
          <w:i/>
        </w:rPr>
        <w:t>as a result of</w:t>
      </w:r>
      <w:proofErr w:type="gramEnd"/>
      <w:r w:rsidRPr="00437F01">
        <w:rPr>
          <w:i/>
        </w:rPr>
        <w:t xml:space="preserve"> the procedure. Information covered by confidentiality may not in any form be forwarded to a third party. If the Warrants are transferred to a third party, such third party shall automatically be bound by this arbitration clause.</w:t>
      </w:r>
    </w:p>
    <w:p w14:paraId="798C5EF4" w14:textId="77777777" w:rsidR="006350FE" w:rsidRPr="00D04C29" w:rsidRDefault="006350FE" w:rsidP="007C4B62">
      <w:pPr>
        <w:pStyle w:val="BodyText"/>
        <w:numPr>
          <w:ilvl w:val="0"/>
          <w:numId w:val="57"/>
        </w:numPr>
        <w:spacing w:after="0"/>
        <w:rPr>
          <w:b/>
          <w:bCs/>
          <w:lang w:val="sv-SE"/>
        </w:rPr>
      </w:pPr>
      <w:r w:rsidRPr="00D04C29">
        <w:rPr>
          <w:b/>
          <w:bCs/>
          <w:lang w:val="sv-SE"/>
        </w:rPr>
        <w:t>Överlåtelse och äganderätt till Teckningsoptioner/</w:t>
      </w:r>
      <w:r w:rsidRPr="00D04C29">
        <w:rPr>
          <w:b/>
          <w:bCs/>
          <w:i/>
          <w:lang w:val="sv-SE"/>
        </w:rPr>
        <w:t xml:space="preserve">Transfer and </w:t>
      </w:r>
      <w:proofErr w:type="spellStart"/>
      <w:r>
        <w:rPr>
          <w:b/>
          <w:bCs/>
          <w:i/>
          <w:lang w:val="sv-SE"/>
        </w:rPr>
        <w:t>t</w:t>
      </w:r>
      <w:r w:rsidRPr="00D04C29">
        <w:rPr>
          <w:b/>
          <w:bCs/>
          <w:i/>
          <w:lang w:val="sv-SE"/>
        </w:rPr>
        <w:t>itle</w:t>
      </w:r>
      <w:proofErr w:type="spellEnd"/>
      <w:r w:rsidRPr="00D04C29">
        <w:rPr>
          <w:b/>
          <w:bCs/>
          <w:i/>
          <w:lang w:val="sv-SE"/>
        </w:rPr>
        <w:t xml:space="preserve"> to </w:t>
      </w:r>
      <w:proofErr w:type="spellStart"/>
      <w:r w:rsidRPr="00D04C29">
        <w:rPr>
          <w:b/>
          <w:bCs/>
          <w:i/>
          <w:lang w:val="sv-SE"/>
        </w:rPr>
        <w:t>Warrants</w:t>
      </w:r>
      <w:proofErr w:type="spellEnd"/>
    </w:p>
    <w:p w14:paraId="1923AE14" w14:textId="77777777" w:rsidR="006350FE" w:rsidRPr="00437F01" w:rsidRDefault="006350FE" w:rsidP="006350FE">
      <w:pPr>
        <w:pStyle w:val="BodyText"/>
        <w:ind w:left="720"/>
      </w:pPr>
      <w:r w:rsidRPr="00A50800">
        <w:rPr>
          <w:lang w:val="sv-SE"/>
        </w:rPr>
        <w:t xml:space="preserve">Överlåtelse av Teckningsoption kan ske genom </w:t>
      </w:r>
      <w:proofErr w:type="gramStart"/>
      <w:r w:rsidRPr="00A50800">
        <w:rPr>
          <w:lang w:val="sv-SE"/>
        </w:rPr>
        <w:t>ett sedvanlig överlåtelsehandling</w:t>
      </w:r>
      <w:proofErr w:type="gramEnd"/>
      <w:r w:rsidRPr="00A50800">
        <w:rPr>
          <w:lang w:val="sv-SE"/>
        </w:rPr>
        <w:t xml:space="preserve"> och, om avtal föreligger avseende innehav av Teckningsoption i Bolaget, i enlighet med bestämmelserna i sådant avtal.</w:t>
      </w:r>
      <w:r w:rsidRPr="00A50800">
        <w:rPr>
          <w:lang w:val="sv-SE"/>
        </w:rPr>
        <w:br/>
      </w:r>
      <w:r w:rsidRPr="00437F01">
        <w:rPr>
          <w:i/>
        </w:rPr>
        <w:t xml:space="preserve">A transfer of a Warrant may be effected by an instrument of transfer in any usual or </w:t>
      </w:r>
      <w:proofErr w:type="gramStart"/>
      <w:r w:rsidRPr="00437F01">
        <w:rPr>
          <w:i/>
        </w:rPr>
        <w:t>common form</w:t>
      </w:r>
      <w:proofErr w:type="gramEnd"/>
      <w:r w:rsidRPr="00437F01">
        <w:rPr>
          <w:i/>
        </w:rPr>
        <w:t xml:space="preserve">, subject to the terms of any </w:t>
      </w:r>
      <w:r>
        <w:rPr>
          <w:i/>
        </w:rPr>
        <w:t>Warrant Holder</w:t>
      </w:r>
      <w:r w:rsidRPr="00437F01">
        <w:rPr>
          <w:i/>
        </w:rPr>
        <w:t xml:space="preserve"> agreement regarding the holding of Warrants in the Company.</w:t>
      </w:r>
    </w:p>
    <w:p w14:paraId="163EE35D" w14:textId="6FEAF35F" w:rsidR="006350FE" w:rsidRPr="006350FE" w:rsidRDefault="006350FE" w:rsidP="006350FE">
      <w:pPr>
        <w:pStyle w:val="BodyText"/>
        <w:jc w:val="center"/>
      </w:pPr>
      <w:r w:rsidRPr="00437F01">
        <w:t>* * * * *</w:t>
      </w:r>
      <w:bookmarkEnd w:id="48"/>
    </w:p>
    <w:p w14:paraId="6CD1A111" w14:textId="287ABC7F" w:rsidR="0081148E" w:rsidRDefault="0081148E" w:rsidP="0081148E">
      <w:pPr>
        <w:pStyle w:val="BodyText"/>
        <w:spacing w:after="0"/>
        <w:rPr>
          <w:szCs w:val="22"/>
          <w:lang w:val="sv-SE"/>
        </w:rPr>
      </w:pPr>
    </w:p>
    <w:sectPr w:rsidR="0081148E" w:rsidSect="00BD2277">
      <w:headerReference w:type="even" r:id="rId10"/>
      <w:headerReference w:type="default" r:id="rId11"/>
      <w:footerReference w:type="even" r:id="rId12"/>
      <w:footerReference w:type="default" r:id="rId13"/>
      <w:headerReference w:type="first" r:id="rId14"/>
      <w:footerReference w:type="first" r:id="rId15"/>
      <w:pgSz w:w="11907" w:h="16839" w:code="1"/>
      <w:pgMar w:top="1440" w:right="1440" w:bottom="1440" w:left="1440" w:header="86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189B8" w14:textId="77777777" w:rsidR="00B32B2E" w:rsidRDefault="00B32B2E">
      <w:r>
        <w:separator/>
      </w:r>
    </w:p>
  </w:endnote>
  <w:endnote w:type="continuationSeparator" w:id="0">
    <w:p w14:paraId="4E7D2603" w14:textId="77777777" w:rsidR="00B32B2E" w:rsidRDefault="00B3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44C6" w14:textId="77777777" w:rsidR="00F33587" w:rsidRDefault="00F33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175B" w14:textId="4CFADB3B" w:rsidR="001667F0" w:rsidRDefault="00E049C2" w:rsidP="003F3B40">
    <w:pPr>
      <w:pStyle w:val="Footer"/>
    </w:pPr>
    <w:r w:rsidRPr="005811B8">
      <w:t>The English translation is for convenience only and in case of any discrepancy, the Swedish text shall control.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D778" w14:textId="164883ED" w:rsidR="001667F0" w:rsidRDefault="00E049C2" w:rsidP="004F5968">
    <w:pPr>
      <w:pStyle w:val="Footer"/>
    </w:pPr>
    <w:r w:rsidRPr="005811B8">
      <w:t>The English translation is for convenience only and in case of any discrepancy, the Swedish text shall 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8FDA7" w14:textId="77777777" w:rsidR="00B32B2E" w:rsidRDefault="00B32B2E">
      <w:r>
        <w:separator/>
      </w:r>
    </w:p>
  </w:footnote>
  <w:footnote w:type="continuationSeparator" w:id="0">
    <w:p w14:paraId="2C1632CE" w14:textId="77777777" w:rsidR="00B32B2E" w:rsidRDefault="00B3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A251" w14:textId="77777777" w:rsidR="00F33587" w:rsidRDefault="00F33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65F7" w14:textId="77777777" w:rsidR="00F33587" w:rsidRDefault="00F33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850F4" w14:textId="77777777" w:rsidR="00F33587" w:rsidRDefault="00F33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0E061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DF2068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2A493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418DDD2"/>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90681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D4E905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F78EA1E0"/>
    <w:lvl w:ilvl="0">
      <w:start w:val="1"/>
      <w:numFmt w:val="none"/>
      <w:pStyle w:val="PrecedentCoverTableText"/>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b/>
        <w:color w:val="A71930" w:themeColor="accent1"/>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upperRoman"/>
      <w:lvlText w:val="%7."/>
      <w:lvlJc w:val="left"/>
      <w:pPr>
        <w:tabs>
          <w:tab w:val="num" w:pos="720"/>
        </w:tabs>
        <w:ind w:left="720"/>
      </w:pPr>
      <w:rPr>
        <w:rFonts w:cs="Times New Roman" w:hint="default"/>
      </w:rPr>
    </w:lvl>
    <w:lvl w:ilvl="7">
      <w:start w:val="1"/>
      <w:numFmt w:val="lowerLetter"/>
      <w:lvlText w:val="%8."/>
      <w:lvlJc w:val="left"/>
      <w:pPr>
        <w:tabs>
          <w:tab w:val="num" w:pos="720"/>
        </w:tabs>
        <w:ind w:left="720"/>
      </w:pPr>
      <w:rPr>
        <w:rFonts w:cs="Times New Roman" w:hint="default"/>
      </w:rPr>
    </w:lvl>
    <w:lvl w:ilvl="8">
      <w:start w:val="1"/>
      <w:numFmt w:val="upperLetter"/>
      <w:lvlText w:val="%9."/>
      <w:lvlJc w:val="left"/>
      <w:pPr>
        <w:tabs>
          <w:tab w:val="num" w:pos="720"/>
        </w:tabs>
        <w:ind w:left="720"/>
      </w:pPr>
      <w:rPr>
        <w:rFonts w:cs="Times New Roman" w:hint="default"/>
      </w:rPr>
    </w:lvl>
  </w:abstractNum>
  <w:abstractNum w:abstractNumId="7" w15:restartNumberingAfterBreak="0">
    <w:nsid w:val="00EB5ACA"/>
    <w:multiLevelType w:val="hybridMultilevel"/>
    <w:tmpl w:val="1B82C0C8"/>
    <w:lvl w:ilvl="0" w:tplc="FFFFFFFF">
      <w:start w:val="1"/>
      <w:numFmt w:val="decimal"/>
      <w:lvlText w:val="%1."/>
      <w:lvlJc w:val="left"/>
      <w:pPr>
        <w:ind w:left="720" w:hanging="360"/>
      </w:pPr>
      <w:rPr>
        <w:rFonts w:ascii="Times New Roman" w:hAnsi="Times New Roman" w:cs="Times New Roman"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A86C90"/>
    <w:multiLevelType w:val="multilevel"/>
    <w:tmpl w:val="1EB0953C"/>
    <w:name w:val="SchH"/>
    <w:lvl w:ilvl="0">
      <w:start w:val="1"/>
      <w:numFmt w:val="decimal"/>
      <w:pStyle w:val="SchH1"/>
      <w:suff w:val="nothing"/>
      <w:lvlText w:val="Schedule %1"/>
      <w:lvlJc w:val="left"/>
      <w:pPr>
        <w:ind w:left="0" w:firstLine="0"/>
      </w:pPr>
      <w:rPr>
        <w:strike w:val="0"/>
        <w:dstrike w:val="0"/>
        <w:sz w:val="22"/>
      </w:rPr>
    </w:lvl>
    <w:lvl w:ilvl="1">
      <w:start w:val="1"/>
      <w:numFmt w:val="upperRoman"/>
      <w:pStyle w:val="SchH2"/>
      <w:suff w:val="nothing"/>
      <w:lvlText w:val="Part %2"/>
      <w:lvlJc w:val="left"/>
      <w:pPr>
        <w:ind w:left="0" w:firstLine="0"/>
      </w:pPr>
      <w:rPr>
        <w:strike w:val="0"/>
        <w:dstrike w:val="0"/>
        <w:sz w:val="22"/>
      </w:rPr>
    </w:lvl>
    <w:lvl w:ilvl="2">
      <w:start w:val="1"/>
      <w:numFmt w:val="decimal"/>
      <w:pStyle w:val="SchH3"/>
      <w:lvlText w:val="%3."/>
      <w:lvlJc w:val="left"/>
      <w:pPr>
        <w:ind w:left="720" w:hanging="720"/>
      </w:pPr>
      <w:rPr>
        <w:strike w:val="0"/>
        <w:dstrike w:val="0"/>
        <w:sz w:val="22"/>
      </w:rPr>
    </w:lvl>
    <w:lvl w:ilvl="3">
      <w:start w:val="1"/>
      <w:numFmt w:val="decimal"/>
      <w:pStyle w:val="SchH4"/>
      <w:lvlText w:val="%3.%4"/>
      <w:lvlJc w:val="left"/>
      <w:pPr>
        <w:ind w:left="720" w:hanging="720"/>
      </w:pPr>
      <w:rPr>
        <w:strike w:val="0"/>
        <w:dstrike w:val="0"/>
        <w:sz w:val="22"/>
      </w:rPr>
    </w:lvl>
    <w:lvl w:ilvl="4">
      <w:start w:val="1"/>
      <w:numFmt w:val="lowerLetter"/>
      <w:pStyle w:val="SchH5"/>
      <w:lvlText w:val="(%5)"/>
      <w:lvlJc w:val="left"/>
      <w:pPr>
        <w:ind w:left="1440" w:hanging="720"/>
      </w:pPr>
      <w:rPr>
        <w:strike w:val="0"/>
        <w:dstrike w:val="0"/>
        <w:sz w:val="22"/>
      </w:rPr>
    </w:lvl>
    <w:lvl w:ilvl="5">
      <w:start w:val="1"/>
      <w:numFmt w:val="lowerRoman"/>
      <w:pStyle w:val="SchH6"/>
      <w:lvlText w:val="(%6)"/>
      <w:lvlJc w:val="left"/>
      <w:pPr>
        <w:ind w:left="2160" w:hanging="720"/>
      </w:pPr>
      <w:rPr>
        <w:strike w:val="0"/>
        <w:dstrike w:val="0"/>
        <w:sz w:val="22"/>
      </w:rPr>
    </w:lvl>
    <w:lvl w:ilvl="6">
      <w:start w:val="1"/>
      <w:numFmt w:val="upperLetter"/>
      <w:pStyle w:val="SchH7"/>
      <w:lvlText w:val="(%7)"/>
      <w:lvlJc w:val="left"/>
      <w:pPr>
        <w:ind w:left="2880" w:hanging="720"/>
      </w:pPr>
      <w:rPr>
        <w:strike w:val="0"/>
        <w:dstrike w:val="0"/>
        <w:sz w:val="22"/>
      </w:rPr>
    </w:lvl>
    <w:lvl w:ilvl="7">
      <w:start w:val="1"/>
      <w:numFmt w:val="decimal"/>
      <w:pStyle w:val="SchH8"/>
      <w:lvlText w:val="(%8)"/>
      <w:lvlJc w:val="left"/>
      <w:pPr>
        <w:ind w:left="3600" w:hanging="720"/>
      </w:pPr>
      <w:rPr>
        <w:i w:val="0"/>
        <w:caps w:val="0"/>
        <w:strike w:val="0"/>
        <w:dstrike w:val="0"/>
        <w:vanish w:val="0"/>
        <w:sz w:val="22"/>
        <w:u w:val="none"/>
        <w:effect w:val="none"/>
        <w:vertAlign w:val="baseline"/>
      </w:rPr>
    </w:lvl>
    <w:lvl w:ilvl="8">
      <w:start w:val="1"/>
      <w:numFmt w:val="upperRoman"/>
      <w:pStyle w:val="SchH9"/>
      <w:lvlText w:val="(%9)"/>
      <w:lvlJc w:val="left"/>
      <w:pPr>
        <w:ind w:left="4320" w:hanging="720"/>
      </w:pPr>
      <w:rPr>
        <w:strike w:val="0"/>
        <w:dstrike w:val="0"/>
        <w:sz w:val="22"/>
      </w:rPr>
    </w:lvl>
  </w:abstractNum>
  <w:abstractNum w:abstractNumId="9" w15:restartNumberingAfterBreak="0">
    <w:nsid w:val="096C1985"/>
    <w:multiLevelType w:val="multilevel"/>
    <w:tmpl w:val="F38A9D40"/>
    <w:styleLink w:val="BMSchedules"/>
    <w:lvl w:ilvl="0">
      <w:start w:val="1"/>
      <w:numFmt w:val="none"/>
      <w:pStyle w:val="SchH10"/>
      <w:suff w:val="nothing"/>
      <w:lvlText w:val="%1"/>
      <w:lvlJc w:val="left"/>
      <w:pPr>
        <w:ind w:left="0" w:firstLine="0"/>
      </w:pPr>
      <w:rPr>
        <w:rFonts w:hint="default"/>
      </w:rPr>
    </w:lvl>
    <w:lvl w:ilvl="1">
      <w:start w:val="1"/>
      <w:numFmt w:val="decimal"/>
      <w:pStyle w:val="SchH20"/>
      <w:lvlText w:val="%1%2."/>
      <w:lvlJc w:val="left"/>
      <w:pPr>
        <w:tabs>
          <w:tab w:val="num" w:pos="709"/>
        </w:tabs>
        <w:ind w:left="709" w:hanging="709"/>
      </w:pPr>
      <w:rPr>
        <w:rFonts w:hint="default"/>
      </w:rPr>
    </w:lvl>
    <w:lvl w:ilvl="2">
      <w:start w:val="1"/>
      <w:numFmt w:val="decimal"/>
      <w:pStyle w:val="SchH30"/>
      <w:lvlText w:val="%2.%3"/>
      <w:lvlJc w:val="left"/>
      <w:pPr>
        <w:tabs>
          <w:tab w:val="num" w:pos="709"/>
        </w:tabs>
        <w:ind w:left="709" w:hanging="709"/>
      </w:pPr>
      <w:rPr>
        <w:rFonts w:hint="default"/>
      </w:rPr>
    </w:lvl>
    <w:lvl w:ilvl="3">
      <w:start w:val="1"/>
      <w:numFmt w:val="lowerLetter"/>
      <w:pStyle w:val="SchH40"/>
      <w:lvlText w:val="(%4)"/>
      <w:lvlJc w:val="left"/>
      <w:pPr>
        <w:tabs>
          <w:tab w:val="num" w:pos="1418"/>
        </w:tabs>
        <w:ind w:left="1418" w:hanging="709"/>
      </w:pPr>
      <w:rPr>
        <w:rFonts w:hint="default"/>
      </w:rPr>
    </w:lvl>
    <w:lvl w:ilvl="4">
      <w:start w:val="1"/>
      <w:numFmt w:val="lowerRoman"/>
      <w:pStyle w:val="SchH50"/>
      <w:lvlText w:val="(%5)"/>
      <w:lvlJc w:val="left"/>
      <w:pPr>
        <w:tabs>
          <w:tab w:val="num" w:pos="2126"/>
        </w:tabs>
        <w:ind w:left="2126" w:hanging="708"/>
      </w:pPr>
      <w:rPr>
        <w:rFonts w:hint="default"/>
      </w:rPr>
    </w:lvl>
    <w:lvl w:ilvl="5">
      <w:start w:val="1"/>
      <w:numFmt w:val="upperLetter"/>
      <w:pStyle w:val="SchH60"/>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09B22CA1"/>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0CAC64F4"/>
    <w:multiLevelType w:val="hybridMultilevel"/>
    <w:tmpl w:val="F3580ECA"/>
    <w:lvl w:ilvl="0" w:tplc="FFFFFFFF">
      <w:start w:val="1"/>
      <w:numFmt w:val="upperRoman"/>
      <w:lvlText w:val="%1."/>
      <w:lvlJc w:val="left"/>
      <w:pPr>
        <w:ind w:left="720" w:hanging="360"/>
      </w:pPr>
      <w:rPr>
        <w:rFonts w:hint="default"/>
      </w:rPr>
    </w:lvl>
    <w:lvl w:ilvl="1" w:tplc="FFFFFFFF">
      <w:start w:val="1"/>
      <w:numFmt w:val="lowerRoman"/>
      <w:lvlText w:val="(%2)"/>
      <w:lvlJc w:val="left"/>
      <w:pPr>
        <w:ind w:left="1810" w:hanging="7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5A0600"/>
    <w:multiLevelType w:val="hybridMultilevel"/>
    <w:tmpl w:val="E94A4B54"/>
    <w:styleLink w:val="ArticleSection"/>
    <w:lvl w:ilvl="0" w:tplc="3F26289C">
      <w:start w:val="1"/>
      <w:numFmt w:val="lowerRoman"/>
      <w:lvlText w:val="%1."/>
      <w:lvlJc w:val="right"/>
      <w:pPr>
        <w:ind w:left="720" w:hanging="360"/>
      </w:pPr>
      <w:rPr>
        <w:i w:val="0"/>
        <w:iCs/>
      </w:rPr>
    </w:lvl>
    <w:lvl w:ilvl="1" w:tplc="4CD4D7F6" w:tentative="1">
      <w:start w:val="1"/>
      <w:numFmt w:val="lowerLetter"/>
      <w:lvlText w:val="%2."/>
      <w:lvlJc w:val="left"/>
      <w:pPr>
        <w:ind w:left="1440" w:hanging="360"/>
      </w:pPr>
    </w:lvl>
    <w:lvl w:ilvl="2" w:tplc="9E3E6064" w:tentative="1">
      <w:start w:val="1"/>
      <w:numFmt w:val="lowerRoman"/>
      <w:lvlText w:val="%3."/>
      <w:lvlJc w:val="right"/>
      <w:pPr>
        <w:ind w:left="2160" w:hanging="180"/>
      </w:pPr>
    </w:lvl>
    <w:lvl w:ilvl="3" w:tplc="5A0E322E" w:tentative="1">
      <w:start w:val="1"/>
      <w:numFmt w:val="decimal"/>
      <w:lvlText w:val="%4."/>
      <w:lvlJc w:val="left"/>
      <w:pPr>
        <w:ind w:left="2880" w:hanging="360"/>
      </w:pPr>
    </w:lvl>
    <w:lvl w:ilvl="4" w:tplc="54F8469A" w:tentative="1">
      <w:start w:val="1"/>
      <w:numFmt w:val="lowerLetter"/>
      <w:lvlText w:val="%5."/>
      <w:lvlJc w:val="left"/>
      <w:pPr>
        <w:ind w:left="3600" w:hanging="360"/>
      </w:pPr>
    </w:lvl>
    <w:lvl w:ilvl="5" w:tplc="D7F0CF2E" w:tentative="1">
      <w:start w:val="1"/>
      <w:numFmt w:val="lowerRoman"/>
      <w:lvlText w:val="%6."/>
      <w:lvlJc w:val="right"/>
      <w:pPr>
        <w:ind w:left="4320" w:hanging="180"/>
      </w:pPr>
    </w:lvl>
    <w:lvl w:ilvl="6" w:tplc="A9243B84" w:tentative="1">
      <w:start w:val="1"/>
      <w:numFmt w:val="decimal"/>
      <w:lvlText w:val="%7."/>
      <w:lvlJc w:val="left"/>
      <w:pPr>
        <w:ind w:left="5040" w:hanging="360"/>
      </w:pPr>
    </w:lvl>
    <w:lvl w:ilvl="7" w:tplc="C4B84FE6" w:tentative="1">
      <w:start w:val="1"/>
      <w:numFmt w:val="lowerLetter"/>
      <w:lvlText w:val="%8."/>
      <w:lvlJc w:val="left"/>
      <w:pPr>
        <w:ind w:left="5760" w:hanging="360"/>
      </w:pPr>
    </w:lvl>
    <w:lvl w:ilvl="8" w:tplc="A21EC0A0" w:tentative="1">
      <w:start w:val="1"/>
      <w:numFmt w:val="lowerRoman"/>
      <w:lvlText w:val="%9."/>
      <w:lvlJc w:val="right"/>
      <w:pPr>
        <w:ind w:left="6480" w:hanging="180"/>
      </w:pPr>
    </w:lvl>
  </w:abstractNum>
  <w:abstractNum w:abstractNumId="13" w15:restartNumberingAfterBreak="0">
    <w:nsid w:val="122423AC"/>
    <w:multiLevelType w:val="hybridMultilevel"/>
    <w:tmpl w:val="F3580ECA"/>
    <w:lvl w:ilvl="0" w:tplc="FFFFFFFF">
      <w:start w:val="1"/>
      <w:numFmt w:val="upperRoman"/>
      <w:lvlText w:val="%1."/>
      <w:lvlJc w:val="left"/>
      <w:pPr>
        <w:ind w:left="720" w:hanging="360"/>
      </w:pPr>
      <w:rPr>
        <w:rFonts w:hint="default"/>
      </w:rPr>
    </w:lvl>
    <w:lvl w:ilvl="1" w:tplc="FFFFFFFF">
      <w:start w:val="1"/>
      <w:numFmt w:val="lowerRoman"/>
      <w:lvlText w:val="(%2)"/>
      <w:lvlJc w:val="left"/>
      <w:pPr>
        <w:ind w:left="1810" w:hanging="7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A94572"/>
    <w:multiLevelType w:val="multilevel"/>
    <w:tmpl w:val="821846C0"/>
    <w:name w:val="List Numbering"/>
    <w:lvl w:ilvl="0">
      <w:start w:val="1"/>
      <w:numFmt w:val="decimal"/>
      <w:pStyle w:val="ListNumbering1"/>
      <w:lvlText w:val="%1."/>
      <w:lvlJc w:val="left"/>
      <w:pPr>
        <w:ind w:left="720" w:hanging="720"/>
      </w:pPr>
      <w:rPr>
        <w:strike w:val="0"/>
        <w:dstrike w:val="0"/>
      </w:rPr>
    </w:lvl>
    <w:lvl w:ilvl="1">
      <w:start w:val="1"/>
      <w:numFmt w:val="lowerLetter"/>
      <w:pStyle w:val="ListNumbering2"/>
      <w:lvlText w:val="(%2)"/>
      <w:lvlJc w:val="left"/>
      <w:pPr>
        <w:ind w:left="1440" w:hanging="720"/>
      </w:pPr>
      <w:rPr>
        <w:strike w:val="0"/>
        <w:dstrike w:val="0"/>
      </w:rPr>
    </w:lvl>
    <w:lvl w:ilvl="2">
      <w:start w:val="1"/>
      <w:numFmt w:val="lowerRoman"/>
      <w:pStyle w:val="ListNumbering3"/>
      <w:lvlText w:val="(%3)"/>
      <w:lvlJc w:val="left"/>
      <w:pPr>
        <w:ind w:left="2160" w:hanging="720"/>
      </w:pPr>
      <w:rPr>
        <w:strike w:val="0"/>
        <w:dstrike w:val="0"/>
      </w:rPr>
    </w:lvl>
    <w:lvl w:ilvl="3">
      <w:start w:val="1"/>
      <w:numFmt w:val="upperLetter"/>
      <w:pStyle w:val="ListNumbering4"/>
      <w:lvlText w:val="(%4)"/>
      <w:lvlJc w:val="left"/>
      <w:pPr>
        <w:ind w:left="2880" w:hanging="720"/>
      </w:pPr>
      <w:rPr>
        <w:strike w:val="0"/>
        <w:dstrike w:val="0"/>
      </w:rPr>
    </w:lvl>
    <w:lvl w:ilvl="4">
      <w:start w:val="1"/>
      <w:numFmt w:val="none"/>
      <w:pStyle w:val="ListNumbering5"/>
      <w:suff w:val="nothing"/>
      <w:lvlText w:val=""/>
      <w:lvlJc w:val="left"/>
      <w:pPr>
        <w:ind w:left="0" w:firstLine="0"/>
      </w:pPr>
      <w:rPr>
        <w:strike w:val="0"/>
        <w:dstrike w:val="0"/>
      </w:rPr>
    </w:lvl>
    <w:lvl w:ilvl="5">
      <w:start w:val="1"/>
      <w:numFmt w:val="none"/>
      <w:pStyle w:val="ListNumbering6"/>
      <w:suff w:val="nothing"/>
      <w:lvlText w:val=""/>
      <w:lvlJc w:val="left"/>
      <w:pPr>
        <w:ind w:left="0" w:firstLine="0"/>
      </w:pPr>
      <w:rPr>
        <w:strike w:val="0"/>
        <w:dstrike w:val="0"/>
      </w:rPr>
    </w:lvl>
    <w:lvl w:ilvl="6">
      <w:start w:val="1"/>
      <w:numFmt w:val="none"/>
      <w:pStyle w:val="ListNumbering7"/>
      <w:suff w:val="nothing"/>
      <w:lvlText w:val=""/>
      <w:lvlJc w:val="left"/>
      <w:pPr>
        <w:ind w:left="0" w:firstLine="0"/>
      </w:pPr>
      <w:rPr>
        <w:strike w:val="0"/>
        <w:dstrike w:val="0"/>
      </w:rPr>
    </w:lvl>
    <w:lvl w:ilvl="7">
      <w:start w:val="1"/>
      <w:numFmt w:val="none"/>
      <w:pStyle w:val="ListNumbering8"/>
      <w:suff w:val="nothing"/>
      <w:lvlText w:val=""/>
      <w:lvlJc w:val="left"/>
      <w:pPr>
        <w:ind w:left="0" w:firstLine="0"/>
      </w:pPr>
      <w:rPr>
        <w:strike w:val="0"/>
        <w:dstrike w:val="0"/>
      </w:rPr>
    </w:lvl>
    <w:lvl w:ilvl="8">
      <w:start w:val="1"/>
      <w:numFmt w:val="none"/>
      <w:pStyle w:val="ListNumbering9"/>
      <w:suff w:val="nothing"/>
      <w:lvlText w:val=""/>
      <w:lvlJc w:val="left"/>
      <w:pPr>
        <w:ind w:left="0" w:firstLine="0"/>
      </w:pPr>
      <w:rPr>
        <w:strike w:val="0"/>
        <w:dstrike w:val="0"/>
      </w:rPr>
    </w:lvl>
  </w:abstractNum>
  <w:abstractNum w:abstractNumId="15" w15:restartNumberingAfterBreak="0">
    <w:nsid w:val="16B66BDC"/>
    <w:multiLevelType w:val="multilevel"/>
    <w:tmpl w:val="55B8E28E"/>
    <w:name w:val="Annexure"/>
    <w:lvl w:ilvl="0">
      <w:start w:val="1"/>
      <w:numFmt w:val="decimal"/>
      <w:pStyle w:val="Annexure1"/>
      <w:suff w:val="nothing"/>
      <w:lvlText w:val="Annexure %1"/>
      <w:lvlJc w:val="left"/>
      <w:pPr>
        <w:ind w:left="0" w:firstLine="0"/>
      </w:pPr>
      <w:rPr>
        <w:strike w:val="0"/>
        <w:dstrike w:val="0"/>
      </w:rPr>
    </w:lvl>
    <w:lvl w:ilvl="1">
      <w:start w:val="1"/>
      <w:numFmt w:val="upperRoman"/>
      <w:pStyle w:val="Annexure2"/>
      <w:suff w:val="nothing"/>
      <w:lvlText w:val="Part %2"/>
      <w:lvlJc w:val="left"/>
      <w:pPr>
        <w:ind w:left="0" w:firstLine="0"/>
      </w:pPr>
      <w:rPr>
        <w:b/>
        <w:strike w:val="0"/>
        <w:dstrike w:val="0"/>
      </w:rPr>
    </w:lvl>
    <w:lvl w:ilvl="2">
      <w:start w:val="1"/>
      <w:numFmt w:val="decimal"/>
      <w:pStyle w:val="Annexure3"/>
      <w:lvlText w:val="%3."/>
      <w:lvlJc w:val="left"/>
      <w:pPr>
        <w:ind w:left="720" w:hanging="720"/>
      </w:pPr>
      <w:rPr>
        <w:strike w:val="0"/>
        <w:dstrike w:val="0"/>
      </w:rPr>
    </w:lvl>
    <w:lvl w:ilvl="3">
      <w:start w:val="1"/>
      <w:numFmt w:val="decimal"/>
      <w:pStyle w:val="Annexure4"/>
      <w:lvlText w:val="%3.%4"/>
      <w:lvlJc w:val="left"/>
      <w:pPr>
        <w:ind w:left="720" w:hanging="720"/>
      </w:pPr>
      <w:rPr>
        <w:strike w:val="0"/>
        <w:dstrike w:val="0"/>
      </w:rPr>
    </w:lvl>
    <w:lvl w:ilvl="4">
      <w:start w:val="1"/>
      <w:numFmt w:val="lowerLetter"/>
      <w:pStyle w:val="Annexure5"/>
      <w:lvlText w:val="(%5)"/>
      <w:lvlJc w:val="left"/>
      <w:pPr>
        <w:ind w:left="1440" w:hanging="720"/>
      </w:pPr>
      <w:rPr>
        <w:strike w:val="0"/>
        <w:dstrike w:val="0"/>
      </w:rPr>
    </w:lvl>
    <w:lvl w:ilvl="5">
      <w:start w:val="1"/>
      <w:numFmt w:val="lowerRoman"/>
      <w:pStyle w:val="Annexure6"/>
      <w:lvlText w:val="(%6)"/>
      <w:lvlJc w:val="left"/>
      <w:pPr>
        <w:ind w:left="2160" w:hanging="720"/>
      </w:pPr>
      <w:rPr>
        <w:strike w:val="0"/>
        <w:dstrike w:val="0"/>
      </w:rPr>
    </w:lvl>
    <w:lvl w:ilvl="6">
      <w:start w:val="1"/>
      <w:numFmt w:val="upperLetter"/>
      <w:pStyle w:val="Annexure7"/>
      <w:lvlText w:val="(%7)"/>
      <w:lvlJc w:val="left"/>
      <w:pPr>
        <w:ind w:left="2880" w:hanging="720"/>
      </w:pPr>
      <w:rPr>
        <w:strike w:val="0"/>
        <w:dstrike w:val="0"/>
      </w:rPr>
    </w:lvl>
    <w:lvl w:ilvl="7">
      <w:start w:val="1"/>
      <w:numFmt w:val="decimal"/>
      <w:pStyle w:val="Annexure8"/>
      <w:lvlText w:val="(%8)"/>
      <w:lvlJc w:val="left"/>
      <w:pPr>
        <w:ind w:left="3600" w:hanging="720"/>
      </w:pPr>
      <w:rPr>
        <w:strike w:val="0"/>
        <w:dstrike w:val="0"/>
      </w:rPr>
    </w:lvl>
    <w:lvl w:ilvl="8">
      <w:start w:val="1"/>
      <w:numFmt w:val="upperRoman"/>
      <w:pStyle w:val="Annexure9"/>
      <w:lvlText w:val="(%9)"/>
      <w:lvlJc w:val="left"/>
      <w:pPr>
        <w:ind w:left="4320" w:hanging="720"/>
      </w:pPr>
      <w:rPr>
        <w:strike w:val="0"/>
        <w:dstrike w:val="0"/>
      </w:rPr>
    </w:lvl>
  </w:abstractNum>
  <w:abstractNum w:abstractNumId="16" w15:restartNumberingAfterBreak="0">
    <w:nsid w:val="1CA93839"/>
    <w:multiLevelType w:val="multilevel"/>
    <w:tmpl w:val="6804C458"/>
    <w:lvl w:ilvl="0">
      <w:start w:val="1"/>
      <w:numFmt w:val="decimal"/>
      <w:lvlText w:val="%1."/>
      <w:lvlJc w:val="left"/>
      <w:pPr>
        <w:ind w:left="720" w:hanging="720"/>
      </w:pPr>
      <w:rPr>
        <w:rFonts w:hint="default"/>
        <w:b/>
        <w:i w:val="0"/>
        <w:sz w:val="22"/>
      </w:rPr>
    </w:lvl>
    <w:lvl w:ilvl="1">
      <w:start w:val="1"/>
      <w:numFmt w:val="decimal"/>
      <w:lvlText w:val="%1.%2."/>
      <w:lvlJc w:val="left"/>
      <w:pPr>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lowerLetter"/>
      <w:lvlText w:val="(%4)"/>
      <w:lvlJc w:val="left"/>
      <w:pPr>
        <w:ind w:left="1440" w:hanging="720"/>
      </w:pPr>
      <w:rPr>
        <w:rFonts w:hint="default"/>
        <w:b w:val="0"/>
        <w:i w:val="0"/>
        <w:sz w:val="22"/>
      </w:rPr>
    </w:lvl>
    <w:lvl w:ilvl="4">
      <w:start w:val="1"/>
      <w:numFmt w:val="upperRoman"/>
      <w:lvlText w:val="%5."/>
      <w:lvlJc w:val="left"/>
      <w:pPr>
        <w:ind w:left="720" w:firstLine="0"/>
      </w:pPr>
      <w:rPr>
        <w:rFonts w:hint="default"/>
        <w:b w:val="0"/>
        <w:i w:val="0"/>
        <w:sz w:val="22"/>
      </w:rPr>
    </w:lvl>
    <w:lvl w:ilvl="5">
      <w:start w:val="1"/>
      <w:numFmt w:val="lowerRoman"/>
      <w:lvlText w:val="(%6)"/>
      <w:lvlJc w:val="left"/>
      <w:pPr>
        <w:ind w:left="720" w:firstLine="0"/>
      </w:pPr>
      <w:rPr>
        <w:rFonts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62426B"/>
    <w:multiLevelType w:val="multilevel"/>
    <w:tmpl w:val="CBD6525C"/>
    <w:name w:val="Definition"/>
    <w:lvl w:ilvl="0">
      <w:start w:val="1"/>
      <w:numFmt w:val="none"/>
      <w:pStyle w:val="Definition1"/>
      <w:suff w:val="nothing"/>
      <w:lvlText w:val="%1"/>
      <w:lvlJc w:val="left"/>
      <w:pPr>
        <w:ind w:left="720" w:firstLine="0"/>
      </w:pPr>
      <w:rPr>
        <w:strike w:val="0"/>
        <w:dstrike w:val="0"/>
        <w:sz w:val="22"/>
      </w:rPr>
    </w:lvl>
    <w:lvl w:ilvl="1">
      <w:start w:val="1"/>
      <w:numFmt w:val="lowerLetter"/>
      <w:pStyle w:val="Definition2"/>
      <w:lvlText w:val="(%2)"/>
      <w:lvlJc w:val="left"/>
      <w:pPr>
        <w:ind w:left="1440" w:hanging="720"/>
      </w:pPr>
      <w:rPr>
        <w:strike w:val="0"/>
        <w:dstrike w:val="0"/>
        <w:sz w:val="22"/>
      </w:rPr>
    </w:lvl>
    <w:lvl w:ilvl="2">
      <w:start w:val="1"/>
      <w:numFmt w:val="lowerRoman"/>
      <w:pStyle w:val="Definition3"/>
      <w:lvlText w:val="(%3)"/>
      <w:lvlJc w:val="left"/>
      <w:pPr>
        <w:ind w:left="2160" w:hanging="720"/>
      </w:pPr>
      <w:rPr>
        <w:strike w:val="0"/>
        <w:dstrike w:val="0"/>
        <w:sz w:val="22"/>
      </w:rPr>
    </w:lvl>
    <w:lvl w:ilvl="3">
      <w:start w:val="1"/>
      <w:numFmt w:val="upperLetter"/>
      <w:pStyle w:val="Definition4"/>
      <w:lvlText w:val="(%4)"/>
      <w:lvlJc w:val="left"/>
      <w:pPr>
        <w:ind w:left="2880" w:hanging="720"/>
      </w:pPr>
      <w:rPr>
        <w:strike w:val="0"/>
        <w:dstrike w:val="0"/>
        <w:sz w:val="22"/>
      </w:rPr>
    </w:lvl>
    <w:lvl w:ilvl="4">
      <w:start w:val="1"/>
      <w:numFmt w:val="none"/>
      <w:pStyle w:val="Definition5"/>
      <w:suff w:val="nothing"/>
      <w:lvlText w:val=""/>
      <w:lvlJc w:val="left"/>
      <w:pPr>
        <w:ind w:left="0" w:firstLine="0"/>
      </w:pPr>
      <w:rPr>
        <w:strike w:val="0"/>
        <w:dstrike w:val="0"/>
        <w:sz w:val="22"/>
      </w:rPr>
    </w:lvl>
    <w:lvl w:ilvl="5">
      <w:start w:val="1"/>
      <w:numFmt w:val="none"/>
      <w:pStyle w:val="Definition6"/>
      <w:suff w:val="nothing"/>
      <w:lvlText w:val=""/>
      <w:lvlJc w:val="left"/>
      <w:pPr>
        <w:ind w:left="0" w:firstLine="0"/>
      </w:pPr>
      <w:rPr>
        <w:strike w:val="0"/>
        <w:dstrike w:val="0"/>
        <w:sz w:val="22"/>
      </w:rPr>
    </w:lvl>
    <w:lvl w:ilvl="6">
      <w:start w:val="1"/>
      <w:numFmt w:val="none"/>
      <w:pStyle w:val="Definition7"/>
      <w:suff w:val="nothing"/>
      <w:lvlText w:val=""/>
      <w:lvlJc w:val="left"/>
      <w:pPr>
        <w:ind w:left="0" w:firstLine="0"/>
      </w:pPr>
      <w:rPr>
        <w:strike w:val="0"/>
        <w:dstrike w:val="0"/>
        <w:sz w:val="22"/>
      </w:rPr>
    </w:lvl>
    <w:lvl w:ilvl="7">
      <w:start w:val="1"/>
      <w:numFmt w:val="none"/>
      <w:pStyle w:val="Definition8"/>
      <w:suff w:val="nothing"/>
      <w:lvlText w:val=""/>
      <w:lvlJc w:val="left"/>
      <w:pPr>
        <w:ind w:left="0" w:firstLine="0"/>
      </w:pPr>
      <w:rPr>
        <w:strike w:val="0"/>
        <w:dstrike w:val="0"/>
        <w:sz w:val="22"/>
      </w:rPr>
    </w:lvl>
    <w:lvl w:ilvl="8">
      <w:start w:val="1"/>
      <w:numFmt w:val="none"/>
      <w:pStyle w:val="Definition9"/>
      <w:suff w:val="nothing"/>
      <w:lvlText w:val=""/>
      <w:lvlJc w:val="left"/>
      <w:pPr>
        <w:ind w:left="0" w:firstLine="0"/>
      </w:pPr>
      <w:rPr>
        <w:strike w:val="0"/>
        <w:dstrike w:val="0"/>
        <w:sz w:val="22"/>
      </w:rPr>
    </w:lvl>
  </w:abstractNum>
  <w:abstractNum w:abstractNumId="18" w15:restartNumberingAfterBreak="0">
    <w:nsid w:val="1E8221F7"/>
    <w:multiLevelType w:val="hybridMultilevel"/>
    <w:tmpl w:val="96DAA784"/>
    <w:lvl w:ilvl="0" w:tplc="25EC4A78">
      <w:start w:val="1"/>
      <w:numFmt w:val="decimal"/>
      <w:pStyle w:val="PrecedentCoverTableText-Numbered"/>
      <w:lvlText w:val="%1."/>
      <w:lvlJc w:val="left"/>
      <w:pPr>
        <w:ind w:left="720" w:hanging="360"/>
      </w:pPr>
      <w:rPr>
        <w:rFonts w:hint="default"/>
        <w:b/>
        <w:i w:val="0"/>
        <w:color w:val="A71930" w:themeColor="accent1"/>
      </w:rPr>
    </w:lvl>
    <w:lvl w:ilvl="1" w:tplc="6ADC04DA" w:tentative="1">
      <w:start w:val="1"/>
      <w:numFmt w:val="lowerLetter"/>
      <w:lvlText w:val="%2."/>
      <w:lvlJc w:val="left"/>
      <w:pPr>
        <w:ind w:left="1440" w:hanging="360"/>
      </w:pPr>
    </w:lvl>
    <w:lvl w:ilvl="2" w:tplc="87262390" w:tentative="1">
      <w:start w:val="1"/>
      <w:numFmt w:val="lowerRoman"/>
      <w:lvlText w:val="%3."/>
      <w:lvlJc w:val="right"/>
      <w:pPr>
        <w:ind w:left="2160" w:hanging="180"/>
      </w:pPr>
    </w:lvl>
    <w:lvl w:ilvl="3" w:tplc="ACEC5AA4" w:tentative="1">
      <w:start w:val="1"/>
      <w:numFmt w:val="decimal"/>
      <w:lvlText w:val="%4."/>
      <w:lvlJc w:val="left"/>
      <w:pPr>
        <w:ind w:left="2880" w:hanging="360"/>
      </w:pPr>
    </w:lvl>
    <w:lvl w:ilvl="4" w:tplc="BDD071D8" w:tentative="1">
      <w:start w:val="1"/>
      <w:numFmt w:val="lowerLetter"/>
      <w:lvlText w:val="%5."/>
      <w:lvlJc w:val="left"/>
      <w:pPr>
        <w:ind w:left="3600" w:hanging="360"/>
      </w:pPr>
    </w:lvl>
    <w:lvl w:ilvl="5" w:tplc="C744F85A" w:tentative="1">
      <w:start w:val="1"/>
      <w:numFmt w:val="lowerRoman"/>
      <w:lvlText w:val="%6."/>
      <w:lvlJc w:val="right"/>
      <w:pPr>
        <w:ind w:left="4320" w:hanging="180"/>
      </w:pPr>
    </w:lvl>
    <w:lvl w:ilvl="6" w:tplc="456A88DE" w:tentative="1">
      <w:start w:val="1"/>
      <w:numFmt w:val="decimal"/>
      <w:lvlText w:val="%7."/>
      <w:lvlJc w:val="left"/>
      <w:pPr>
        <w:ind w:left="5040" w:hanging="360"/>
      </w:pPr>
    </w:lvl>
    <w:lvl w:ilvl="7" w:tplc="40A0CB86" w:tentative="1">
      <w:start w:val="1"/>
      <w:numFmt w:val="lowerLetter"/>
      <w:lvlText w:val="%8."/>
      <w:lvlJc w:val="left"/>
      <w:pPr>
        <w:ind w:left="5760" w:hanging="360"/>
      </w:pPr>
    </w:lvl>
    <w:lvl w:ilvl="8" w:tplc="73364F02" w:tentative="1">
      <w:start w:val="1"/>
      <w:numFmt w:val="lowerRoman"/>
      <w:lvlText w:val="%9."/>
      <w:lvlJc w:val="right"/>
      <w:pPr>
        <w:ind w:left="6480" w:hanging="180"/>
      </w:pPr>
    </w:lvl>
  </w:abstractNum>
  <w:abstractNum w:abstractNumId="19" w15:restartNumberingAfterBreak="0">
    <w:nsid w:val="21BE28D7"/>
    <w:multiLevelType w:val="hybridMultilevel"/>
    <w:tmpl w:val="F3B6362C"/>
    <w:lvl w:ilvl="0" w:tplc="56243AF6">
      <w:start w:val="1"/>
      <w:numFmt w:val="upperLetter"/>
      <w:pStyle w:val="Recital"/>
      <w:lvlText w:val="%1"/>
      <w:lvlJc w:val="left"/>
      <w:pPr>
        <w:tabs>
          <w:tab w:val="num" w:pos="709"/>
        </w:tabs>
        <w:ind w:left="709" w:hanging="709"/>
      </w:pPr>
      <w:rPr>
        <w:rFonts w:hint="default"/>
      </w:rPr>
    </w:lvl>
    <w:lvl w:ilvl="1" w:tplc="56CC2868" w:tentative="1">
      <w:start w:val="1"/>
      <w:numFmt w:val="lowerLetter"/>
      <w:lvlText w:val="%2."/>
      <w:lvlJc w:val="left"/>
      <w:pPr>
        <w:tabs>
          <w:tab w:val="num" w:pos="1440"/>
        </w:tabs>
        <w:ind w:left="1440" w:hanging="360"/>
      </w:pPr>
    </w:lvl>
    <w:lvl w:ilvl="2" w:tplc="A336EFDE" w:tentative="1">
      <w:start w:val="1"/>
      <w:numFmt w:val="lowerRoman"/>
      <w:lvlText w:val="%3."/>
      <w:lvlJc w:val="right"/>
      <w:pPr>
        <w:tabs>
          <w:tab w:val="num" w:pos="2160"/>
        </w:tabs>
        <w:ind w:left="2160" w:hanging="180"/>
      </w:pPr>
    </w:lvl>
    <w:lvl w:ilvl="3" w:tplc="B316ED64" w:tentative="1">
      <w:start w:val="1"/>
      <w:numFmt w:val="decimal"/>
      <w:lvlText w:val="%4."/>
      <w:lvlJc w:val="left"/>
      <w:pPr>
        <w:tabs>
          <w:tab w:val="num" w:pos="2880"/>
        </w:tabs>
        <w:ind w:left="2880" w:hanging="360"/>
      </w:pPr>
    </w:lvl>
    <w:lvl w:ilvl="4" w:tplc="9F946B4C" w:tentative="1">
      <w:start w:val="1"/>
      <w:numFmt w:val="lowerLetter"/>
      <w:lvlText w:val="%5."/>
      <w:lvlJc w:val="left"/>
      <w:pPr>
        <w:tabs>
          <w:tab w:val="num" w:pos="3600"/>
        </w:tabs>
        <w:ind w:left="3600" w:hanging="360"/>
      </w:pPr>
    </w:lvl>
    <w:lvl w:ilvl="5" w:tplc="9F5615F4" w:tentative="1">
      <w:start w:val="1"/>
      <w:numFmt w:val="lowerRoman"/>
      <w:lvlText w:val="%6."/>
      <w:lvlJc w:val="right"/>
      <w:pPr>
        <w:tabs>
          <w:tab w:val="num" w:pos="4320"/>
        </w:tabs>
        <w:ind w:left="4320" w:hanging="180"/>
      </w:pPr>
    </w:lvl>
    <w:lvl w:ilvl="6" w:tplc="9762FE32" w:tentative="1">
      <w:start w:val="1"/>
      <w:numFmt w:val="decimal"/>
      <w:lvlText w:val="%7."/>
      <w:lvlJc w:val="left"/>
      <w:pPr>
        <w:tabs>
          <w:tab w:val="num" w:pos="5040"/>
        </w:tabs>
        <w:ind w:left="5040" w:hanging="360"/>
      </w:pPr>
    </w:lvl>
    <w:lvl w:ilvl="7" w:tplc="6C3002BE" w:tentative="1">
      <w:start w:val="1"/>
      <w:numFmt w:val="lowerLetter"/>
      <w:lvlText w:val="%8."/>
      <w:lvlJc w:val="left"/>
      <w:pPr>
        <w:tabs>
          <w:tab w:val="num" w:pos="5760"/>
        </w:tabs>
        <w:ind w:left="5760" w:hanging="360"/>
      </w:pPr>
    </w:lvl>
    <w:lvl w:ilvl="8" w:tplc="7354FF58" w:tentative="1">
      <w:start w:val="1"/>
      <w:numFmt w:val="lowerRoman"/>
      <w:lvlText w:val="%9."/>
      <w:lvlJc w:val="right"/>
      <w:pPr>
        <w:tabs>
          <w:tab w:val="num" w:pos="6480"/>
        </w:tabs>
        <w:ind w:left="6480" w:hanging="180"/>
      </w:pPr>
    </w:lvl>
  </w:abstractNum>
  <w:abstractNum w:abstractNumId="20" w15:restartNumberingAfterBreak="0">
    <w:nsid w:val="22DA4E9A"/>
    <w:multiLevelType w:val="multilevel"/>
    <w:tmpl w:val="6804C458"/>
    <w:lvl w:ilvl="0">
      <w:start w:val="1"/>
      <w:numFmt w:val="decimal"/>
      <w:lvlText w:val="%1."/>
      <w:lvlJc w:val="left"/>
      <w:pPr>
        <w:ind w:left="720" w:hanging="720"/>
      </w:pPr>
      <w:rPr>
        <w:rFonts w:hint="default"/>
        <w:b/>
        <w:i w:val="0"/>
        <w:sz w:val="22"/>
      </w:rPr>
    </w:lvl>
    <w:lvl w:ilvl="1">
      <w:start w:val="1"/>
      <w:numFmt w:val="decimal"/>
      <w:lvlText w:val="%1.%2."/>
      <w:lvlJc w:val="left"/>
      <w:pPr>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lowerLetter"/>
      <w:lvlText w:val="(%4)"/>
      <w:lvlJc w:val="left"/>
      <w:pPr>
        <w:ind w:left="1440" w:hanging="720"/>
      </w:pPr>
      <w:rPr>
        <w:rFonts w:hint="default"/>
        <w:b w:val="0"/>
        <w:i w:val="0"/>
        <w:sz w:val="22"/>
      </w:rPr>
    </w:lvl>
    <w:lvl w:ilvl="4">
      <w:start w:val="1"/>
      <w:numFmt w:val="upperRoman"/>
      <w:lvlText w:val="%5."/>
      <w:lvlJc w:val="left"/>
      <w:pPr>
        <w:ind w:left="720" w:firstLine="0"/>
      </w:pPr>
      <w:rPr>
        <w:rFonts w:hint="default"/>
        <w:b w:val="0"/>
        <w:i w:val="0"/>
        <w:sz w:val="22"/>
      </w:rPr>
    </w:lvl>
    <w:lvl w:ilvl="5">
      <w:start w:val="1"/>
      <w:numFmt w:val="lowerRoman"/>
      <w:lvlText w:val="(%6)"/>
      <w:lvlJc w:val="left"/>
      <w:pPr>
        <w:ind w:left="720" w:firstLine="0"/>
      </w:pPr>
      <w:rPr>
        <w:rFonts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4230607"/>
    <w:multiLevelType w:val="multilevel"/>
    <w:tmpl w:val="0809001F"/>
    <w:styleLink w:val="111111"/>
    <w:lvl w:ilvl="0">
      <w:start w:val="1"/>
      <w:numFmt w:val="decimal"/>
      <w:lvlText w:val="%1."/>
      <w:lvlJc w:val="left"/>
      <w:pPr>
        <w:tabs>
          <w:tab w:val="num" w:pos="360"/>
        </w:tabs>
        <w:ind w:left="360" w:hanging="360"/>
      </w:pPr>
      <w:rPr>
        <w:rFonts w:ascii="Georgia" w:hAnsi="Georgia"/>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4A349FF"/>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27010CEF"/>
    <w:multiLevelType w:val="multilevel"/>
    <w:tmpl w:val="204C8D46"/>
    <w:styleLink w:val="1ai"/>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9014F41"/>
    <w:multiLevelType w:val="hybridMultilevel"/>
    <w:tmpl w:val="7B6AFDB6"/>
    <w:lvl w:ilvl="0" w:tplc="9B42E2BA">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C7119FC"/>
    <w:multiLevelType w:val="hybridMultilevel"/>
    <w:tmpl w:val="2622600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2E35514F"/>
    <w:multiLevelType w:val="hybridMultilevel"/>
    <w:tmpl w:val="1B82C0C8"/>
    <w:lvl w:ilvl="0" w:tplc="FFFFFFFF">
      <w:start w:val="1"/>
      <w:numFmt w:val="decimal"/>
      <w:lvlText w:val="%1."/>
      <w:lvlJc w:val="left"/>
      <w:pPr>
        <w:ind w:left="720" w:hanging="360"/>
      </w:pPr>
      <w:rPr>
        <w:rFonts w:ascii="Times New Roman" w:hAnsi="Times New Roman" w:cs="Times New Roman"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F1C7A27"/>
    <w:multiLevelType w:val="hybridMultilevel"/>
    <w:tmpl w:val="06924C16"/>
    <w:lvl w:ilvl="0" w:tplc="6F440D70">
      <w:start w:val="1"/>
      <w:numFmt w:val="bullet"/>
      <w:pStyle w:val="Bullet2"/>
      <w:lvlText w:val=""/>
      <w:lvlJc w:val="left"/>
      <w:pPr>
        <w:tabs>
          <w:tab w:val="num" w:pos="357"/>
        </w:tabs>
        <w:ind w:left="357" w:hanging="357"/>
      </w:pPr>
      <w:rPr>
        <w:rFonts w:ascii="Symbol" w:hAnsi="Symbol" w:hint="default"/>
      </w:rPr>
    </w:lvl>
    <w:lvl w:ilvl="1" w:tplc="EC82C550" w:tentative="1">
      <w:start w:val="1"/>
      <w:numFmt w:val="bullet"/>
      <w:lvlText w:val="o"/>
      <w:lvlJc w:val="left"/>
      <w:pPr>
        <w:tabs>
          <w:tab w:val="num" w:pos="1440"/>
        </w:tabs>
        <w:ind w:left="1440" w:hanging="360"/>
      </w:pPr>
      <w:rPr>
        <w:rFonts w:ascii="Courier New" w:hAnsi="Courier New" w:cs="Courier New" w:hint="default"/>
      </w:rPr>
    </w:lvl>
    <w:lvl w:ilvl="2" w:tplc="49D01C2A" w:tentative="1">
      <w:start w:val="1"/>
      <w:numFmt w:val="bullet"/>
      <w:lvlText w:val=""/>
      <w:lvlJc w:val="left"/>
      <w:pPr>
        <w:tabs>
          <w:tab w:val="num" w:pos="2160"/>
        </w:tabs>
        <w:ind w:left="2160" w:hanging="360"/>
      </w:pPr>
      <w:rPr>
        <w:rFonts w:ascii="Wingdings" w:hAnsi="Wingdings" w:hint="default"/>
      </w:rPr>
    </w:lvl>
    <w:lvl w:ilvl="3" w:tplc="D81E992A" w:tentative="1">
      <w:start w:val="1"/>
      <w:numFmt w:val="bullet"/>
      <w:lvlText w:val=""/>
      <w:lvlJc w:val="left"/>
      <w:pPr>
        <w:tabs>
          <w:tab w:val="num" w:pos="2880"/>
        </w:tabs>
        <w:ind w:left="2880" w:hanging="360"/>
      </w:pPr>
      <w:rPr>
        <w:rFonts w:ascii="Symbol" w:hAnsi="Symbol" w:hint="default"/>
      </w:rPr>
    </w:lvl>
    <w:lvl w:ilvl="4" w:tplc="7AA46E54" w:tentative="1">
      <w:start w:val="1"/>
      <w:numFmt w:val="bullet"/>
      <w:lvlText w:val="o"/>
      <w:lvlJc w:val="left"/>
      <w:pPr>
        <w:tabs>
          <w:tab w:val="num" w:pos="3600"/>
        </w:tabs>
        <w:ind w:left="3600" w:hanging="360"/>
      </w:pPr>
      <w:rPr>
        <w:rFonts w:ascii="Courier New" w:hAnsi="Courier New" w:cs="Courier New" w:hint="default"/>
      </w:rPr>
    </w:lvl>
    <w:lvl w:ilvl="5" w:tplc="05F4B7DA" w:tentative="1">
      <w:start w:val="1"/>
      <w:numFmt w:val="bullet"/>
      <w:lvlText w:val=""/>
      <w:lvlJc w:val="left"/>
      <w:pPr>
        <w:tabs>
          <w:tab w:val="num" w:pos="4320"/>
        </w:tabs>
        <w:ind w:left="4320" w:hanging="360"/>
      </w:pPr>
      <w:rPr>
        <w:rFonts w:ascii="Wingdings" w:hAnsi="Wingdings" w:hint="default"/>
      </w:rPr>
    </w:lvl>
    <w:lvl w:ilvl="6" w:tplc="BF04799E" w:tentative="1">
      <w:start w:val="1"/>
      <w:numFmt w:val="bullet"/>
      <w:lvlText w:val=""/>
      <w:lvlJc w:val="left"/>
      <w:pPr>
        <w:tabs>
          <w:tab w:val="num" w:pos="5040"/>
        </w:tabs>
        <w:ind w:left="5040" w:hanging="360"/>
      </w:pPr>
      <w:rPr>
        <w:rFonts w:ascii="Symbol" w:hAnsi="Symbol" w:hint="default"/>
      </w:rPr>
    </w:lvl>
    <w:lvl w:ilvl="7" w:tplc="1FA2150C" w:tentative="1">
      <w:start w:val="1"/>
      <w:numFmt w:val="bullet"/>
      <w:lvlText w:val="o"/>
      <w:lvlJc w:val="left"/>
      <w:pPr>
        <w:tabs>
          <w:tab w:val="num" w:pos="5760"/>
        </w:tabs>
        <w:ind w:left="5760" w:hanging="360"/>
      </w:pPr>
      <w:rPr>
        <w:rFonts w:ascii="Courier New" w:hAnsi="Courier New" w:cs="Courier New" w:hint="default"/>
      </w:rPr>
    </w:lvl>
    <w:lvl w:ilvl="8" w:tplc="E772867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451C4C"/>
    <w:multiLevelType w:val="multilevel"/>
    <w:tmpl w:val="6DE2DBE6"/>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34E91CBD"/>
    <w:multiLevelType w:val="hybridMultilevel"/>
    <w:tmpl w:val="B98E1D8C"/>
    <w:styleLink w:val="1111110"/>
    <w:lvl w:ilvl="0" w:tplc="C86A3396">
      <w:start w:val="1"/>
      <w:numFmt w:val="lowerRoman"/>
      <w:lvlText w:val="%1."/>
      <w:lvlJc w:val="right"/>
      <w:pPr>
        <w:ind w:left="720" w:hanging="360"/>
      </w:pPr>
      <w:rPr>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8E86A98"/>
    <w:multiLevelType w:val="hybridMultilevel"/>
    <w:tmpl w:val="F17822BE"/>
    <w:styleLink w:val="BMIndents"/>
    <w:lvl w:ilvl="0" w:tplc="041D0019">
      <w:start w:val="1"/>
      <w:numFmt w:val="lowerLetter"/>
      <w:lvlText w:val="%1."/>
      <w:lvlJc w:val="left"/>
      <w:pPr>
        <w:ind w:left="928" w:hanging="360"/>
      </w:pPr>
    </w:lvl>
    <w:lvl w:ilvl="1" w:tplc="041D0019">
      <w:start w:val="1"/>
      <w:numFmt w:val="lowerLetter"/>
      <w:lvlText w:val="%2."/>
      <w:lvlJc w:val="left"/>
      <w:pPr>
        <w:ind w:left="1648" w:hanging="360"/>
      </w:pPr>
    </w:lvl>
    <w:lvl w:ilvl="2" w:tplc="041D001B">
      <w:start w:val="1"/>
      <w:numFmt w:val="lowerRoman"/>
      <w:lvlText w:val="%3."/>
      <w:lvlJc w:val="right"/>
      <w:pPr>
        <w:ind w:left="2368" w:hanging="180"/>
      </w:pPr>
    </w:lvl>
    <w:lvl w:ilvl="3" w:tplc="041D000F">
      <w:start w:val="1"/>
      <w:numFmt w:val="decimal"/>
      <w:lvlText w:val="%4."/>
      <w:lvlJc w:val="left"/>
      <w:pPr>
        <w:ind w:left="3088" w:hanging="360"/>
      </w:pPr>
    </w:lvl>
    <w:lvl w:ilvl="4" w:tplc="041D0019">
      <w:start w:val="1"/>
      <w:numFmt w:val="lowerLetter"/>
      <w:lvlText w:val="%5."/>
      <w:lvlJc w:val="left"/>
      <w:pPr>
        <w:ind w:left="3808" w:hanging="360"/>
      </w:pPr>
    </w:lvl>
    <w:lvl w:ilvl="5" w:tplc="041D001B">
      <w:start w:val="1"/>
      <w:numFmt w:val="lowerRoman"/>
      <w:lvlText w:val="%6."/>
      <w:lvlJc w:val="right"/>
      <w:pPr>
        <w:ind w:left="4528" w:hanging="180"/>
      </w:pPr>
    </w:lvl>
    <w:lvl w:ilvl="6" w:tplc="041D000F">
      <w:start w:val="1"/>
      <w:numFmt w:val="decimal"/>
      <w:lvlText w:val="%7."/>
      <w:lvlJc w:val="left"/>
      <w:pPr>
        <w:ind w:left="5248" w:hanging="360"/>
      </w:pPr>
    </w:lvl>
    <w:lvl w:ilvl="7" w:tplc="041D0019">
      <w:start w:val="1"/>
      <w:numFmt w:val="lowerLetter"/>
      <w:lvlText w:val="%8."/>
      <w:lvlJc w:val="left"/>
      <w:pPr>
        <w:ind w:left="5968" w:hanging="360"/>
      </w:pPr>
    </w:lvl>
    <w:lvl w:ilvl="8" w:tplc="041D001B">
      <w:start w:val="1"/>
      <w:numFmt w:val="lowerRoman"/>
      <w:lvlText w:val="%9."/>
      <w:lvlJc w:val="right"/>
      <w:pPr>
        <w:ind w:left="6688" w:hanging="180"/>
      </w:pPr>
    </w:lvl>
  </w:abstractNum>
  <w:abstractNum w:abstractNumId="31" w15:restartNumberingAfterBreak="0">
    <w:nsid w:val="3F1077B3"/>
    <w:multiLevelType w:val="multilevel"/>
    <w:tmpl w:val="6804C458"/>
    <w:lvl w:ilvl="0">
      <w:start w:val="1"/>
      <w:numFmt w:val="decimal"/>
      <w:lvlText w:val="%1."/>
      <w:lvlJc w:val="left"/>
      <w:pPr>
        <w:ind w:left="720" w:hanging="720"/>
      </w:pPr>
      <w:rPr>
        <w:rFonts w:hint="default"/>
        <w:b/>
        <w:i w:val="0"/>
        <w:sz w:val="22"/>
      </w:rPr>
    </w:lvl>
    <w:lvl w:ilvl="1">
      <w:start w:val="1"/>
      <w:numFmt w:val="decimal"/>
      <w:lvlText w:val="%1.%2."/>
      <w:lvlJc w:val="left"/>
      <w:pPr>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lowerLetter"/>
      <w:lvlText w:val="(%4)"/>
      <w:lvlJc w:val="left"/>
      <w:pPr>
        <w:ind w:left="1440" w:hanging="720"/>
      </w:pPr>
      <w:rPr>
        <w:rFonts w:hint="default"/>
        <w:b w:val="0"/>
        <w:i w:val="0"/>
        <w:sz w:val="22"/>
      </w:rPr>
    </w:lvl>
    <w:lvl w:ilvl="4">
      <w:start w:val="1"/>
      <w:numFmt w:val="upperRoman"/>
      <w:lvlText w:val="%5."/>
      <w:lvlJc w:val="left"/>
      <w:pPr>
        <w:ind w:left="720" w:firstLine="0"/>
      </w:pPr>
      <w:rPr>
        <w:rFonts w:hint="default"/>
        <w:b w:val="0"/>
        <w:i w:val="0"/>
        <w:sz w:val="22"/>
      </w:rPr>
    </w:lvl>
    <w:lvl w:ilvl="5">
      <w:start w:val="1"/>
      <w:numFmt w:val="lowerRoman"/>
      <w:lvlText w:val="(%6)"/>
      <w:lvlJc w:val="left"/>
      <w:pPr>
        <w:ind w:left="720" w:firstLine="0"/>
      </w:pPr>
      <w:rPr>
        <w:rFonts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FAA1A3A"/>
    <w:multiLevelType w:val="multilevel"/>
    <w:tmpl w:val="B0181FB4"/>
    <w:name w:val="Exhibit"/>
    <w:lvl w:ilvl="0">
      <w:start w:val="1"/>
      <w:numFmt w:val="decimal"/>
      <w:pStyle w:val="Exhibit1"/>
      <w:suff w:val="nothing"/>
      <w:lvlText w:val="Exhibit %1"/>
      <w:lvlJc w:val="left"/>
      <w:pPr>
        <w:ind w:left="0" w:firstLine="0"/>
      </w:pPr>
      <w:rPr>
        <w:strike w:val="0"/>
        <w:dstrike w:val="0"/>
      </w:rPr>
    </w:lvl>
    <w:lvl w:ilvl="1">
      <w:start w:val="1"/>
      <w:numFmt w:val="upperRoman"/>
      <w:pStyle w:val="Exhibit2"/>
      <w:suff w:val="nothing"/>
      <w:lvlText w:val="Part %2"/>
      <w:lvlJc w:val="left"/>
      <w:pPr>
        <w:ind w:left="0" w:firstLine="0"/>
      </w:pPr>
      <w:rPr>
        <w:strike w:val="0"/>
        <w:dstrike w:val="0"/>
      </w:rPr>
    </w:lvl>
    <w:lvl w:ilvl="2">
      <w:start w:val="1"/>
      <w:numFmt w:val="decimal"/>
      <w:pStyle w:val="Exhibit3"/>
      <w:lvlText w:val="%3."/>
      <w:lvlJc w:val="left"/>
      <w:pPr>
        <w:ind w:left="720" w:hanging="720"/>
      </w:pPr>
      <w:rPr>
        <w:b/>
        <w:strike w:val="0"/>
        <w:dstrike w:val="0"/>
      </w:rPr>
    </w:lvl>
    <w:lvl w:ilvl="3">
      <w:start w:val="1"/>
      <w:numFmt w:val="decimal"/>
      <w:pStyle w:val="Exhibit4"/>
      <w:lvlText w:val="%3.%4"/>
      <w:lvlJc w:val="left"/>
      <w:pPr>
        <w:ind w:left="720" w:hanging="720"/>
      </w:pPr>
      <w:rPr>
        <w:strike w:val="0"/>
        <w:dstrike w:val="0"/>
      </w:rPr>
    </w:lvl>
    <w:lvl w:ilvl="4">
      <w:start w:val="1"/>
      <w:numFmt w:val="lowerLetter"/>
      <w:pStyle w:val="Exhibit5"/>
      <w:lvlText w:val="(%5)"/>
      <w:lvlJc w:val="left"/>
      <w:pPr>
        <w:ind w:left="1440" w:hanging="720"/>
      </w:pPr>
      <w:rPr>
        <w:strike w:val="0"/>
        <w:dstrike w:val="0"/>
      </w:rPr>
    </w:lvl>
    <w:lvl w:ilvl="5">
      <w:start w:val="1"/>
      <w:numFmt w:val="lowerRoman"/>
      <w:pStyle w:val="Exhibit6"/>
      <w:lvlText w:val="(%6)"/>
      <w:lvlJc w:val="left"/>
      <w:pPr>
        <w:ind w:left="2160" w:hanging="720"/>
      </w:pPr>
      <w:rPr>
        <w:strike w:val="0"/>
        <w:dstrike w:val="0"/>
      </w:rPr>
    </w:lvl>
    <w:lvl w:ilvl="6">
      <w:start w:val="1"/>
      <w:numFmt w:val="upperLetter"/>
      <w:pStyle w:val="Exhibit7"/>
      <w:lvlText w:val="(%7)"/>
      <w:lvlJc w:val="left"/>
      <w:pPr>
        <w:ind w:left="2880" w:hanging="720"/>
      </w:pPr>
      <w:rPr>
        <w:strike w:val="0"/>
        <w:dstrike w:val="0"/>
      </w:rPr>
    </w:lvl>
    <w:lvl w:ilvl="7">
      <w:start w:val="1"/>
      <w:numFmt w:val="decimal"/>
      <w:pStyle w:val="Exhibit8"/>
      <w:lvlText w:val="(%8)"/>
      <w:lvlJc w:val="left"/>
      <w:pPr>
        <w:ind w:left="3600" w:hanging="720"/>
      </w:pPr>
      <w:rPr>
        <w:strike w:val="0"/>
        <w:dstrike w:val="0"/>
      </w:rPr>
    </w:lvl>
    <w:lvl w:ilvl="8">
      <w:start w:val="1"/>
      <w:numFmt w:val="upperRoman"/>
      <w:pStyle w:val="Exhibit9"/>
      <w:lvlText w:val="(%9)"/>
      <w:lvlJc w:val="left"/>
      <w:pPr>
        <w:ind w:left="4320" w:hanging="720"/>
      </w:pPr>
      <w:rPr>
        <w:strike w:val="0"/>
        <w:dstrike w:val="0"/>
      </w:rPr>
    </w:lvl>
  </w:abstractNum>
  <w:abstractNum w:abstractNumId="33" w15:restartNumberingAfterBreak="0">
    <w:nsid w:val="3FB9547C"/>
    <w:multiLevelType w:val="hybridMultilevel"/>
    <w:tmpl w:val="1B82C0C8"/>
    <w:lvl w:ilvl="0" w:tplc="FFFFFFFF">
      <w:start w:val="1"/>
      <w:numFmt w:val="decimal"/>
      <w:lvlText w:val="%1."/>
      <w:lvlJc w:val="left"/>
      <w:pPr>
        <w:ind w:left="720" w:hanging="360"/>
      </w:pPr>
      <w:rPr>
        <w:rFonts w:ascii="Times New Roman" w:hAnsi="Times New Roman" w:cs="Times New Roman" w:hint="default"/>
        <w:b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43431990"/>
    <w:multiLevelType w:val="singleLevel"/>
    <w:tmpl w:val="7C540144"/>
    <w:lvl w:ilvl="0">
      <w:start w:val="1"/>
      <w:numFmt w:val="decimal"/>
      <w:pStyle w:val="Parties"/>
      <w:lvlText w:val="(%1)"/>
      <w:lvlJc w:val="left"/>
      <w:pPr>
        <w:tabs>
          <w:tab w:val="num" w:pos="680"/>
        </w:tabs>
        <w:ind w:left="680" w:hanging="680"/>
      </w:pPr>
      <w:rPr>
        <w:rFonts w:ascii="Arial" w:hAnsi="Arial" w:cs="Times New Roman" w:hint="default"/>
        <w:b/>
        <w:i w:val="0"/>
        <w:sz w:val="20"/>
      </w:rPr>
    </w:lvl>
  </w:abstractNum>
  <w:abstractNum w:abstractNumId="36" w15:restartNumberingAfterBreak="0">
    <w:nsid w:val="452F5BE6"/>
    <w:multiLevelType w:val="hybridMultilevel"/>
    <w:tmpl w:val="7B6AFDB6"/>
    <w:lvl w:ilvl="0" w:tplc="9B42E2BA">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6C35A24"/>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8" w15:restartNumberingAfterBreak="0">
    <w:nsid w:val="4706064C"/>
    <w:multiLevelType w:val="hybridMultilevel"/>
    <w:tmpl w:val="F3580ECA"/>
    <w:lvl w:ilvl="0" w:tplc="FFFFFFFF">
      <w:start w:val="1"/>
      <w:numFmt w:val="upperRoman"/>
      <w:lvlText w:val="%1."/>
      <w:lvlJc w:val="left"/>
      <w:pPr>
        <w:ind w:left="720" w:hanging="360"/>
      </w:pPr>
      <w:rPr>
        <w:rFonts w:hint="default"/>
      </w:rPr>
    </w:lvl>
    <w:lvl w:ilvl="1" w:tplc="FFFFFFFF">
      <w:start w:val="1"/>
      <w:numFmt w:val="lowerRoman"/>
      <w:lvlText w:val="(%2)"/>
      <w:lvlJc w:val="left"/>
      <w:pPr>
        <w:ind w:left="1810" w:hanging="7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54324E"/>
    <w:multiLevelType w:val="hybridMultilevel"/>
    <w:tmpl w:val="186A18FE"/>
    <w:lvl w:ilvl="0" w:tplc="2F56647C">
      <w:start w:val="1"/>
      <w:numFmt w:val="upperLetter"/>
      <w:pStyle w:val="ListBACKGROUNDA"/>
      <w:lvlText w:val="%1."/>
      <w:lvlJc w:val="left"/>
      <w:pPr>
        <w:tabs>
          <w:tab w:val="num" w:pos="1009"/>
        </w:tabs>
        <w:ind w:left="1009" w:hanging="1009"/>
      </w:pPr>
      <w:rPr>
        <w:rFonts w:hint="default"/>
      </w:rPr>
    </w:lvl>
    <w:lvl w:ilvl="1" w:tplc="558C42D0" w:tentative="1">
      <w:start w:val="1"/>
      <w:numFmt w:val="lowerLetter"/>
      <w:lvlText w:val="%2."/>
      <w:lvlJc w:val="left"/>
      <w:pPr>
        <w:tabs>
          <w:tab w:val="num" w:pos="1440"/>
        </w:tabs>
        <w:ind w:left="1440" w:hanging="360"/>
      </w:pPr>
    </w:lvl>
    <w:lvl w:ilvl="2" w:tplc="716A4A08" w:tentative="1">
      <w:start w:val="1"/>
      <w:numFmt w:val="lowerRoman"/>
      <w:lvlText w:val="%3."/>
      <w:lvlJc w:val="right"/>
      <w:pPr>
        <w:tabs>
          <w:tab w:val="num" w:pos="2160"/>
        </w:tabs>
        <w:ind w:left="2160" w:hanging="180"/>
      </w:pPr>
    </w:lvl>
    <w:lvl w:ilvl="3" w:tplc="AAB46DC4" w:tentative="1">
      <w:start w:val="1"/>
      <w:numFmt w:val="decimal"/>
      <w:lvlText w:val="%4."/>
      <w:lvlJc w:val="left"/>
      <w:pPr>
        <w:tabs>
          <w:tab w:val="num" w:pos="2880"/>
        </w:tabs>
        <w:ind w:left="2880" w:hanging="360"/>
      </w:pPr>
    </w:lvl>
    <w:lvl w:ilvl="4" w:tplc="52CA8958" w:tentative="1">
      <w:start w:val="1"/>
      <w:numFmt w:val="lowerLetter"/>
      <w:lvlText w:val="%5."/>
      <w:lvlJc w:val="left"/>
      <w:pPr>
        <w:tabs>
          <w:tab w:val="num" w:pos="3600"/>
        </w:tabs>
        <w:ind w:left="3600" w:hanging="360"/>
      </w:pPr>
    </w:lvl>
    <w:lvl w:ilvl="5" w:tplc="6974E0D8" w:tentative="1">
      <w:start w:val="1"/>
      <w:numFmt w:val="lowerRoman"/>
      <w:lvlText w:val="%6."/>
      <w:lvlJc w:val="right"/>
      <w:pPr>
        <w:tabs>
          <w:tab w:val="num" w:pos="4320"/>
        </w:tabs>
        <w:ind w:left="4320" w:hanging="180"/>
      </w:pPr>
    </w:lvl>
    <w:lvl w:ilvl="6" w:tplc="706AEC60" w:tentative="1">
      <w:start w:val="1"/>
      <w:numFmt w:val="decimal"/>
      <w:lvlText w:val="%7."/>
      <w:lvlJc w:val="left"/>
      <w:pPr>
        <w:tabs>
          <w:tab w:val="num" w:pos="5040"/>
        </w:tabs>
        <w:ind w:left="5040" w:hanging="360"/>
      </w:pPr>
    </w:lvl>
    <w:lvl w:ilvl="7" w:tplc="9E522796" w:tentative="1">
      <w:start w:val="1"/>
      <w:numFmt w:val="lowerLetter"/>
      <w:lvlText w:val="%8."/>
      <w:lvlJc w:val="left"/>
      <w:pPr>
        <w:tabs>
          <w:tab w:val="num" w:pos="5760"/>
        </w:tabs>
        <w:ind w:left="5760" w:hanging="360"/>
      </w:pPr>
    </w:lvl>
    <w:lvl w:ilvl="8" w:tplc="0AE4351E" w:tentative="1">
      <w:start w:val="1"/>
      <w:numFmt w:val="lowerRoman"/>
      <w:lvlText w:val="%9."/>
      <w:lvlJc w:val="right"/>
      <w:pPr>
        <w:tabs>
          <w:tab w:val="num" w:pos="6480"/>
        </w:tabs>
        <w:ind w:left="6480" w:hanging="180"/>
      </w:pPr>
    </w:lvl>
  </w:abstractNum>
  <w:abstractNum w:abstractNumId="40" w15:restartNumberingAfterBreak="0">
    <w:nsid w:val="48953B76"/>
    <w:multiLevelType w:val="multilevel"/>
    <w:tmpl w:val="CB5C1A90"/>
    <w:name w:val="BBScheduleList"/>
    <w:lvl w:ilvl="0">
      <w:start w:val="1"/>
      <w:numFmt w:val="none"/>
      <w:pStyle w:val="BBScheduleTitle"/>
      <w:suff w:val="nothing"/>
      <w:lvlText w:val=""/>
      <w:lvlJc w:val="left"/>
      <w:pPr>
        <w:ind w:left="0" w:firstLine="0"/>
      </w:pPr>
      <w:rPr>
        <w:rFonts w:hint="default"/>
      </w:rPr>
    </w:lvl>
    <w:lvl w:ilvl="1">
      <w:start w:val="1"/>
      <w:numFmt w:val="decimal"/>
      <w:pStyle w:val="BBScheduleHeading1"/>
      <w:lvlText w:val="%2."/>
      <w:lvlJc w:val="left"/>
      <w:pPr>
        <w:tabs>
          <w:tab w:val="num" w:pos="720"/>
        </w:tabs>
        <w:ind w:left="720" w:hanging="720"/>
      </w:pPr>
      <w:rPr>
        <w:rFonts w:hint="default"/>
        <w:b w:val="0"/>
        <w:i w:val="0"/>
      </w:rPr>
    </w:lvl>
    <w:lvl w:ilvl="2">
      <w:start w:val="1"/>
      <w:numFmt w:val="decimal"/>
      <w:pStyle w:val="BBScheduleHeading2"/>
      <w:lvlText w:val="%2.%3"/>
      <w:lvlJc w:val="left"/>
      <w:pPr>
        <w:tabs>
          <w:tab w:val="num" w:pos="720"/>
        </w:tabs>
        <w:ind w:left="720" w:hanging="720"/>
      </w:pPr>
      <w:rPr>
        <w:rFonts w:hint="default"/>
        <w:b w:val="0"/>
        <w:i w:val="0"/>
      </w:rPr>
    </w:lvl>
    <w:lvl w:ilvl="3">
      <w:start w:val="1"/>
      <w:numFmt w:val="lowerLetter"/>
      <w:pStyle w:val="BBSchedule3"/>
      <w:lvlText w:val="(%4)"/>
      <w:lvlJc w:val="left"/>
      <w:pPr>
        <w:tabs>
          <w:tab w:val="num" w:pos="1440"/>
        </w:tabs>
        <w:ind w:left="1440" w:hanging="720"/>
      </w:pPr>
      <w:rPr>
        <w:rFonts w:hint="default"/>
        <w:b w:val="0"/>
        <w:i w:val="0"/>
      </w:rPr>
    </w:lvl>
    <w:lvl w:ilvl="4">
      <w:start w:val="1"/>
      <w:numFmt w:val="lowerRoman"/>
      <w:pStyle w:val="BBSchedule4"/>
      <w:lvlText w:val="(%5)"/>
      <w:lvlJc w:val="left"/>
      <w:pPr>
        <w:tabs>
          <w:tab w:val="num" w:pos="2160"/>
        </w:tabs>
        <w:ind w:left="2160" w:hanging="720"/>
      </w:pPr>
      <w:rPr>
        <w:rFonts w:hint="default"/>
        <w:b w:val="0"/>
        <w:i w:val="0"/>
      </w:rPr>
    </w:lvl>
    <w:lvl w:ilvl="5">
      <w:start w:val="1"/>
      <w:numFmt w:val="upperLetter"/>
      <w:pStyle w:val="BBSchedule5"/>
      <w:lvlText w:val="(%6)"/>
      <w:lvlJc w:val="left"/>
      <w:pPr>
        <w:tabs>
          <w:tab w:val="num" w:pos="2880"/>
        </w:tabs>
        <w:ind w:left="2880" w:hanging="720"/>
      </w:pPr>
      <w:rPr>
        <w:rFonts w:hint="default"/>
        <w:b w:val="0"/>
        <w:i w:val="0"/>
      </w:rPr>
    </w:lvl>
    <w:lvl w:ilvl="6">
      <w:start w:val="1"/>
      <w:numFmt w:val="upperRoman"/>
      <w:pStyle w:val="BBSchedule6"/>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4DC365FC"/>
    <w:multiLevelType w:val="multilevel"/>
    <w:tmpl w:val="B7466C04"/>
    <w:name w:val="Bullet (12pt After)"/>
    <w:lvl w:ilvl="0">
      <w:start w:val="1"/>
      <w:numFmt w:val="bullet"/>
      <w:pStyle w:val="Bullet12ptAfter1"/>
      <w:lvlText w:val=""/>
      <w:lvlJc w:val="left"/>
      <w:pPr>
        <w:ind w:left="720" w:hanging="720"/>
      </w:pPr>
      <w:rPr>
        <w:rFonts w:ascii="Symbol" w:hAnsi="Symbol" w:hint="default"/>
        <w:strike w:val="0"/>
        <w:dstrike w:val="0"/>
      </w:rPr>
    </w:lvl>
    <w:lvl w:ilvl="1">
      <w:start w:val="1"/>
      <w:numFmt w:val="bullet"/>
      <w:pStyle w:val="Bullet12ptAfter2"/>
      <w:lvlText w:val=""/>
      <w:lvlJc w:val="left"/>
      <w:pPr>
        <w:ind w:left="1440" w:hanging="720"/>
      </w:pPr>
      <w:rPr>
        <w:rFonts w:ascii="Symbol" w:hAnsi="Symbol" w:hint="default"/>
        <w:strike w:val="0"/>
        <w:dstrike w:val="0"/>
      </w:rPr>
    </w:lvl>
    <w:lvl w:ilvl="2">
      <w:start w:val="1"/>
      <w:numFmt w:val="bullet"/>
      <w:pStyle w:val="Bullet12ptAfter3"/>
      <w:lvlText w:val=""/>
      <w:lvlJc w:val="left"/>
      <w:pPr>
        <w:ind w:left="2160" w:hanging="720"/>
      </w:pPr>
      <w:rPr>
        <w:rFonts w:ascii="Symbol" w:hAnsi="Symbol" w:hint="default"/>
        <w:strike w:val="0"/>
        <w:dstrike w:val="0"/>
      </w:rPr>
    </w:lvl>
    <w:lvl w:ilvl="3">
      <w:start w:val="1"/>
      <w:numFmt w:val="bullet"/>
      <w:pStyle w:val="Bullet12ptAfter4"/>
      <w:lvlText w:val=""/>
      <w:lvlJc w:val="left"/>
      <w:pPr>
        <w:ind w:left="2880" w:hanging="720"/>
      </w:pPr>
      <w:rPr>
        <w:rFonts w:ascii="Symbol" w:hAnsi="Symbol" w:hint="default"/>
        <w:strike w:val="0"/>
        <w:dstrike w:val="0"/>
      </w:rPr>
    </w:lvl>
    <w:lvl w:ilvl="4">
      <w:start w:val="1"/>
      <w:numFmt w:val="bullet"/>
      <w:pStyle w:val="Bullet12ptAfter5"/>
      <w:lvlText w:val=""/>
      <w:lvlJc w:val="left"/>
      <w:pPr>
        <w:ind w:left="3600" w:hanging="720"/>
      </w:pPr>
      <w:rPr>
        <w:rFonts w:ascii="Symbol" w:hAnsi="Symbol" w:hint="default"/>
        <w:strike w:val="0"/>
        <w:dstrike w:val="0"/>
      </w:rPr>
    </w:lvl>
    <w:lvl w:ilvl="5">
      <w:start w:val="1"/>
      <w:numFmt w:val="bullet"/>
      <w:pStyle w:val="Bullet12ptAfter6"/>
      <w:lvlText w:val=""/>
      <w:lvlJc w:val="left"/>
      <w:pPr>
        <w:ind w:left="4320" w:hanging="720"/>
      </w:pPr>
      <w:rPr>
        <w:rFonts w:ascii="Symbol" w:hAnsi="Symbol" w:hint="default"/>
        <w:strike w:val="0"/>
        <w:dstrike w:val="0"/>
      </w:rPr>
    </w:lvl>
    <w:lvl w:ilvl="6">
      <w:start w:val="1"/>
      <w:numFmt w:val="none"/>
      <w:pStyle w:val="Bullet12ptAfter7"/>
      <w:suff w:val="nothing"/>
      <w:lvlText w:val=""/>
      <w:lvlJc w:val="left"/>
      <w:pPr>
        <w:ind w:left="360" w:firstLine="0"/>
      </w:pPr>
      <w:rPr>
        <w:strike w:val="0"/>
        <w:dstrike w:val="0"/>
      </w:rPr>
    </w:lvl>
    <w:lvl w:ilvl="7">
      <w:start w:val="1"/>
      <w:numFmt w:val="none"/>
      <w:pStyle w:val="Bullet12ptAfter8"/>
      <w:suff w:val="nothing"/>
      <w:lvlText w:val=""/>
      <w:lvlJc w:val="left"/>
      <w:pPr>
        <w:ind w:left="360" w:firstLine="0"/>
      </w:pPr>
      <w:rPr>
        <w:strike w:val="0"/>
        <w:dstrike w:val="0"/>
      </w:rPr>
    </w:lvl>
    <w:lvl w:ilvl="8">
      <w:start w:val="1"/>
      <w:numFmt w:val="none"/>
      <w:pStyle w:val="Bullet12ptAfter9"/>
      <w:suff w:val="nothing"/>
      <w:lvlText w:val=""/>
      <w:lvlJc w:val="left"/>
      <w:pPr>
        <w:ind w:left="360" w:firstLine="0"/>
      </w:pPr>
      <w:rPr>
        <w:strike w:val="0"/>
        <w:dstrike w:val="0"/>
      </w:rPr>
    </w:lvl>
  </w:abstractNum>
  <w:abstractNum w:abstractNumId="42" w15:restartNumberingAfterBreak="0">
    <w:nsid w:val="5123008F"/>
    <w:multiLevelType w:val="multilevel"/>
    <w:tmpl w:val="5F0CD808"/>
    <w:name w:val="Section"/>
    <w:lvl w:ilvl="0">
      <w:start w:val="1"/>
      <w:numFmt w:val="decimal"/>
      <w:pStyle w:val="Section"/>
      <w:lvlText w:val="Section %1"/>
      <w:lvlJc w:val="left"/>
      <w:pPr>
        <w:ind w:left="1080" w:hanging="1080"/>
      </w:pPr>
      <w:rPr>
        <w:rFonts w:hint="default"/>
      </w:rPr>
    </w:lvl>
    <w:lvl w:ilvl="1">
      <w:start w:val="1"/>
      <w:numFmt w:val="lowerLetter"/>
      <w:lvlText w:val="%2."/>
      <w:lvlJc w:val="left"/>
      <w:pPr>
        <w:ind w:left="6469" w:hanging="360"/>
      </w:pPr>
      <w:rPr>
        <w:rFonts w:hint="default"/>
      </w:rPr>
    </w:lvl>
    <w:lvl w:ilvl="2">
      <w:start w:val="1"/>
      <w:numFmt w:val="lowerRoman"/>
      <w:lvlText w:val="%3."/>
      <w:lvlJc w:val="right"/>
      <w:pPr>
        <w:ind w:left="7189" w:hanging="180"/>
      </w:pPr>
      <w:rPr>
        <w:rFonts w:hint="default"/>
      </w:rPr>
    </w:lvl>
    <w:lvl w:ilvl="3">
      <w:start w:val="1"/>
      <w:numFmt w:val="decimal"/>
      <w:lvlText w:val="%4."/>
      <w:lvlJc w:val="left"/>
      <w:pPr>
        <w:ind w:left="7909" w:hanging="360"/>
      </w:pPr>
      <w:rPr>
        <w:rFonts w:hint="default"/>
      </w:rPr>
    </w:lvl>
    <w:lvl w:ilvl="4">
      <w:start w:val="1"/>
      <w:numFmt w:val="lowerLetter"/>
      <w:lvlText w:val="%5."/>
      <w:lvlJc w:val="left"/>
      <w:pPr>
        <w:ind w:left="8629" w:hanging="360"/>
      </w:pPr>
      <w:rPr>
        <w:rFonts w:hint="default"/>
      </w:rPr>
    </w:lvl>
    <w:lvl w:ilvl="5">
      <w:start w:val="1"/>
      <w:numFmt w:val="lowerRoman"/>
      <w:lvlText w:val="%6."/>
      <w:lvlJc w:val="right"/>
      <w:pPr>
        <w:ind w:left="9349" w:hanging="180"/>
      </w:pPr>
      <w:rPr>
        <w:rFonts w:hint="default"/>
      </w:rPr>
    </w:lvl>
    <w:lvl w:ilvl="6">
      <w:start w:val="1"/>
      <w:numFmt w:val="decimal"/>
      <w:lvlText w:val="%7."/>
      <w:lvlJc w:val="left"/>
      <w:pPr>
        <w:ind w:left="10069" w:hanging="360"/>
      </w:pPr>
      <w:rPr>
        <w:rFonts w:hint="default"/>
      </w:rPr>
    </w:lvl>
    <w:lvl w:ilvl="7">
      <w:start w:val="1"/>
      <w:numFmt w:val="lowerLetter"/>
      <w:lvlText w:val="%8."/>
      <w:lvlJc w:val="left"/>
      <w:pPr>
        <w:ind w:left="10789" w:hanging="360"/>
      </w:pPr>
      <w:rPr>
        <w:rFonts w:hint="default"/>
      </w:rPr>
    </w:lvl>
    <w:lvl w:ilvl="8">
      <w:start w:val="1"/>
      <w:numFmt w:val="lowerRoman"/>
      <w:lvlText w:val="%9."/>
      <w:lvlJc w:val="right"/>
      <w:pPr>
        <w:ind w:left="11509" w:hanging="180"/>
      </w:pPr>
      <w:rPr>
        <w:rFonts w:hint="default"/>
      </w:rPr>
    </w:lvl>
  </w:abstractNum>
  <w:abstractNum w:abstractNumId="43"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4" w15:restartNumberingAfterBreak="0">
    <w:nsid w:val="531A4C9C"/>
    <w:multiLevelType w:val="hybridMultilevel"/>
    <w:tmpl w:val="5F56CAAC"/>
    <w:lvl w:ilvl="0" w:tplc="6DF267DE">
      <w:start w:val="1"/>
      <w:numFmt w:val="upperLetter"/>
      <w:pStyle w:val="NormalABC"/>
      <w:lvlText w:val="%1."/>
      <w:lvlJc w:val="left"/>
      <w:pPr>
        <w:tabs>
          <w:tab w:val="num" w:pos="1134"/>
        </w:tabs>
        <w:ind w:left="1134" w:hanging="1134"/>
      </w:pPr>
      <w:rPr>
        <w:rFonts w:cs="Times New Roman" w:hint="default"/>
      </w:rPr>
    </w:lvl>
    <w:lvl w:ilvl="1" w:tplc="23143EB0" w:tentative="1">
      <w:start w:val="1"/>
      <w:numFmt w:val="lowerLetter"/>
      <w:lvlText w:val="%2."/>
      <w:lvlJc w:val="left"/>
      <w:pPr>
        <w:tabs>
          <w:tab w:val="num" w:pos="1440"/>
        </w:tabs>
        <w:ind w:left="1440" w:hanging="360"/>
      </w:pPr>
      <w:rPr>
        <w:rFonts w:cs="Times New Roman"/>
      </w:rPr>
    </w:lvl>
    <w:lvl w:ilvl="2" w:tplc="51909516" w:tentative="1">
      <w:start w:val="1"/>
      <w:numFmt w:val="lowerRoman"/>
      <w:lvlText w:val="%3."/>
      <w:lvlJc w:val="right"/>
      <w:pPr>
        <w:tabs>
          <w:tab w:val="num" w:pos="2160"/>
        </w:tabs>
        <w:ind w:left="2160" w:hanging="180"/>
      </w:pPr>
      <w:rPr>
        <w:rFonts w:cs="Times New Roman"/>
      </w:rPr>
    </w:lvl>
    <w:lvl w:ilvl="3" w:tplc="133A0A20" w:tentative="1">
      <w:start w:val="1"/>
      <w:numFmt w:val="decimal"/>
      <w:lvlText w:val="%4."/>
      <w:lvlJc w:val="left"/>
      <w:pPr>
        <w:tabs>
          <w:tab w:val="num" w:pos="2880"/>
        </w:tabs>
        <w:ind w:left="2880" w:hanging="360"/>
      </w:pPr>
      <w:rPr>
        <w:rFonts w:cs="Times New Roman"/>
      </w:rPr>
    </w:lvl>
    <w:lvl w:ilvl="4" w:tplc="CE2C16C4" w:tentative="1">
      <w:start w:val="1"/>
      <w:numFmt w:val="lowerLetter"/>
      <w:lvlText w:val="%5."/>
      <w:lvlJc w:val="left"/>
      <w:pPr>
        <w:tabs>
          <w:tab w:val="num" w:pos="3600"/>
        </w:tabs>
        <w:ind w:left="3600" w:hanging="360"/>
      </w:pPr>
      <w:rPr>
        <w:rFonts w:cs="Times New Roman"/>
      </w:rPr>
    </w:lvl>
    <w:lvl w:ilvl="5" w:tplc="DC38D044" w:tentative="1">
      <w:start w:val="1"/>
      <w:numFmt w:val="lowerRoman"/>
      <w:lvlText w:val="%6."/>
      <w:lvlJc w:val="right"/>
      <w:pPr>
        <w:tabs>
          <w:tab w:val="num" w:pos="4320"/>
        </w:tabs>
        <w:ind w:left="4320" w:hanging="180"/>
      </w:pPr>
      <w:rPr>
        <w:rFonts w:cs="Times New Roman"/>
      </w:rPr>
    </w:lvl>
    <w:lvl w:ilvl="6" w:tplc="55C4D03E" w:tentative="1">
      <w:start w:val="1"/>
      <w:numFmt w:val="decimal"/>
      <w:lvlText w:val="%7."/>
      <w:lvlJc w:val="left"/>
      <w:pPr>
        <w:tabs>
          <w:tab w:val="num" w:pos="5040"/>
        </w:tabs>
        <w:ind w:left="5040" w:hanging="360"/>
      </w:pPr>
      <w:rPr>
        <w:rFonts w:cs="Times New Roman"/>
      </w:rPr>
    </w:lvl>
    <w:lvl w:ilvl="7" w:tplc="8CA2BBEC" w:tentative="1">
      <w:start w:val="1"/>
      <w:numFmt w:val="lowerLetter"/>
      <w:lvlText w:val="%8."/>
      <w:lvlJc w:val="left"/>
      <w:pPr>
        <w:tabs>
          <w:tab w:val="num" w:pos="5760"/>
        </w:tabs>
        <w:ind w:left="5760" w:hanging="360"/>
      </w:pPr>
      <w:rPr>
        <w:rFonts w:cs="Times New Roman"/>
      </w:rPr>
    </w:lvl>
    <w:lvl w:ilvl="8" w:tplc="C8DC230A" w:tentative="1">
      <w:start w:val="1"/>
      <w:numFmt w:val="lowerRoman"/>
      <w:lvlText w:val="%9."/>
      <w:lvlJc w:val="right"/>
      <w:pPr>
        <w:tabs>
          <w:tab w:val="num" w:pos="6480"/>
        </w:tabs>
        <w:ind w:left="6480" w:hanging="180"/>
      </w:pPr>
      <w:rPr>
        <w:rFonts w:cs="Times New Roman"/>
      </w:rPr>
    </w:lvl>
  </w:abstractNum>
  <w:abstractNum w:abstractNumId="45" w15:restartNumberingAfterBreak="0">
    <w:nsid w:val="579C3C72"/>
    <w:multiLevelType w:val="multilevel"/>
    <w:tmpl w:val="712E7C58"/>
    <w:name w:val="Bullet (0pt After)"/>
    <w:lvl w:ilvl="0">
      <w:start w:val="1"/>
      <w:numFmt w:val="bullet"/>
      <w:pStyle w:val="Bullet0ptAfter1"/>
      <w:lvlText w:val=""/>
      <w:lvlJc w:val="left"/>
      <w:pPr>
        <w:ind w:left="720" w:hanging="720"/>
      </w:pPr>
      <w:rPr>
        <w:rFonts w:ascii="Symbol" w:hAnsi="Symbol" w:hint="default"/>
        <w:strike w:val="0"/>
        <w:dstrike w:val="0"/>
      </w:rPr>
    </w:lvl>
    <w:lvl w:ilvl="1">
      <w:start w:val="1"/>
      <w:numFmt w:val="bullet"/>
      <w:pStyle w:val="Bullet0ptAfter2"/>
      <w:lvlText w:val=""/>
      <w:lvlJc w:val="left"/>
      <w:pPr>
        <w:ind w:left="1440" w:hanging="720"/>
      </w:pPr>
      <w:rPr>
        <w:rFonts w:ascii="Symbol" w:hAnsi="Symbol" w:hint="default"/>
        <w:strike w:val="0"/>
        <w:dstrike w:val="0"/>
      </w:rPr>
    </w:lvl>
    <w:lvl w:ilvl="2">
      <w:start w:val="1"/>
      <w:numFmt w:val="bullet"/>
      <w:pStyle w:val="Bullet0ptAfter3"/>
      <w:lvlText w:val=""/>
      <w:lvlJc w:val="left"/>
      <w:pPr>
        <w:ind w:left="2160" w:hanging="720"/>
      </w:pPr>
      <w:rPr>
        <w:rFonts w:ascii="Symbol" w:hAnsi="Symbol" w:hint="default"/>
        <w:strike w:val="0"/>
        <w:dstrike w:val="0"/>
      </w:rPr>
    </w:lvl>
    <w:lvl w:ilvl="3">
      <w:start w:val="1"/>
      <w:numFmt w:val="bullet"/>
      <w:pStyle w:val="Bullet0ptAfter4"/>
      <w:lvlText w:val=""/>
      <w:lvlJc w:val="left"/>
      <w:pPr>
        <w:ind w:left="2880" w:hanging="720"/>
      </w:pPr>
      <w:rPr>
        <w:rFonts w:ascii="Symbol" w:hAnsi="Symbol" w:hint="default"/>
        <w:strike w:val="0"/>
        <w:dstrike w:val="0"/>
      </w:rPr>
    </w:lvl>
    <w:lvl w:ilvl="4">
      <w:start w:val="1"/>
      <w:numFmt w:val="bullet"/>
      <w:pStyle w:val="Bullet0ptAfter5"/>
      <w:lvlText w:val=""/>
      <w:lvlJc w:val="left"/>
      <w:pPr>
        <w:ind w:left="3600" w:hanging="720"/>
      </w:pPr>
      <w:rPr>
        <w:rFonts w:ascii="Symbol" w:hAnsi="Symbol" w:hint="default"/>
        <w:strike w:val="0"/>
        <w:dstrike w:val="0"/>
      </w:rPr>
    </w:lvl>
    <w:lvl w:ilvl="5">
      <w:start w:val="1"/>
      <w:numFmt w:val="bullet"/>
      <w:pStyle w:val="Bullet0ptAfter6"/>
      <w:lvlText w:val=""/>
      <w:lvlJc w:val="left"/>
      <w:pPr>
        <w:ind w:left="4320" w:hanging="720"/>
      </w:pPr>
      <w:rPr>
        <w:rFonts w:ascii="Symbol" w:hAnsi="Symbol" w:hint="default"/>
        <w:strike w:val="0"/>
        <w:dstrike w:val="0"/>
      </w:rPr>
    </w:lvl>
    <w:lvl w:ilvl="6">
      <w:start w:val="1"/>
      <w:numFmt w:val="none"/>
      <w:pStyle w:val="Bullet0ptAfter7"/>
      <w:suff w:val="nothing"/>
      <w:lvlText w:val=""/>
      <w:lvlJc w:val="left"/>
      <w:pPr>
        <w:ind w:left="0" w:firstLine="0"/>
      </w:pPr>
      <w:rPr>
        <w:strike w:val="0"/>
        <w:dstrike w:val="0"/>
      </w:rPr>
    </w:lvl>
    <w:lvl w:ilvl="7">
      <w:start w:val="1"/>
      <w:numFmt w:val="none"/>
      <w:pStyle w:val="Bullet0ptAfter8"/>
      <w:suff w:val="nothing"/>
      <w:lvlText w:val=""/>
      <w:lvlJc w:val="left"/>
      <w:pPr>
        <w:ind w:left="0" w:firstLine="0"/>
      </w:pPr>
      <w:rPr>
        <w:strike w:val="0"/>
        <w:dstrike w:val="0"/>
      </w:rPr>
    </w:lvl>
    <w:lvl w:ilvl="8">
      <w:start w:val="1"/>
      <w:numFmt w:val="none"/>
      <w:pStyle w:val="Bullet0ptAfter9"/>
      <w:suff w:val="nothing"/>
      <w:lvlText w:val=""/>
      <w:lvlJc w:val="left"/>
      <w:pPr>
        <w:ind w:left="0" w:firstLine="0"/>
      </w:pPr>
      <w:rPr>
        <w:strike w:val="0"/>
        <w:dstrike w:val="0"/>
      </w:rPr>
    </w:lvl>
  </w:abstractNum>
  <w:abstractNum w:abstractNumId="46" w15:restartNumberingAfterBreak="0">
    <w:nsid w:val="58101515"/>
    <w:multiLevelType w:val="hybridMultilevel"/>
    <w:tmpl w:val="2622600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A270D6"/>
    <w:multiLevelType w:val="singleLevel"/>
    <w:tmpl w:val="D2A453F2"/>
    <w:lvl w:ilvl="0">
      <w:start w:val="1"/>
      <w:numFmt w:val="upperLetter"/>
      <w:pStyle w:val="Recitals"/>
      <w:lvlText w:val="(%1)"/>
      <w:lvlJc w:val="left"/>
      <w:pPr>
        <w:tabs>
          <w:tab w:val="num" w:pos="680"/>
        </w:tabs>
        <w:ind w:left="680" w:hanging="680"/>
      </w:pPr>
      <w:rPr>
        <w:rFonts w:ascii="Times New Roman" w:hAnsi="Times New Roman" w:cs="Times New Roman" w:hint="default"/>
        <w:b w:val="0"/>
        <w:i w:val="0"/>
        <w:sz w:val="22"/>
        <w:szCs w:val="22"/>
      </w:rPr>
    </w:lvl>
  </w:abstractNum>
  <w:abstractNum w:abstractNumId="48" w15:restartNumberingAfterBreak="0">
    <w:nsid w:val="5D3867F6"/>
    <w:multiLevelType w:val="hybridMultilevel"/>
    <w:tmpl w:val="1BCEEF14"/>
    <w:lvl w:ilvl="0" w:tplc="0464C1D2">
      <w:start w:val="1"/>
      <w:numFmt w:val="bullet"/>
      <w:pStyle w:val="Bullet1"/>
      <w:lvlText w:val=""/>
      <w:lvlJc w:val="left"/>
      <w:pPr>
        <w:tabs>
          <w:tab w:val="num" w:pos="709"/>
        </w:tabs>
        <w:ind w:left="709" w:hanging="709"/>
      </w:pPr>
      <w:rPr>
        <w:rFonts w:ascii="Symbol" w:hAnsi="Symbol" w:hint="default"/>
      </w:rPr>
    </w:lvl>
    <w:lvl w:ilvl="1" w:tplc="220C6BB8" w:tentative="1">
      <w:start w:val="1"/>
      <w:numFmt w:val="bullet"/>
      <w:lvlText w:val="o"/>
      <w:lvlJc w:val="left"/>
      <w:pPr>
        <w:tabs>
          <w:tab w:val="num" w:pos="1440"/>
        </w:tabs>
        <w:ind w:left="1440" w:hanging="360"/>
      </w:pPr>
      <w:rPr>
        <w:rFonts w:ascii="Courier New" w:hAnsi="Courier New" w:cs="Courier New" w:hint="default"/>
      </w:rPr>
    </w:lvl>
    <w:lvl w:ilvl="2" w:tplc="D77646F0" w:tentative="1">
      <w:start w:val="1"/>
      <w:numFmt w:val="bullet"/>
      <w:lvlText w:val=""/>
      <w:lvlJc w:val="left"/>
      <w:pPr>
        <w:tabs>
          <w:tab w:val="num" w:pos="2160"/>
        </w:tabs>
        <w:ind w:left="2160" w:hanging="360"/>
      </w:pPr>
      <w:rPr>
        <w:rFonts w:ascii="Wingdings" w:hAnsi="Wingdings" w:hint="default"/>
      </w:rPr>
    </w:lvl>
    <w:lvl w:ilvl="3" w:tplc="B90A37A2" w:tentative="1">
      <w:start w:val="1"/>
      <w:numFmt w:val="bullet"/>
      <w:lvlText w:val=""/>
      <w:lvlJc w:val="left"/>
      <w:pPr>
        <w:tabs>
          <w:tab w:val="num" w:pos="2880"/>
        </w:tabs>
        <w:ind w:left="2880" w:hanging="360"/>
      </w:pPr>
      <w:rPr>
        <w:rFonts w:ascii="Symbol" w:hAnsi="Symbol" w:hint="default"/>
      </w:rPr>
    </w:lvl>
    <w:lvl w:ilvl="4" w:tplc="B4C4648A" w:tentative="1">
      <w:start w:val="1"/>
      <w:numFmt w:val="bullet"/>
      <w:lvlText w:val="o"/>
      <w:lvlJc w:val="left"/>
      <w:pPr>
        <w:tabs>
          <w:tab w:val="num" w:pos="3600"/>
        </w:tabs>
        <w:ind w:left="3600" w:hanging="360"/>
      </w:pPr>
      <w:rPr>
        <w:rFonts w:ascii="Courier New" w:hAnsi="Courier New" w:cs="Courier New" w:hint="default"/>
      </w:rPr>
    </w:lvl>
    <w:lvl w:ilvl="5" w:tplc="9C3071B6" w:tentative="1">
      <w:start w:val="1"/>
      <w:numFmt w:val="bullet"/>
      <w:lvlText w:val=""/>
      <w:lvlJc w:val="left"/>
      <w:pPr>
        <w:tabs>
          <w:tab w:val="num" w:pos="4320"/>
        </w:tabs>
        <w:ind w:left="4320" w:hanging="360"/>
      </w:pPr>
      <w:rPr>
        <w:rFonts w:ascii="Wingdings" w:hAnsi="Wingdings" w:hint="default"/>
      </w:rPr>
    </w:lvl>
    <w:lvl w:ilvl="6" w:tplc="DE643284" w:tentative="1">
      <w:start w:val="1"/>
      <w:numFmt w:val="bullet"/>
      <w:lvlText w:val=""/>
      <w:lvlJc w:val="left"/>
      <w:pPr>
        <w:tabs>
          <w:tab w:val="num" w:pos="5040"/>
        </w:tabs>
        <w:ind w:left="5040" w:hanging="360"/>
      </w:pPr>
      <w:rPr>
        <w:rFonts w:ascii="Symbol" w:hAnsi="Symbol" w:hint="default"/>
      </w:rPr>
    </w:lvl>
    <w:lvl w:ilvl="7" w:tplc="51209DAA" w:tentative="1">
      <w:start w:val="1"/>
      <w:numFmt w:val="bullet"/>
      <w:lvlText w:val="o"/>
      <w:lvlJc w:val="left"/>
      <w:pPr>
        <w:tabs>
          <w:tab w:val="num" w:pos="5760"/>
        </w:tabs>
        <w:ind w:left="5760" w:hanging="360"/>
      </w:pPr>
      <w:rPr>
        <w:rFonts w:ascii="Courier New" w:hAnsi="Courier New" w:cs="Courier New" w:hint="default"/>
      </w:rPr>
    </w:lvl>
    <w:lvl w:ilvl="8" w:tplc="2BE6690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A8338E"/>
    <w:multiLevelType w:val="hybridMultilevel"/>
    <w:tmpl w:val="F3580ECA"/>
    <w:lvl w:ilvl="0" w:tplc="9B42E2BA">
      <w:start w:val="1"/>
      <w:numFmt w:val="upperRoman"/>
      <w:lvlText w:val="%1."/>
      <w:lvlJc w:val="left"/>
      <w:pPr>
        <w:ind w:left="720" w:hanging="360"/>
      </w:pPr>
      <w:rPr>
        <w:rFonts w:hint="default"/>
      </w:rPr>
    </w:lvl>
    <w:lvl w:ilvl="1" w:tplc="D11C9CCC">
      <w:start w:val="1"/>
      <w:numFmt w:val="lowerRoman"/>
      <w:lvlText w:val="(%2)"/>
      <w:lvlJc w:val="left"/>
      <w:pPr>
        <w:ind w:left="1810" w:hanging="7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51" w15:restartNumberingAfterBreak="0">
    <w:nsid w:val="5FE65139"/>
    <w:multiLevelType w:val="multilevel"/>
    <w:tmpl w:val="3EDE571E"/>
    <w:name w:val="Table Number"/>
    <w:lvl w:ilvl="0">
      <w:start w:val="1"/>
      <w:numFmt w:val="decimal"/>
      <w:pStyle w:val="TableNumber1"/>
      <w:lvlText w:val="%1."/>
      <w:lvlJc w:val="left"/>
      <w:pPr>
        <w:ind w:left="360" w:hanging="360"/>
      </w:pPr>
      <w:rPr>
        <w:strike w:val="0"/>
        <w:dstrike w:val="0"/>
      </w:rPr>
    </w:lvl>
    <w:lvl w:ilvl="1">
      <w:start w:val="1"/>
      <w:numFmt w:val="decimal"/>
      <w:pStyle w:val="TableNumber2"/>
      <w:lvlText w:val="%1.%2"/>
      <w:lvlJc w:val="left"/>
      <w:pPr>
        <w:ind w:left="720" w:hanging="360"/>
      </w:pPr>
      <w:rPr>
        <w:strike w:val="0"/>
        <w:dstrike w:val="0"/>
      </w:rPr>
    </w:lvl>
    <w:lvl w:ilvl="2">
      <w:start w:val="1"/>
      <w:numFmt w:val="lowerLetter"/>
      <w:pStyle w:val="TableNumber3"/>
      <w:lvlText w:val="(%3)"/>
      <w:lvlJc w:val="left"/>
      <w:pPr>
        <w:ind w:left="1080" w:hanging="360"/>
      </w:pPr>
      <w:rPr>
        <w:strike w:val="0"/>
        <w:dstrike w:val="0"/>
      </w:rPr>
    </w:lvl>
    <w:lvl w:ilvl="3">
      <w:start w:val="1"/>
      <w:numFmt w:val="none"/>
      <w:pStyle w:val="TableNumber4"/>
      <w:suff w:val="nothing"/>
      <w:lvlText w:val=""/>
      <w:lvlJc w:val="left"/>
      <w:pPr>
        <w:ind w:left="0" w:firstLine="0"/>
      </w:pPr>
      <w:rPr>
        <w:strike w:val="0"/>
        <w:dstrike w:val="0"/>
      </w:rPr>
    </w:lvl>
    <w:lvl w:ilvl="4">
      <w:start w:val="1"/>
      <w:numFmt w:val="none"/>
      <w:pStyle w:val="TableNumber5"/>
      <w:suff w:val="nothing"/>
      <w:lvlText w:val=""/>
      <w:lvlJc w:val="left"/>
      <w:pPr>
        <w:ind w:left="0" w:firstLine="0"/>
      </w:pPr>
      <w:rPr>
        <w:strike w:val="0"/>
        <w:dstrike w:val="0"/>
      </w:rPr>
    </w:lvl>
    <w:lvl w:ilvl="5">
      <w:start w:val="1"/>
      <w:numFmt w:val="none"/>
      <w:pStyle w:val="TableNumber6"/>
      <w:suff w:val="nothing"/>
      <w:lvlText w:val=""/>
      <w:lvlJc w:val="left"/>
      <w:pPr>
        <w:ind w:left="0" w:firstLine="0"/>
      </w:pPr>
      <w:rPr>
        <w:strike w:val="0"/>
        <w:dstrike w:val="0"/>
      </w:rPr>
    </w:lvl>
    <w:lvl w:ilvl="6">
      <w:start w:val="1"/>
      <w:numFmt w:val="none"/>
      <w:pStyle w:val="TableNumber7"/>
      <w:suff w:val="nothing"/>
      <w:lvlText w:val=""/>
      <w:lvlJc w:val="left"/>
      <w:pPr>
        <w:ind w:left="0" w:firstLine="0"/>
      </w:pPr>
      <w:rPr>
        <w:strike w:val="0"/>
        <w:dstrike w:val="0"/>
      </w:rPr>
    </w:lvl>
    <w:lvl w:ilvl="7">
      <w:start w:val="1"/>
      <w:numFmt w:val="none"/>
      <w:pStyle w:val="TableNumber8"/>
      <w:suff w:val="nothing"/>
      <w:lvlText w:val=""/>
      <w:lvlJc w:val="left"/>
      <w:pPr>
        <w:ind w:left="0" w:firstLine="0"/>
      </w:pPr>
      <w:rPr>
        <w:strike w:val="0"/>
        <w:dstrike w:val="0"/>
      </w:rPr>
    </w:lvl>
    <w:lvl w:ilvl="8">
      <w:start w:val="1"/>
      <w:numFmt w:val="none"/>
      <w:pStyle w:val="TableNumber9"/>
      <w:suff w:val="nothing"/>
      <w:lvlText w:val=""/>
      <w:lvlJc w:val="left"/>
      <w:pPr>
        <w:ind w:left="0" w:firstLine="0"/>
      </w:pPr>
      <w:rPr>
        <w:strike w:val="0"/>
        <w:dstrike w:val="0"/>
      </w:rPr>
    </w:lvl>
  </w:abstractNum>
  <w:abstractNum w:abstractNumId="52" w15:restartNumberingAfterBreak="0">
    <w:nsid w:val="66F873FE"/>
    <w:multiLevelType w:val="multilevel"/>
    <w:tmpl w:val="453C6B26"/>
    <w:name w:val="Parties/Recitals"/>
    <w:lvl w:ilvl="0">
      <w:start w:val="1"/>
      <w:numFmt w:val="decimal"/>
      <w:pStyle w:val="PartiesRecitals1"/>
      <w:lvlText w:val="(%1)"/>
      <w:lvlJc w:val="left"/>
      <w:pPr>
        <w:ind w:left="720" w:hanging="720"/>
      </w:pPr>
      <w:rPr>
        <w:strike w:val="0"/>
        <w:dstrike w:val="0"/>
        <w:sz w:val="22"/>
      </w:rPr>
    </w:lvl>
    <w:lvl w:ilvl="1">
      <w:start w:val="1"/>
      <w:numFmt w:val="upperLetter"/>
      <w:lvlRestart w:val="0"/>
      <w:pStyle w:val="PartiesRecitals2"/>
      <w:lvlText w:val="%2."/>
      <w:lvlJc w:val="left"/>
      <w:pPr>
        <w:ind w:left="720" w:hanging="720"/>
      </w:pPr>
      <w:rPr>
        <w:strike w:val="0"/>
        <w:dstrike w:val="0"/>
        <w:sz w:val="22"/>
      </w:rPr>
    </w:lvl>
    <w:lvl w:ilvl="2">
      <w:start w:val="1"/>
      <w:numFmt w:val="none"/>
      <w:pStyle w:val="PartiesRecitals3"/>
      <w:suff w:val="nothing"/>
      <w:lvlText w:val="%3"/>
      <w:lvlJc w:val="left"/>
      <w:pPr>
        <w:ind w:left="0" w:firstLine="0"/>
      </w:pPr>
      <w:rPr>
        <w:strike w:val="0"/>
        <w:dstrike w:val="0"/>
        <w:sz w:val="22"/>
      </w:rPr>
    </w:lvl>
    <w:lvl w:ilvl="3">
      <w:start w:val="1"/>
      <w:numFmt w:val="none"/>
      <w:pStyle w:val="PartiesRecitals4"/>
      <w:suff w:val="nothing"/>
      <w:lvlText w:val=""/>
      <w:lvlJc w:val="left"/>
      <w:pPr>
        <w:ind w:left="0" w:firstLine="0"/>
      </w:pPr>
      <w:rPr>
        <w:strike w:val="0"/>
        <w:dstrike w:val="0"/>
        <w:sz w:val="22"/>
      </w:rPr>
    </w:lvl>
    <w:lvl w:ilvl="4">
      <w:start w:val="1"/>
      <w:numFmt w:val="none"/>
      <w:pStyle w:val="PartiesRecitals5"/>
      <w:suff w:val="nothing"/>
      <w:lvlText w:val=""/>
      <w:lvlJc w:val="left"/>
      <w:pPr>
        <w:ind w:left="0" w:firstLine="0"/>
      </w:pPr>
      <w:rPr>
        <w:strike w:val="0"/>
        <w:dstrike w:val="0"/>
        <w:sz w:val="22"/>
      </w:rPr>
    </w:lvl>
    <w:lvl w:ilvl="5">
      <w:start w:val="1"/>
      <w:numFmt w:val="none"/>
      <w:pStyle w:val="PartiesRecitals6"/>
      <w:suff w:val="nothing"/>
      <w:lvlText w:val=""/>
      <w:lvlJc w:val="left"/>
      <w:pPr>
        <w:ind w:left="0" w:firstLine="0"/>
      </w:pPr>
      <w:rPr>
        <w:strike w:val="0"/>
        <w:dstrike w:val="0"/>
        <w:sz w:val="22"/>
      </w:rPr>
    </w:lvl>
    <w:lvl w:ilvl="6">
      <w:start w:val="1"/>
      <w:numFmt w:val="none"/>
      <w:pStyle w:val="PartiesRecitals7"/>
      <w:suff w:val="nothing"/>
      <w:lvlText w:val=""/>
      <w:lvlJc w:val="left"/>
      <w:pPr>
        <w:ind w:left="0" w:firstLine="0"/>
      </w:pPr>
      <w:rPr>
        <w:strike w:val="0"/>
        <w:dstrike w:val="0"/>
        <w:sz w:val="22"/>
      </w:rPr>
    </w:lvl>
    <w:lvl w:ilvl="7">
      <w:start w:val="1"/>
      <w:numFmt w:val="none"/>
      <w:pStyle w:val="PartiesRecitals8"/>
      <w:suff w:val="nothing"/>
      <w:lvlText w:val=""/>
      <w:lvlJc w:val="left"/>
      <w:pPr>
        <w:ind w:left="0" w:firstLine="0"/>
      </w:pPr>
      <w:rPr>
        <w:strike w:val="0"/>
        <w:dstrike w:val="0"/>
        <w:sz w:val="22"/>
      </w:rPr>
    </w:lvl>
    <w:lvl w:ilvl="8">
      <w:start w:val="1"/>
      <w:numFmt w:val="none"/>
      <w:pStyle w:val="PartiesRecitals9"/>
      <w:suff w:val="nothing"/>
      <w:lvlText w:val=""/>
      <w:lvlJc w:val="left"/>
      <w:pPr>
        <w:ind w:left="0" w:firstLine="0"/>
      </w:pPr>
      <w:rPr>
        <w:strike w:val="0"/>
        <w:dstrike w:val="0"/>
        <w:sz w:val="22"/>
      </w:rPr>
    </w:lvl>
  </w:abstractNum>
  <w:abstractNum w:abstractNumId="53" w15:restartNumberingAfterBreak="0">
    <w:nsid w:val="68B23FF6"/>
    <w:multiLevelType w:val="multilevel"/>
    <w:tmpl w:val="0809001D"/>
    <w:styleLink w:val="1ai0"/>
    <w:lvl w:ilvl="0">
      <w:start w:val="1"/>
      <w:numFmt w:val="decimal"/>
      <w:lvlText w:val="%1)"/>
      <w:lvlJc w:val="left"/>
      <w:pPr>
        <w:tabs>
          <w:tab w:val="num" w:pos="360"/>
        </w:tabs>
        <w:ind w:left="360" w:hanging="360"/>
      </w:pPr>
      <w:rPr>
        <w:rFonts w:ascii="Georgia" w:hAnsi="Georgi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6BB6682F"/>
    <w:multiLevelType w:val="multilevel"/>
    <w:tmpl w:val="B8B6C762"/>
    <w:name w:val="Heading"/>
    <w:lvl w:ilvl="0">
      <w:start w:val="1"/>
      <w:numFmt w:val="decimal"/>
      <w:lvlText w:val="%1."/>
      <w:lvlJc w:val="left"/>
      <w:pPr>
        <w:ind w:left="720" w:hanging="720"/>
      </w:pPr>
      <w:rPr>
        <w:strike w:val="0"/>
        <w:dstrike w:val="0"/>
        <w:sz w:val="22"/>
      </w:rPr>
    </w:lvl>
    <w:lvl w:ilvl="1">
      <w:start w:val="1"/>
      <w:numFmt w:val="decimal"/>
      <w:lvlText w:val="%1.%2"/>
      <w:lvlJc w:val="left"/>
      <w:pPr>
        <w:ind w:left="720" w:hanging="720"/>
      </w:pPr>
      <w:rPr>
        <w:strike w:val="0"/>
        <w:dstrike w:val="0"/>
        <w:sz w:val="22"/>
      </w:rPr>
    </w:lvl>
    <w:lvl w:ilvl="2">
      <w:start w:val="1"/>
      <w:numFmt w:val="lowerLetter"/>
      <w:lvlText w:val="(%3)"/>
      <w:lvlJc w:val="left"/>
      <w:pPr>
        <w:ind w:left="1440" w:hanging="720"/>
      </w:pPr>
      <w:rPr>
        <w:strike w:val="0"/>
        <w:dstrike w:val="0"/>
        <w:sz w:val="22"/>
      </w:rPr>
    </w:lvl>
    <w:lvl w:ilvl="3">
      <w:start w:val="1"/>
      <w:numFmt w:val="lowerRoman"/>
      <w:lvlText w:val="(%4)"/>
      <w:lvlJc w:val="left"/>
      <w:pPr>
        <w:ind w:left="2160" w:hanging="720"/>
      </w:pPr>
      <w:rPr>
        <w:strike w:val="0"/>
        <w:dstrike w:val="0"/>
        <w:sz w:val="22"/>
      </w:rPr>
    </w:lvl>
    <w:lvl w:ilvl="4">
      <w:start w:val="1"/>
      <w:numFmt w:val="upperLetter"/>
      <w:lvlText w:val="(%5)"/>
      <w:lvlJc w:val="left"/>
      <w:pPr>
        <w:ind w:left="2880" w:hanging="720"/>
      </w:pPr>
      <w:rPr>
        <w:strike w:val="0"/>
        <w:dstrike w:val="0"/>
        <w:sz w:val="22"/>
      </w:rPr>
    </w:lvl>
    <w:lvl w:ilvl="5">
      <w:start w:val="1"/>
      <w:numFmt w:val="decimal"/>
      <w:lvlText w:val="(%6)"/>
      <w:lvlJc w:val="left"/>
      <w:pPr>
        <w:ind w:left="3600" w:hanging="720"/>
      </w:pPr>
      <w:rPr>
        <w:strike w:val="0"/>
        <w:dstrike w:val="0"/>
        <w:sz w:val="22"/>
      </w:rPr>
    </w:lvl>
    <w:lvl w:ilvl="6">
      <w:start w:val="1"/>
      <w:numFmt w:val="upperRoman"/>
      <w:lvlText w:val="(%7)"/>
      <w:lvlJc w:val="left"/>
      <w:pPr>
        <w:ind w:left="4320" w:hanging="720"/>
      </w:pPr>
      <w:rPr>
        <w:strike w:val="0"/>
        <w:dstrike w:val="0"/>
        <w:sz w:val="22"/>
      </w:rPr>
    </w:lvl>
    <w:lvl w:ilvl="7">
      <w:start w:val="1"/>
      <w:numFmt w:val="none"/>
      <w:suff w:val="nothing"/>
      <w:lvlText w:val="%8"/>
      <w:lvlJc w:val="left"/>
      <w:pPr>
        <w:ind w:left="3600" w:hanging="720"/>
      </w:pPr>
      <w:rPr>
        <w:i w:val="0"/>
        <w:caps w:val="0"/>
        <w:strike w:val="0"/>
        <w:dstrike w:val="0"/>
        <w:vanish w:val="0"/>
        <w:sz w:val="22"/>
        <w:u w:val="none"/>
        <w:effect w:val="none"/>
        <w:vertAlign w:val="baseline"/>
      </w:rPr>
    </w:lvl>
    <w:lvl w:ilvl="8">
      <w:start w:val="1"/>
      <w:numFmt w:val="none"/>
      <w:suff w:val="nothing"/>
      <w:lvlText w:val="%9"/>
      <w:lvlJc w:val="left"/>
      <w:pPr>
        <w:ind w:left="4320" w:hanging="720"/>
      </w:pPr>
      <w:rPr>
        <w:strike w:val="0"/>
        <w:dstrike w:val="0"/>
        <w:sz w:val="22"/>
      </w:rPr>
    </w:lvl>
  </w:abstractNum>
  <w:abstractNum w:abstractNumId="55" w15:restartNumberingAfterBreak="0">
    <w:nsid w:val="6CAA1187"/>
    <w:multiLevelType w:val="hybridMultilevel"/>
    <w:tmpl w:val="F3580ECA"/>
    <w:lvl w:ilvl="0" w:tplc="9B42E2BA">
      <w:start w:val="1"/>
      <w:numFmt w:val="upperRoman"/>
      <w:lvlText w:val="%1."/>
      <w:lvlJc w:val="left"/>
      <w:pPr>
        <w:ind w:left="720" w:hanging="360"/>
      </w:pPr>
      <w:rPr>
        <w:rFonts w:hint="default"/>
      </w:rPr>
    </w:lvl>
    <w:lvl w:ilvl="1" w:tplc="D11C9CCC">
      <w:start w:val="1"/>
      <w:numFmt w:val="lowerRoman"/>
      <w:lvlText w:val="(%2)"/>
      <w:lvlJc w:val="left"/>
      <w:pPr>
        <w:ind w:left="1810" w:hanging="7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3B6434"/>
    <w:multiLevelType w:val="multilevel"/>
    <w:tmpl w:val="90882D9A"/>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98"/>
        </w:tabs>
        <w:ind w:left="2098" w:hanging="680"/>
      </w:pPr>
      <w:rPr>
        <w:rFonts w:ascii="Times New Roman" w:hAnsi="Times New Roman" w:cs="Times New Roman" w:hint="default"/>
        <w:b w:val="0"/>
        <w:i w:val="0"/>
        <w:sz w:val="22"/>
        <w:szCs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57" w15:restartNumberingAfterBreak="0">
    <w:nsid w:val="703E52A0"/>
    <w:multiLevelType w:val="hybridMultilevel"/>
    <w:tmpl w:val="7B6AFDB6"/>
    <w:lvl w:ilvl="0" w:tplc="FFFFFFFF">
      <w:start w:val="1"/>
      <w:numFmt w:val="upp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8" w15:restartNumberingAfterBreak="0">
    <w:nsid w:val="70C93035"/>
    <w:multiLevelType w:val="hybridMultilevel"/>
    <w:tmpl w:val="9A72B286"/>
    <w:name w:val="Box Note Bullet"/>
    <w:lvl w:ilvl="0" w:tplc="4E2EC6B8">
      <w:start w:val="1"/>
      <w:numFmt w:val="bullet"/>
      <w:pStyle w:val="BoxNoteBullet"/>
      <w:lvlText w:val=""/>
      <w:lvlJc w:val="left"/>
      <w:pPr>
        <w:ind w:left="720" w:hanging="360"/>
      </w:pPr>
      <w:rPr>
        <w:rFonts w:ascii="Wingdings" w:hAnsi="Wingdings" w:hint="default"/>
        <w:color w:val="A7193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4074D3"/>
    <w:multiLevelType w:val="hybridMultilevel"/>
    <w:tmpl w:val="2622600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9910EFB"/>
    <w:multiLevelType w:val="multilevel"/>
    <w:tmpl w:val="10BC8254"/>
    <w:name w:val="bilaga"/>
    <w:lvl w:ilvl="0">
      <w:start w:val="1"/>
      <w:numFmt w:val="decimal"/>
      <w:pStyle w:val="Schedule"/>
      <w:suff w:val="space"/>
      <w:lvlText w:val="Schedule %1"/>
      <w:lvlJc w:val="left"/>
      <w:rPr>
        <w:rFonts w:hint="default"/>
      </w:rPr>
    </w:lvl>
    <w:lvl w:ilvl="1">
      <w:start w:val="1"/>
      <w:numFmt w:val="none"/>
      <w:pStyle w:val="ScheduleHeadingToC"/>
      <w:lvlText w:val=""/>
      <w:lvlJc w:val="left"/>
      <w:pPr>
        <w:tabs>
          <w:tab w:val="num" w:pos="0"/>
        </w:tabs>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A58598E"/>
    <w:multiLevelType w:val="multilevel"/>
    <w:tmpl w:val="08090023"/>
    <w:styleLink w:val="ArticleSection0"/>
    <w:lvl w:ilvl="0">
      <w:start w:val="1"/>
      <w:numFmt w:val="upperRoman"/>
      <w:lvlText w:val="Article %1."/>
      <w:lvlJc w:val="left"/>
      <w:pPr>
        <w:tabs>
          <w:tab w:val="num" w:pos="1440"/>
        </w:tabs>
        <w:ind w:left="0" w:firstLine="0"/>
      </w:pPr>
      <w:rPr>
        <w:rFonts w:ascii="Georgia" w:hAnsi="Georgia"/>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2" w15:restartNumberingAfterBreak="0">
    <w:nsid w:val="7CD67A0D"/>
    <w:multiLevelType w:val="multilevel"/>
    <w:tmpl w:val="46FEEDF8"/>
    <w:lvl w:ilvl="0">
      <w:start w:val="1"/>
      <w:numFmt w:val="decimal"/>
      <w:pStyle w:val="nRubrik1"/>
      <w:lvlText w:val="%1"/>
      <w:lvlJc w:val="left"/>
      <w:pPr>
        <w:tabs>
          <w:tab w:val="num" w:pos="1020"/>
        </w:tabs>
        <w:ind w:left="1020" w:hanging="1020"/>
      </w:pPr>
      <w:rPr>
        <w:rFonts w:ascii="Arial" w:hAnsi="Arial" w:cs="Arial" w:hint="default"/>
        <w:b/>
        <w:i w:val="0"/>
        <w:sz w:val="20"/>
        <w:szCs w:val="20"/>
      </w:rPr>
    </w:lvl>
    <w:lvl w:ilvl="1">
      <w:start w:val="1"/>
      <w:numFmt w:val="decimal"/>
      <w:pStyle w:val="nRubrik2"/>
      <w:lvlText w:val="%1.%2"/>
      <w:lvlJc w:val="left"/>
      <w:pPr>
        <w:tabs>
          <w:tab w:val="num" w:pos="1020"/>
        </w:tabs>
        <w:ind w:left="1020" w:hanging="1020"/>
      </w:pPr>
      <w:rPr>
        <w:rFonts w:ascii="Arial" w:hAnsi="Arial" w:cs="Arial" w:hint="default"/>
        <w:b/>
        <w:i w:val="0"/>
        <w:sz w:val="22"/>
      </w:rPr>
    </w:lvl>
    <w:lvl w:ilvl="2">
      <w:start w:val="1"/>
      <w:numFmt w:val="decimal"/>
      <w:pStyle w:val="nRubrik3"/>
      <w:lvlText w:val="%1.%2.%3"/>
      <w:lvlJc w:val="left"/>
      <w:pPr>
        <w:tabs>
          <w:tab w:val="num" w:pos="1020"/>
        </w:tabs>
        <w:ind w:left="1020" w:hanging="1020"/>
      </w:pPr>
      <w:rPr>
        <w:rFonts w:ascii="Arial" w:hAnsi="Arial" w:cs="Arial" w:hint="default"/>
        <w:b w:val="0"/>
        <w:i/>
        <w:strike w:val="0"/>
        <w:dstrike w:val="0"/>
        <w:sz w:val="22"/>
        <w:u w:val="none"/>
        <w:effect w:val="none"/>
      </w:rPr>
    </w:lvl>
    <w:lvl w:ilvl="3">
      <w:start w:val="1"/>
      <w:numFmt w:val="decimal"/>
      <w:pStyle w:val="nRubrik4"/>
      <w:lvlText w:val="%1.%2.%3.%4"/>
      <w:lvlJc w:val="left"/>
      <w:pPr>
        <w:tabs>
          <w:tab w:val="num" w:pos="1020"/>
        </w:tabs>
        <w:ind w:left="1020" w:hanging="1020"/>
      </w:pPr>
      <w:rPr>
        <w:rFonts w:ascii="Arial" w:hAnsi="Arial" w:cs="Arial" w:hint="default"/>
        <w:b w:val="0"/>
        <w:i w:val="0"/>
        <w:sz w:val="22"/>
      </w:r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63" w15:restartNumberingAfterBreak="0">
    <w:nsid w:val="7D520640"/>
    <w:multiLevelType w:val="multilevel"/>
    <w:tmpl w:val="06C04B8C"/>
    <w:name w:val="Table Bullet"/>
    <w:lvl w:ilvl="0">
      <w:start w:val="1"/>
      <w:numFmt w:val="bullet"/>
      <w:pStyle w:val="TableBullet1"/>
      <w:lvlText w:val=""/>
      <w:lvlJc w:val="left"/>
      <w:pPr>
        <w:ind w:left="360" w:hanging="360"/>
      </w:pPr>
      <w:rPr>
        <w:rFonts w:ascii="Symbol" w:hAnsi="Symbol" w:hint="default"/>
        <w:b w:val="0"/>
        <w:i w:val="0"/>
        <w:strike w:val="0"/>
        <w:dstrike w:val="0"/>
        <w:color w:val="auto"/>
        <w:sz w:val="22"/>
      </w:rPr>
    </w:lvl>
    <w:lvl w:ilvl="1">
      <w:start w:val="1"/>
      <w:numFmt w:val="bullet"/>
      <w:pStyle w:val="TableBullet2"/>
      <w:lvlText w:val=""/>
      <w:lvlJc w:val="left"/>
      <w:pPr>
        <w:ind w:left="720" w:hanging="360"/>
      </w:pPr>
      <w:rPr>
        <w:rFonts w:ascii="Symbol" w:hAnsi="Symbol" w:hint="default"/>
        <w:strike w:val="0"/>
        <w:dstrike w:val="0"/>
      </w:rPr>
    </w:lvl>
    <w:lvl w:ilvl="2">
      <w:start w:val="1"/>
      <w:numFmt w:val="bullet"/>
      <w:pStyle w:val="TableBullet3"/>
      <w:lvlText w:val=""/>
      <w:lvlJc w:val="left"/>
      <w:pPr>
        <w:ind w:left="1080" w:hanging="360"/>
      </w:pPr>
      <w:rPr>
        <w:rFonts w:ascii="Symbol" w:hAnsi="Symbol" w:hint="default"/>
        <w:strike w:val="0"/>
        <w:dstrike w:val="0"/>
      </w:rPr>
    </w:lvl>
    <w:lvl w:ilvl="3">
      <w:start w:val="1"/>
      <w:numFmt w:val="none"/>
      <w:pStyle w:val="TableBullet4"/>
      <w:suff w:val="nothing"/>
      <w:lvlText w:val=""/>
      <w:lvlJc w:val="left"/>
      <w:pPr>
        <w:ind w:left="0" w:firstLine="0"/>
      </w:pPr>
      <w:rPr>
        <w:strike w:val="0"/>
        <w:dstrike w:val="0"/>
      </w:rPr>
    </w:lvl>
    <w:lvl w:ilvl="4">
      <w:start w:val="1"/>
      <w:numFmt w:val="none"/>
      <w:pStyle w:val="TableBullet5"/>
      <w:suff w:val="nothing"/>
      <w:lvlText w:val=""/>
      <w:lvlJc w:val="left"/>
      <w:pPr>
        <w:ind w:left="0" w:firstLine="0"/>
      </w:pPr>
      <w:rPr>
        <w:strike w:val="0"/>
        <w:dstrike w:val="0"/>
      </w:rPr>
    </w:lvl>
    <w:lvl w:ilvl="5">
      <w:start w:val="1"/>
      <w:numFmt w:val="none"/>
      <w:pStyle w:val="TableBullet6"/>
      <w:suff w:val="nothing"/>
      <w:lvlText w:val=""/>
      <w:lvlJc w:val="left"/>
      <w:pPr>
        <w:ind w:left="0" w:firstLine="0"/>
      </w:pPr>
      <w:rPr>
        <w:strike w:val="0"/>
        <w:dstrike w:val="0"/>
      </w:rPr>
    </w:lvl>
    <w:lvl w:ilvl="6">
      <w:start w:val="1"/>
      <w:numFmt w:val="none"/>
      <w:pStyle w:val="TableBullet7"/>
      <w:suff w:val="nothing"/>
      <w:lvlText w:val=""/>
      <w:lvlJc w:val="left"/>
      <w:pPr>
        <w:ind w:left="0" w:firstLine="0"/>
      </w:pPr>
      <w:rPr>
        <w:strike w:val="0"/>
        <w:dstrike w:val="0"/>
      </w:rPr>
    </w:lvl>
    <w:lvl w:ilvl="7">
      <w:start w:val="1"/>
      <w:numFmt w:val="none"/>
      <w:pStyle w:val="TableBullet8"/>
      <w:suff w:val="nothing"/>
      <w:lvlText w:val=""/>
      <w:lvlJc w:val="left"/>
      <w:pPr>
        <w:ind w:left="0" w:firstLine="0"/>
      </w:pPr>
      <w:rPr>
        <w:strike w:val="0"/>
        <w:dstrike w:val="0"/>
      </w:rPr>
    </w:lvl>
    <w:lvl w:ilvl="8">
      <w:start w:val="1"/>
      <w:numFmt w:val="none"/>
      <w:pStyle w:val="TableBullet9"/>
      <w:suff w:val="nothing"/>
      <w:lvlText w:val=""/>
      <w:lvlJc w:val="left"/>
      <w:pPr>
        <w:ind w:left="0" w:firstLine="0"/>
      </w:pPr>
      <w:rPr>
        <w:strike w:val="0"/>
        <w:dstrike w:val="0"/>
      </w:rPr>
    </w:lvl>
  </w:abstractNum>
  <w:abstractNum w:abstractNumId="64" w15:restartNumberingAfterBreak="0">
    <w:nsid w:val="7F49585E"/>
    <w:multiLevelType w:val="multilevel"/>
    <w:tmpl w:val="FB50D40E"/>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2279"/>
        </w:tabs>
        <w:ind w:left="2279" w:hanging="720"/>
      </w:pPr>
      <w:rPr>
        <w:rFonts w:hint="default"/>
        <w:b w:val="0"/>
        <w:i w:val="0"/>
      </w:rPr>
    </w:lvl>
    <w:lvl w:ilvl="2">
      <w:start w:val="1"/>
      <w:numFmt w:val="decimal"/>
      <w:pStyle w:val="BBHeading3"/>
      <w:lvlText w:val="%1.%2.%3"/>
      <w:lvlJc w:val="left"/>
      <w:pPr>
        <w:tabs>
          <w:tab w:val="num" w:pos="1895"/>
        </w:tabs>
        <w:ind w:left="1895"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1787"/>
        </w:tabs>
        <w:ind w:left="1787" w:hanging="1077"/>
      </w:pPr>
      <w:rPr>
        <w:rFonts w:hint="default"/>
        <w:b w:val="0"/>
        <w:i w:val="0"/>
        <w:lang w:val="en-GB"/>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2023433151">
    <w:abstractNumId w:val="48"/>
  </w:num>
  <w:num w:numId="2" w16cid:durableId="2026007570">
    <w:abstractNumId w:val="27"/>
  </w:num>
  <w:num w:numId="3" w16cid:durableId="1128821984">
    <w:abstractNumId w:val="28"/>
  </w:num>
  <w:num w:numId="4" w16cid:durableId="1213273731">
    <w:abstractNumId w:val="34"/>
  </w:num>
  <w:num w:numId="5" w16cid:durableId="313996376">
    <w:abstractNumId w:val="9"/>
  </w:num>
  <w:num w:numId="6" w16cid:durableId="981736885">
    <w:abstractNumId w:val="43"/>
  </w:num>
  <w:num w:numId="7" w16cid:durableId="6543787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364753">
    <w:abstractNumId w:val="44"/>
  </w:num>
  <w:num w:numId="9" w16cid:durableId="1995255335">
    <w:abstractNumId w:val="56"/>
  </w:num>
  <w:num w:numId="10" w16cid:durableId="1861241836">
    <w:abstractNumId w:val="35"/>
  </w:num>
  <w:num w:numId="11" w16cid:durableId="2124955597">
    <w:abstractNumId w:val="47"/>
  </w:num>
  <w:num w:numId="12" w16cid:durableId="431173635">
    <w:abstractNumId w:val="19"/>
  </w:num>
  <w:num w:numId="13" w16cid:durableId="1563175132">
    <w:abstractNumId w:val="50"/>
  </w:num>
  <w:num w:numId="14" w16cid:durableId="303705251">
    <w:abstractNumId w:val="64"/>
  </w:num>
  <w:num w:numId="15" w16cid:durableId="811942334">
    <w:abstractNumId w:val="39"/>
  </w:num>
  <w:num w:numId="16" w16cid:durableId="468135032">
    <w:abstractNumId w:val="5"/>
  </w:num>
  <w:num w:numId="17" w16cid:durableId="1404522278">
    <w:abstractNumId w:val="4"/>
  </w:num>
  <w:num w:numId="18" w16cid:durableId="754664905">
    <w:abstractNumId w:val="3"/>
  </w:num>
  <w:num w:numId="19" w16cid:durableId="2008244157">
    <w:abstractNumId w:val="2"/>
  </w:num>
  <w:num w:numId="20" w16cid:durableId="355347533">
    <w:abstractNumId w:val="1"/>
  </w:num>
  <w:num w:numId="21" w16cid:durableId="1098142488">
    <w:abstractNumId w:val="0"/>
  </w:num>
  <w:num w:numId="22" w16cid:durableId="1832938686">
    <w:abstractNumId w:val="40"/>
  </w:num>
  <w:num w:numId="23" w16cid:durableId="1585916118">
    <w:abstractNumId w:val="53"/>
  </w:num>
  <w:num w:numId="24" w16cid:durableId="670530116">
    <w:abstractNumId w:val="61"/>
  </w:num>
  <w:num w:numId="25" w16cid:durableId="2077430526">
    <w:abstractNumId w:val="21"/>
  </w:num>
  <w:num w:numId="26" w16cid:durableId="329674093">
    <w:abstractNumId w:val="60"/>
  </w:num>
  <w:num w:numId="27" w16cid:durableId="1443955761">
    <w:abstractNumId w:val="6"/>
  </w:num>
  <w:num w:numId="28" w16cid:durableId="1465460598">
    <w:abstractNumId w:val="18"/>
  </w:num>
  <w:num w:numId="29" w16cid:durableId="282031477">
    <w:abstractNumId w:val="23"/>
  </w:num>
  <w:num w:numId="30" w16cid:durableId="575167925">
    <w:abstractNumId w:val="12"/>
  </w:num>
  <w:num w:numId="31" w16cid:durableId="1429882651">
    <w:abstractNumId w:val="29"/>
  </w:num>
  <w:num w:numId="32" w16cid:durableId="1126504038">
    <w:abstractNumId w:val="30"/>
  </w:num>
  <w:num w:numId="33" w16cid:durableId="1538621159">
    <w:abstractNumId w:val="25"/>
  </w:num>
  <w:num w:numId="34" w16cid:durableId="966591215">
    <w:abstractNumId w:val="7"/>
  </w:num>
  <w:num w:numId="35" w16cid:durableId="241529793">
    <w:abstractNumId w:val="59"/>
  </w:num>
  <w:num w:numId="36" w16cid:durableId="56785720">
    <w:abstractNumId w:val="26"/>
  </w:num>
  <w:num w:numId="37" w16cid:durableId="1349671667">
    <w:abstractNumId w:val="33"/>
  </w:num>
  <w:num w:numId="38" w16cid:durableId="1760911327">
    <w:abstractNumId w:val="46"/>
  </w:num>
  <w:num w:numId="39" w16cid:durableId="148441746">
    <w:abstractNumId w:val="58"/>
  </w:num>
  <w:num w:numId="40" w16cid:durableId="2067097557">
    <w:abstractNumId w:val="51"/>
  </w:num>
  <w:num w:numId="41" w16cid:durableId="939412850">
    <w:abstractNumId w:val="63"/>
  </w:num>
  <w:num w:numId="42" w16cid:durableId="1523740366">
    <w:abstractNumId w:val="14"/>
  </w:num>
  <w:num w:numId="43" w16cid:durableId="1671253267">
    <w:abstractNumId w:val="41"/>
  </w:num>
  <w:num w:numId="44" w16cid:durableId="1549880305">
    <w:abstractNumId w:val="45"/>
  </w:num>
  <w:num w:numId="45" w16cid:durableId="1673070028">
    <w:abstractNumId w:val="42"/>
  </w:num>
  <w:num w:numId="46" w16cid:durableId="176387042">
    <w:abstractNumId w:val="17"/>
  </w:num>
  <w:num w:numId="47" w16cid:durableId="1937009510">
    <w:abstractNumId w:val="52"/>
  </w:num>
  <w:num w:numId="48" w16cid:durableId="763575240">
    <w:abstractNumId w:val="32"/>
  </w:num>
  <w:num w:numId="49" w16cid:durableId="473835257">
    <w:abstractNumId w:val="15"/>
  </w:num>
  <w:num w:numId="50" w16cid:durableId="160202352">
    <w:abstractNumId w:val="8"/>
  </w:num>
  <w:num w:numId="51" w16cid:durableId="896285948">
    <w:abstractNumId w:val="49"/>
  </w:num>
  <w:num w:numId="52" w16cid:durableId="1256094257">
    <w:abstractNumId w:val="24"/>
  </w:num>
  <w:num w:numId="53" w16cid:durableId="1340157404">
    <w:abstractNumId w:val="36"/>
  </w:num>
  <w:num w:numId="54" w16cid:durableId="373193147">
    <w:abstractNumId w:val="55"/>
  </w:num>
  <w:num w:numId="55" w16cid:durableId="1779912122">
    <w:abstractNumId w:val="20"/>
  </w:num>
  <w:num w:numId="56" w16cid:durableId="1390686601">
    <w:abstractNumId w:val="31"/>
  </w:num>
  <w:num w:numId="57" w16cid:durableId="812528864">
    <w:abstractNumId w:val="16"/>
  </w:num>
  <w:num w:numId="58" w16cid:durableId="1119833337">
    <w:abstractNumId w:val="11"/>
  </w:num>
  <w:num w:numId="59" w16cid:durableId="900822762">
    <w:abstractNumId w:val="38"/>
  </w:num>
  <w:num w:numId="60" w16cid:durableId="1938294057">
    <w:abstractNumId w:val="22"/>
  </w:num>
  <w:num w:numId="61" w16cid:durableId="1743286098">
    <w:abstractNumId w:val="37"/>
  </w:num>
  <w:num w:numId="62" w16cid:durableId="1003507018">
    <w:abstractNumId w:val="13"/>
  </w:num>
  <w:num w:numId="63" w16cid:durableId="1317879843">
    <w:abstractNumId w:val="10"/>
  </w:num>
  <w:num w:numId="64" w16cid:durableId="210267782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AA"/>
    <w:rsid w:val="000028BC"/>
    <w:rsid w:val="0000695E"/>
    <w:rsid w:val="0001435A"/>
    <w:rsid w:val="000167FF"/>
    <w:rsid w:val="000215FD"/>
    <w:rsid w:val="00025E6E"/>
    <w:rsid w:val="00026BF3"/>
    <w:rsid w:val="000323FC"/>
    <w:rsid w:val="000403FD"/>
    <w:rsid w:val="00040452"/>
    <w:rsid w:val="000421F2"/>
    <w:rsid w:val="000428BF"/>
    <w:rsid w:val="00042C4D"/>
    <w:rsid w:val="0004655C"/>
    <w:rsid w:val="00054D46"/>
    <w:rsid w:val="00057CD7"/>
    <w:rsid w:val="00060252"/>
    <w:rsid w:val="000610C6"/>
    <w:rsid w:val="000610FF"/>
    <w:rsid w:val="00065393"/>
    <w:rsid w:val="00074907"/>
    <w:rsid w:val="000769C7"/>
    <w:rsid w:val="00083CF5"/>
    <w:rsid w:val="00084A3C"/>
    <w:rsid w:val="00087D8E"/>
    <w:rsid w:val="0009269A"/>
    <w:rsid w:val="0009483C"/>
    <w:rsid w:val="000959D4"/>
    <w:rsid w:val="000A03ED"/>
    <w:rsid w:val="000A416E"/>
    <w:rsid w:val="000A5F17"/>
    <w:rsid w:val="000B0A78"/>
    <w:rsid w:val="000B3840"/>
    <w:rsid w:val="000B391A"/>
    <w:rsid w:val="000C1EBA"/>
    <w:rsid w:val="000C7015"/>
    <w:rsid w:val="000D607C"/>
    <w:rsid w:val="000D7887"/>
    <w:rsid w:val="000D7A70"/>
    <w:rsid w:val="000E4406"/>
    <w:rsid w:val="000F076F"/>
    <w:rsid w:val="000F1A68"/>
    <w:rsid w:val="000F3E47"/>
    <w:rsid w:val="000F5A53"/>
    <w:rsid w:val="000F74C0"/>
    <w:rsid w:val="00101F8B"/>
    <w:rsid w:val="00103389"/>
    <w:rsid w:val="00107284"/>
    <w:rsid w:val="00114A3A"/>
    <w:rsid w:val="00121574"/>
    <w:rsid w:val="00121A00"/>
    <w:rsid w:val="001250A6"/>
    <w:rsid w:val="001251A8"/>
    <w:rsid w:val="001332F7"/>
    <w:rsid w:val="001349D5"/>
    <w:rsid w:val="00136BD8"/>
    <w:rsid w:val="00145906"/>
    <w:rsid w:val="00145FF1"/>
    <w:rsid w:val="001466CC"/>
    <w:rsid w:val="001471B6"/>
    <w:rsid w:val="001502B0"/>
    <w:rsid w:val="00153282"/>
    <w:rsid w:val="0015372C"/>
    <w:rsid w:val="0015501F"/>
    <w:rsid w:val="0015661D"/>
    <w:rsid w:val="00156A39"/>
    <w:rsid w:val="00163E8D"/>
    <w:rsid w:val="00164521"/>
    <w:rsid w:val="001667F0"/>
    <w:rsid w:val="00166BCF"/>
    <w:rsid w:val="00166D10"/>
    <w:rsid w:val="00171F44"/>
    <w:rsid w:val="00172627"/>
    <w:rsid w:val="001727C1"/>
    <w:rsid w:val="00175641"/>
    <w:rsid w:val="00175FA1"/>
    <w:rsid w:val="001822FE"/>
    <w:rsid w:val="00183991"/>
    <w:rsid w:val="001854E4"/>
    <w:rsid w:val="00187928"/>
    <w:rsid w:val="001918E4"/>
    <w:rsid w:val="0019226F"/>
    <w:rsid w:val="00194EEA"/>
    <w:rsid w:val="001950D1"/>
    <w:rsid w:val="001951FA"/>
    <w:rsid w:val="001A030F"/>
    <w:rsid w:val="001A0B17"/>
    <w:rsid w:val="001A1DEB"/>
    <w:rsid w:val="001A47F9"/>
    <w:rsid w:val="001A6E6C"/>
    <w:rsid w:val="001A7360"/>
    <w:rsid w:val="001B261E"/>
    <w:rsid w:val="001B38F2"/>
    <w:rsid w:val="001B67DC"/>
    <w:rsid w:val="001B793B"/>
    <w:rsid w:val="001C2015"/>
    <w:rsid w:val="001D1897"/>
    <w:rsid w:val="001D643B"/>
    <w:rsid w:val="001E344B"/>
    <w:rsid w:val="001E3A48"/>
    <w:rsid w:val="001E3D3E"/>
    <w:rsid w:val="001E568F"/>
    <w:rsid w:val="001E5795"/>
    <w:rsid w:val="001E58ED"/>
    <w:rsid w:val="001F1972"/>
    <w:rsid w:val="001F65F8"/>
    <w:rsid w:val="0020052D"/>
    <w:rsid w:val="0020309E"/>
    <w:rsid w:val="00203A04"/>
    <w:rsid w:val="00204685"/>
    <w:rsid w:val="00207B57"/>
    <w:rsid w:val="00211621"/>
    <w:rsid w:val="00213C3B"/>
    <w:rsid w:val="002146E2"/>
    <w:rsid w:val="0021480E"/>
    <w:rsid w:val="002148FD"/>
    <w:rsid w:val="002153B6"/>
    <w:rsid w:val="00216A8E"/>
    <w:rsid w:val="002209F6"/>
    <w:rsid w:val="00222BA8"/>
    <w:rsid w:val="00235723"/>
    <w:rsid w:val="002364D8"/>
    <w:rsid w:val="0023706D"/>
    <w:rsid w:val="0024538D"/>
    <w:rsid w:val="002472B7"/>
    <w:rsid w:val="002477D2"/>
    <w:rsid w:val="00247C82"/>
    <w:rsid w:val="00251D6C"/>
    <w:rsid w:val="00252BAF"/>
    <w:rsid w:val="00253161"/>
    <w:rsid w:val="00253D35"/>
    <w:rsid w:val="00254836"/>
    <w:rsid w:val="00254AFF"/>
    <w:rsid w:val="002608C2"/>
    <w:rsid w:val="00270D09"/>
    <w:rsid w:val="00273C72"/>
    <w:rsid w:val="00275DB1"/>
    <w:rsid w:val="002765D9"/>
    <w:rsid w:val="00276C6A"/>
    <w:rsid w:val="00280326"/>
    <w:rsid w:val="00281FC2"/>
    <w:rsid w:val="00282564"/>
    <w:rsid w:val="00282747"/>
    <w:rsid w:val="00285BE4"/>
    <w:rsid w:val="00286B75"/>
    <w:rsid w:val="00287283"/>
    <w:rsid w:val="00291E24"/>
    <w:rsid w:val="00292264"/>
    <w:rsid w:val="00293192"/>
    <w:rsid w:val="00293E29"/>
    <w:rsid w:val="00294B64"/>
    <w:rsid w:val="002960D1"/>
    <w:rsid w:val="0029755C"/>
    <w:rsid w:val="002A0465"/>
    <w:rsid w:val="002A4EC1"/>
    <w:rsid w:val="002B0391"/>
    <w:rsid w:val="002B08EB"/>
    <w:rsid w:val="002B6B8E"/>
    <w:rsid w:val="002C05D8"/>
    <w:rsid w:val="002C0BBB"/>
    <w:rsid w:val="002D0065"/>
    <w:rsid w:val="002D1B94"/>
    <w:rsid w:val="002D59E9"/>
    <w:rsid w:val="002D62D9"/>
    <w:rsid w:val="002D6B02"/>
    <w:rsid w:val="002D7258"/>
    <w:rsid w:val="002D786F"/>
    <w:rsid w:val="002E349C"/>
    <w:rsid w:val="002E494C"/>
    <w:rsid w:val="002E7394"/>
    <w:rsid w:val="002F08AC"/>
    <w:rsid w:val="002F172F"/>
    <w:rsid w:val="002F4440"/>
    <w:rsid w:val="00300AF8"/>
    <w:rsid w:val="00304271"/>
    <w:rsid w:val="0030478D"/>
    <w:rsid w:val="003047D0"/>
    <w:rsid w:val="00305227"/>
    <w:rsid w:val="00305FC6"/>
    <w:rsid w:val="00306A1D"/>
    <w:rsid w:val="0031044E"/>
    <w:rsid w:val="00311E9E"/>
    <w:rsid w:val="0031286A"/>
    <w:rsid w:val="00314634"/>
    <w:rsid w:val="0031706D"/>
    <w:rsid w:val="0031785B"/>
    <w:rsid w:val="00320C6A"/>
    <w:rsid w:val="003359D6"/>
    <w:rsid w:val="00337309"/>
    <w:rsid w:val="00342C2B"/>
    <w:rsid w:val="003459B2"/>
    <w:rsid w:val="00351118"/>
    <w:rsid w:val="003515B7"/>
    <w:rsid w:val="00354F94"/>
    <w:rsid w:val="00356C76"/>
    <w:rsid w:val="00361B31"/>
    <w:rsid w:val="00363BE1"/>
    <w:rsid w:val="00363ECA"/>
    <w:rsid w:val="00371809"/>
    <w:rsid w:val="00371CA1"/>
    <w:rsid w:val="00374361"/>
    <w:rsid w:val="00374570"/>
    <w:rsid w:val="003748E1"/>
    <w:rsid w:val="00374C24"/>
    <w:rsid w:val="00377779"/>
    <w:rsid w:val="00381138"/>
    <w:rsid w:val="00383A96"/>
    <w:rsid w:val="00384C9B"/>
    <w:rsid w:val="00390591"/>
    <w:rsid w:val="003907D5"/>
    <w:rsid w:val="0039134E"/>
    <w:rsid w:val="00392F15"/>
    <w:rsid w:val="003964FA"/>
    <w:rsid w:val="003A1A9B"/>
    <w:rsid w:val="003A3C31"/>
    <w:rsid w:val="003A3D77"/>
    <w:rsid w:val="003A713B"/>
    <w:rsid w:val="003A7A98"/>
    <w:rsid w:val="003B08DF"/>
    <w:rsid w:val="003B12B8"/>
    <w:rsid w:val="003C343D"/>
    <w:rsid w:val="003D358A"/>
    <w:rsid w:val="003D4788"/>
    <w:rsid w:val="003D4EB0"/>
    <w:rsid w:val="003D77BE"/>
    <w:rsid w:val="003D78E8"/>
    <w:rsid w:val="003E0393"/>
    <w:rsid w:val="003E0AD1"/>
    <w:rsid w:val="003E3233"/>
    <w:rsid w:val="003E44FD"/>
    <w:rsid w:val="003E4E26"/>
    <w:rsid w:val="003F07B0"/>
    <w:rsid w:val="003F0AB4"/>
    <w:rsid w:val="003F3015"/>
    <w:rsid w:val="003F3B40"/>
    <w:rsid w:val="00400BA5"/>
    <w:rsid w:val="0040181F"/>
    <w:rsid w:val="0041021C"/>
    <w:rsid w:val="004130AB"/>
    <w:rsid w:val="00422634"/>
    <w:rsid w:val="00425BCF"/>
    <w:rsid w:val="00437557"/>
    <w:rsid w:val="0043784D"/>
    <w:rsid w:val="004439AE"/>
    <w:rsid w:val="0044463C"/>
    <w:rsid w:val="00445D3F"/>
    <w:rsid w:val="0045767E"/>
    <w:rsid w:val="00460AF0"/>
    <w:rsid w:val="00462E59"/>
    <w:rsid w:val="004736A4"/>
    <w:rsid w:val="00487EE5"/>
    <w:rsid w:val="00492EE3"/>
    <w:rsid w:val="00493380"/>
    <w:rsid w:val="00493C27"/>
    <w:rsid w:val="00496B15"/>
    <w:rsid w:val="004A1869"/>
    <w:rsid w:val="004A24B9"/>
    <w:rsid w:val="004A39C0"/>
    <w:rsid w:val="004A40A9"/>
    <w:rsid w:val="004A6234"/>
    <w:rsid w:val="004A6A25"/>
    <w:rsid w:val="004B172D"/>
    <w:rsid w:val="004B2AEE"/>
    <w:rsid w:val="004B2C3C"/>
    <w:rsid w:val="004B34FA"/>
    <w:rsid w:val="004B4658"/>
    <w:rsid w:val="004B4FD6"/>
    <w:rsid w:val="004B663F"/>
    <w:rsid w:val="004B7EB4"/>
    <w:rsid w:val="004C2320"/>
    <w:rsid w:val="004C2623"/>
    <w:rsid w:val="004C2AD1"/>
    <w:rsid w:val="004C5C21"/>
    <w:rsid w:val="004D3BA9"/>
    <w:rsid w:val="004D4F1C"/>
    <w:rsid w:val="004D6FAF"/>
    <w:rsid w:val="004D760A"/>
    <w:rsid w:val="004D7F10"/>
    <w:rsid w:val="004D7FE8"/>
    <w:rsid w:val="004E05B9"/>
    <w:rsid w:val="004E05ED"/>
    <w:rsid w:val="004E0D0F"/>
    <w:rsid w:val="004E13D6"/>
    <w:rsid w:val="004E20C5"/>
    <w:rsid w:val="004E287C"/>
    <w:rsid w:val="004E2EEE"/>
    <w:rsid w:val="004E3FBD"/>
    <w:rsid w:val="004E411C"/>
    <w:rsid w:val="004E41D3"/>
    <w:rsid w:val="004F426E"/>
    <w:rsid w:val="004F5968"/>
    <w:rsid w:val="004F7FC3"/>
    <w:rsid w:val="005045E8"/>
    <w:rsid w:val="00505898"/>
    <w:rsid w:val="0051281D"/>
    <w:rsid w:val="00513700"/>
    <w:rsid w:val="00515796"/>
    <w:rsid w:val="00521AFF"/>
    <w:rsid w:val="005220E1"/>
    <w:rsid w:val="00522471"/>
    <w:rsid w:val="0052541E"/>
    <w:rsid w:val="00526604"/>
    <w:rsid w:val="00526C61"/>
    <w:rsid w:val="005317CA"/>
    <w:rsid w:val="00537C2C"/>
    <w:rsid w:val="005447C3"/>
    <w:rsid w:val="00545E05"/>
    <w:rsid w:val="005468F3"/>
    <w:rsid w:val="00557CB7"/>
    <w:rsid w:val="0056184D"/>
    <w:rsid w:val="005668F3"/>
    <w:rsid w:val="005678B2"/>
    <w:rsid w:val="00570971"/>
    <w:rsid w:val="00577167"/>
    <w:rsid w:val="00581481"/>
    <w:rsid w:val="00581F79"/>
    <w:rsid w:val="00584534"/>
    <w:rsid w:val="005846EB"/>
    <w:rsid w:val="00586799"/>
    <w:rsid w:val="00586F87"/>
    <w:rsid w:val="005915F1"/>
    <w:rsid w:val="00595395"/>
    <w:rsid w:val="005968E2"/>
    <w:rsid w:val="00596D9E"/>
    <w:rsid w:val="005A06FA"/>
    <w:rsid w:val="005A3627"/>
    <w:rsid w:val="005A3F31"/>
    <w:rsid w:val="005A5034"/>
    <w:rsid w:val="005A62D5"/>
    <w:rsid w:val="005A699D"/>
    <w:rsid w:val="005A768F"/>
    <w:rsid w:val="005B304C"/>
    <w:rsid w:val="005B31E6"/>
    <w:rsid w:val="005B4E58"/>
    <w:rsid w:val="005B568A"/>
    <w:rsid w:val="005B572B"/>
    <w:rsid w:val="005C0D22"/>
    <w:rsid w:val="005C449A"/>
    <w:rsid w:val="005C45A6"/>
    <w:rsid w:val="005C5DA4"/>
    <w:rsid w:val="005C5EB9"/>
    <w:rsid w:val="005C6344"/>
    <w:rsid w:val="005D08C2"/>
    <w:rsid w:val="005D4962"/>
    <w:rsid w:val="005D4976"/>
    <w:rsid w:val="005D5226"/>
    <w:rsid w:val="005E05BA"/>
    <w:rsid w:val="005E0605"/>
    <w:rsid w:val="005E5031"/>
    <w:rsid w:val="005E641D"/>
    <w:rsid w:val="005E7804"/>
    <w:rsid w:val="005F3F2C"/>
    <w:rsid w:val="0060346C"/>
    <w:rsid w:val="006042B8"/>
    <w:rsid w:val="00605AF0"/>
    <w:rsid w:val="006107E3"/>
    <w:rsid w:val="00620395"/>
    <w:rsid w:val="006222B1"/>
    <w:rsid w:val="0062440E"/>
    <w:rsid w:val="00625364"/>
    <w:rsid w:val="006255F9"/>
    <w:rsid w:val="00630730"/>
    <w:rsid w:val="006346F2"/>
    <w:rsid w:val="006350FE"/>
    <w:rsid w:val="006367AE"/>
    <w:rsid w:val="00637A62"/>
    <w:rsid w:val="00652F1D"/>
    <w:rsid w:val="00655224"/>
    <w:rsid w:val="006625B4"/>
    <w:rsid w:val="00665BF3"/>
    <w:rsid w:val="00671028"/>
    <w:rsid w:val="00676F08"/>
    <w:rsid w:val="00680290"/>
    <w:rsid w:val="0068193C"/>
    <w:rsid w:val="0068387A"/>
    <w:rsid w:val="0068469E"/>
    <w:rsid w:val="00696DB2"/>
    <w:rsid w:val="006971CE"/>
    <w:rsid w:val="006A6952"/>
    <w:rsid w:val="006B1763"/>
    <w:rsid w:val="006B2971"/>
    <w:rsid w:val="006B7D8D"/>
    <w:rsid w:val="006B7DE0"/>
    <w:rsid w:val="006C3078"/>
    <w:rsid w:val="006C672E"/>
    <w:rsid w:val="006C7BA1"/>
    <w:rsid w:val="006D5BEB"/>
    <w:rsid w:val="006D6812"/>
    <w:rsid w:val="006E2B36"/>
    <w:rsid w:val="006E52B1"/>
    <w:rsid w:val="006F20AF"/>
    <w:rsid w:val="006F4816"/>
    <w:rsid w:val="00700C25"/>
    <w:rsid w:val="007062DC"/>
    <w:rsid w:val="0070640A"/>
    <w:rsid w:val="00706A14"/>
    <w:rsid w:val="00706F56"/>
    <w:rsid w:val="0071328E"/>
    <w:rsid w:val="00725DD2"/>
    <w:rsid w:val="0072688B"/>
    <w:rsid w:val="00731FEC"/>
    <w:rsid w:val="00736AF1"/>
    <w:rsid w:val="0073794C"/>
    <w:rsid w:val="0074235D"/>
    <w:rsid w:val="0074749D"/>
    <w:rsid w:val="00750B64"/>
    <w:rsid w:val="00754C5C"/>
    <w:rsid w:val="007563D1"/>
    <w:rsid w:val="00756DDA"/>
    <w:rsid w:val="00760CF4"/>
    <w:rsid w:val="007643CD"/>
    <w:rsid w:val="007666ED"/>
    <w:rsid w:val="00767736"/>
    <w:rsid w:val="00771A85"/>
    <w:rsid w:val="007733B6"/>
    <w:rsid w:val="0077604D"/>
    <w:rsid w:val="00777BC4"/>
    <w:rsid w:val="00780BCC"/>
    <w:rsid w:val="007814C7"/>
    <w:rsid w:val="00781CDE"/>
    <w:rsid w:val="007825AF"/>
    <w:rsid w:val="00782C35"/>
    <w:rsid w:val="00783CCF"/>
    <w:rsid w:val="007907A9"/>
    <w:rsid w:val="0079298A"/>
    <w:rsid w:val="00793168"/>
    <w:rsid w:val="00796FAA"/>
    <w:rsid w:val="007A003B"/>
    <w:rsid w:val="007A21E4"/>
    <w:rsid w:val="007A56B9"/>
    <w:rsid w:val="007A7D1C"/>
    <w:rsid w:val="007B7467"/>
    <w:rsid w:val="007B7614"/>
    <w:rsid w:val="007C00BD"/>
    <w:rsid w:val="007C1F0A"/>
    <w:rsid w:val="007C42E9"/>
    <w:rsid w:val="007C4B62"/>
    <w:rsid w:val="007C601D"/>
    <w:rsid w:val="007C615F"/>
    <w:rsid w:val="007C6F42"/>
    <w:rsid w:val="007D2C42"/>
    <w:rsid w:val="007D4319"/>
    <w:rsid w:val="007D4740"/>
    <w:rsid w:val="007D498F"/>
    <w:rsid w:val="007D7F53"/>
    <w:rsid w:val="007E1735"/>
    <w:rsid w:val="007E1BFA"/>
    <w:rsid w:val="007E6536"/>
    <w:rsid w:val="007F108F"/>
    <w:rsid w:val="007F1571"/>
    <w:rsid w:val="007F1ABE"/>
    <w:rsid w:val="007F1DBA"/>
    <w:rsid w:val="007F5E32"/>
    <w:rsid w:val="007F6E34"/>
    <w:rsid w:val="0080133A"/>
    <w:rsid w:val="0080190E"/>
    <w:rsid w:val="0081148E"/>
    <w:rsid w:val="0081200B"/>
    <w:rsid w:val="008131BA"/>
    <w:rsid w:val="00813367"/>
    <w:rsid w:val="00813561"/>
    <w:rsid w:val="00816F04"/>
    <w:rsid w:val="008232DA"/>
    <w:rsid w:val="00826666"/>
    <w:rsid w:val="00826AAA"/>
    <w:rsid w:val="008318D8"/>
    <w:rsid w:val="00835ED1"/>
    <w:rsid w:val="008370E6"/>
    <w:rsid w:val="00843F24"/>
    <w:rsid w:val="00844603"/>
    <w:rsid w:val="00846A99"/>
    <w:rsid w:val="008523D3"/>
    <w:rsid w:val="0085367E"/>
    <w:rsid w:val="00855EE0"/>
    <w:rsid w:val="008606B8"/>
    <w:rsid w:val="008662C7"/>
    <w:rsid w:val="00867990"/>
    <w:rsid w:val="008700CC"/>
    <w:rsid w:val="008732EC"/>
    <w:rsid w:val="008736B0"/>
    <w:rsid w:val="0087614F"/>
    <w:rsid w:val="008762F0"/>
    <w:rsid w:val="008771EB"/>
    <w:rsid w:val="0088149A"/>
    <w:rsid w:val="00882779"/>
    <w:rsid w:val="00882BC6"/>
    <w:rsid w:val="00886CB1"/>
    <w:rsid w:val="008945D5"/>
    <w:rsid w:val="008A04A3"/>
    <w:rsid w:val="008A58CD"/>
    <w:rsid w:val="008A69DC"/>
    <w:rsid w:val="008B1343"/>
    <w:rsid w:val="008B545F"/>
    <w:rsid w:val="008C3F57"/>
    <w:rsid w:val="008C6575"/>
    <w:rsid w:val="008C7D8A"/>
    <w:rsid w:val="008D1E36"/>
    <w:rsid w:val="008D27B8"/>
    <w:rsid w:val="008D27EA"/>
    <w:rsid w:val="008D550E"/>
    <w:rsid w:val="008E2E01"/>
    <w:rsid w:val="008F012C"/>
    <w:rsid w:val="008F1272"/>
    <w:rsid w:val="008F3662"/>
    <w:rsid w:val="008F79AA"/>
    <w:rsid w:val="008F7D0E"/>
    <w:rsid w:val="008F7F9C"/>
    <w:rsid w:val="008F7FE7"/>
    <w:rsid w:val="009026EF"/>
    <w:rsid w:val="00903328"/>
    <w:rsid w:val="009066AC"/>
    <w:rsid w:val="00914050"/>
    <w:rsid w:val="00915285"/>
    <w:rsid w:val="00920337"/>
    <w:rsid w:val="00922933"/>
    <w:rsid w:val="00922F42"/>
    <w:rsid w:val="00923E52"/>
    <w:rsid w:val="00931146"/>
    <w:rsid w:val="00931EA5"/>
    <w:rsid w:val="009333C7"/>
    <w:rsid w:val="009337F9"/>
    <w:rsid w:val="009338F1"/>
    <w:rsid w:val="0094600D"/>
    <w:rsid w:val="00951449"/>
    <w:rsid w:val="00960E24"/>
    <w:rsid w:val="009619E8"/>
    <w:rsid w:val="009647C4"/>
    <w:rsid w:val="00964EB2"/>
    <w:rsid w:val="00966997"/>
    <w:rsid w:val="00972FC5"/>
    <w:rsid w:val="009732F1"/>
    <w:rsid w:val="009762E4"/>
    <w:rsid w:val="00977408"/>
    <w:rsid w:val="00977858"/>
    <w:rsid w:val="009828D9"/>
    <w:rsid w:val="00995DDB"/>
    <w:rsid w:val="009B04C8"/>
    <w:rsid w:val="009B1B45"/>
    <w:rsid w:val="009B555B"/>
    <w:rsid w:val="009C032B"/>
    <w:rsid w:val="009C4299"/>
    <w:rsid w:val="009C5122"/>
    <w:rsid w:val="009C520A"/>
    <w:rsid w:val="009C5349"/>
    <w:rsid w:val="009C660B"/>
    <w:rsid w:val="009C7B00"/>
    <w:rsid w:val="009D0C2F"/>
    <w:rsid w:val="009D6E89"/>
    <w:rsid w:val="009D7353"/>
    <w:rsid w:val="009D7E8F"/>
    <w:rsid w:val="009E04C2"/>
    <w:rsid w:val="009E0F5F"/>
    <w:rsid w:val="009E1234"/>
    <w:rsid w:val="009E2E67"/>
    <w:rsid w:val="009E3D4D"/>
    <w:rsid w:val="009F08E6"/>
    <w:rsid w:val="009F1F67"/>
    <w:rsid w:val="009F2277"/>
    <w:rsid w:val="009F673B"/>
    <w:rsid w:val="009F6B9C"/>
    <w:rsid w:val="00A01436"/>
    <w:rsid w:val="00A0185B"/>
    <w:rsid w:val="00A0331D"/>
    <w:rsid w:val="00A11744"/>
    <w:rsid w:val="00A1376F"/>
    <w:rsid w:val="00A15BD9"/>
    <w:rsid w:val="00A21500"/>
    <w:rsid w:val="00A25EB8"/>
    <w:rsid w:val="00A262E1"/>
    <w:rsid w:val="00A2770D"/>
    <w:rsid w:val="00A309A4"/>
    <w:rsid w:val="00A31307"/>
    <w:rsid w:val="00A477DE"/>
    <w:rsid w:val="00A50600"/>
    <w:rsid w:val="00A5279D"/>
    <w:rsid w:val="00A52A18"/>
    <w:rsid w:val="00A531BA"/>
    <w:rsid w:val="00A54688"/>
    <w:rsid w:val="00A54AD3"/>
    <w:rsid w:val="00A5606D"/>
    <w:rsid w:val="00A579BA"/>
    <w:rsid w:val="00A57C87"/>
    <w:rsid w:val="00A63A14"/>
    <w:rsid w:val="00A66606"/>
    <w:rsid w:val="00A675CB"/>
    <w:rsid w:val="00A73D84"/>
    <w:rsid w:val="00A76582"/>
    <w:rsid w:val="00A7787D"/>
    <w:rsid w:val="00A8369D"/>
    <w:rsid w:val="00A85F46"/>
    <w:rsid w:val="00A86AB5"/>
    <w:rsid w:val="00A86B55"/>
    <w:rsid w:val="00A86C22"/>
    <w:rsid w:val="00A8792C"/>
    <w:rsid w:val="00A907AF"/>
    <w:rsid w:val="00A93C9D"/>
    <w:rsid w:val="00A9503D"/>
    <w:rsid w:val="00A95C21"/>
    <w:rsid w:val="00A97F2C"/>
    <w:rsid w:val="00AA0F8D"/>
    <w:rsid w:val="00AA10F1"/>
    <w:rsid w:val="00AA12B6"/>
    <w:rsid w:val="00AA4336"/>
    <w:rsid w:val="00AA711C"/>
    <w:rsid w:val="00AB73E0"/>
    <w:rsid w:val="00AC056C"/>
    <w:rsid w:val="00AC4046"/>
    <w:rsid w:val="00AD3912"/>
    <w:rsid w:val="00AD4C31"/>
    <w:rsid w:val="00AD75BB"/>
    <w:rsid w:val="00AE15C1"/>
    <w:rsid w:val="00AE1FF3"/>
    <w:rsid w:val="00AE207B"/>
    <w:rsid w:val="00AE24E9"/>
    <w:rsid w:val="00AF0283"/>
    <w:rsid w:val="00AF18C2"/>
    <w:rsid w:val="00AF1D65"/>
    <w:rsid w:val="00AF1D81"/>
    <w:rsid w:val="00AF2128"/>
    <w:rsid w:val="00AF774C"/>
    <w:rsid w:val="00B005C4"/>
    <w:rsid w:val="00B0491F"/>
    <w:rsid w:val="00B071A2"/>
    <w:rsid w:val="00B12051"/>
    <w:rsid w:val="00B130D0"/>
    <w:rsid w:val="00B13FC7"/>
    <w:rsid w:val="00B1487E"/>
    <w:rsid w:val="00B14D74"/>
    <w:rsid w:val="00B17508"/>
    <w:rsid w:val="00B17D2D"/>
    <w:rsid w:val="00B17DAB"/>
    <w:rsid w:val="00B2025D"/>
    <w:rsid w:val="00B213A8"/>
    <w:rsid w:val="00B2211E"/>
    <w:rsid w:val="00B22D49"/>
    <w:rsid w:val="00B22F73"/>
    <w:rsid w:val="00B32A61"/>
    <w:rsid w:val="00B32B2E"/>
    <w:rsid w:val="00B33E2C"/>
    <w:rsid w:val="00B35754"/>
    <w:rsid w:val="00B37BBA"/>
    <w:rsid w:val="00B4149D"/>
    <w:rsid w:val="00B44ACC"/>
    <w:rsid w:val="00B45818"/>
    <w:rsid w:val="00B465B3"/>
    <w:rsid w:val="00B5066C"/>
    <w:rsid w:val="00B57399"/>
    <w:rsid w:val="00B602B2"/>
    <w:rsid w:val="00B61F72"/>
    <w:rsid w:val="00B62878"/>
    <w:rsid w:val="00B62DFD"/>
    <w:rsid w:val="00B630B6"/>
    <w:rsid w:val="00B63E38"/>
    <w:rsid w:val="00B63FD4"/>
    <w:rsid w:val="00B66786"/>
    <w:rsid w:val="00B66839"/>
    <w:rsid w:val="00B67B95"/>
    <w:rsid w:val="00B71CB9"/>
    <w:rsid w:val="00B81F8E"/>
    <w:rsid w:val="00B82535"/>
    <w:rsid w:val="00B836C6"/>
    <w:rsid w:val="00B838C6"/>
    <w:rsid w:val="00B8558B"/>
    <w:rsid w:val="00B861D0"/>
    <w:rsid w:val="00B9069A"/>
    <w:rsid w:val="00B92C42"/>
    <w:rsid w:val="00B93E56"/>
    <w:rsid w:val="00B9440C"/>
    <w:rsid w:val="00B97CF5"/>
    <w:rsid w:val="00BA3140"/>
    <w:rsid w:val="00BA31D9"/>
    <w:rsid w:val="00BB36CC"/>
    <w:rsid w:val="00BB49C5"/>
    <w:rsid w:val="00BB53C4"/>
    <w:rsid w:val="00BC0663"/>
    <w:rsid w:val="00BC1951"/>
    <w:rsid w:val="00BC315B"/>
    <w:rsid w:val="00BC4E74"/>
    <w:rsid w:val="00BD2277"/>
    <w:rsid w:val="00BD4846"/>
    <w:rsid w:val="00BD6BA1"/>
    <w:rsid w:val="00BD7049"/>
    <w:rsid w:val="00BE2336"/>
    <w:rsid w:val="00BE47DB"/>
    <w:rsid w:val="00BE576F"/>
    <w:rsid w:val="00BF39E8"/>
    <w:rsid w:val="00BF7D02"/>
    <w:rsid w:val="00C0169B"/>
    <w:rsid w:val="00C06C8B"/>
    <w:rsid w:val="00C07C47"/>
    <w:rsid w:val="00C16304"/>
    <w:rsid w:val="00C1668A"/>
    <w:rsid w:val="00C26029"/>
    <w:rsid w:val="00C26F7D"/>
    <w:rsid w:val="00C31D48"/>
    <w:rsid w:val="00C32C93"/>
    <w:rsid w:val="00C349C7"/>
    <w:rsid w:val="00C435D4"/>
    <w:rsid w:val="00C441A8"/>
    <w:rsid w:val="00C45D38"/>
    <w:rsid w:val="00C46283"/>
    <w:rsid w:val="00C512BD"/>
    <w:rsid w:val="00C526FE"/>
    <w:rsid w:val="00C5348A"/>
    <w:rsid w:val="00C53F0F"/>
    <w:rsid w:val="00C60918"/>
    <w:rsid w:val="00C60F44"/>
    <w:rsid w:val="00C739E3"/>
    <w:rsid w:val="00C746A2"/>
    <w:rsid w:val="00C769C0"/>
    <w:rsid w:val="00C80D67"/>
    <w:rsid w:val="00C821A2"/>
    <w:rsid w:val="00C828A9"/>
    <w:rsid w:val="00C83644"/>
    <w:rsid w:val="00C84999"/>
    <w:rsid w:val="00C87402"/>
    <w:rsid w:val="00C87D69"/>
    <w:rsid w:val="00C87DD6"/>
    <w:rsid w:val="00C91EAB"/>
    <w:rsid w:val="00C94E65"/>
    <w:rsid w:val="00CA57ED"/>
    <w:rsid w:val="00CA6D8D"/>
    <w:rsid w:val="00CA794B"/>
    <w:rsid w:val="00CB0E0B"/>
    <w:rsid w:val="00CB4020"/>
    <w:rsid w:val="00CB48E0"/>
    <w:rsid w:val="00CC279E"/>
    <w:rsid w:val="00CC5434"/>
    <w:rsid w:val="00CC6278"/>
    <w:rsid w:val="00CC713F"/>
    <w:rsid w:val="00CC7828"/>
    <w:rsid w:val="00CE0936"/>
    <w:rsid w:val="00CE0CFB"/>
    <w:rsid w:val="00CF30B4"/>
    <w:rsid w:val="00CF37E2"/>
    <w:rsid w:val="00CF4E90"/>
    <w:rsid w:val="00CF521D"/>
    <w:rsid w:val="00CF5F5D"/>
    <w:rsid w:val="00D01240"/>
    <w:rsid w:val="00D0376C"/>
    <w:rsid w:val="00D04C6D"/>
    <w:rsid w:val="00D04D7D"/>
    <w:rsid w:val="00D04D8D"/>
    <w:rsid w:val="00D11372"/>
    <w:rsid w:val="00D11D44"/>
    <w:rsid w:val="00D13AD9"/>
    <w:rsid w:val="00D2273D"/>
    <w:rsid w:val="00D2279F"/>
    <w:rsid w:val="00D23C67"/>
    <w:rsid w:val="00D27527"/>
    <w:rsid w:val="00D30D7A"/>
    <w:rsid w:val="00D33ACC"/>
    <w:rsid w:val="00D353BF"/>
    <w:rsid w:val="00D35862"/>
    <w:rsid w:val="00D36309"/>
    <w:rsid w:val="00D416CA"/>
    <w:rsid w:val="00D422CC"/>
    <w:rsid w:val="00D42D0A"/>
    <w:rsid w:val="00D44C01"/>
    <w:rsid w:val="00D44EB7"/>
    <w:rsid w:val="00D4554E"/>
    <w:rsid w:val="00D47368"/>
    <w:rsid w:val="00D525EC"/>
    <w:rsid w:val="00D528AD"/>
    <w:rsid w:val="00D53F1D"/>
    <w:rsid w:val="00D615D8"/>
    <w:rsid w:val="00D6162B"/>
    <w:rsid w:val="00D61981"/>
    <w:rsid w:val="00D61B67"/>
    <w:rsid w:val="00D645A4"/>
    <w:rsid w:val="00D71F11"/>
    <w:rsid w:val="00D72275"/>
    <w:rsid w:val="00D73C35"/>
    <w:rsid w:val="00D74336"/>
    <w:rsid w:val="00D744D8"/>
    <w:rsid w:val="00D76AF4"/>
    <w:rsid w:val="00D80A50"/>
    <w:rsid w:val="00D8229D"/>
    <w:rsid w:val="00D8461A"/>
    <w:rsid w:val="00D864F8"/>
    <w:rsid w:val="00D90F27"/>
    <w:rsid w:val="00D9169E"/>
    <w:rsid w:val="00D92C9E"/>
    <w:rsid w:val="00D94AC6"/>
    <w:rsid w:val="00D94FA7"/>
    <w:rsid w:val="00D954A1"/>
    <w:rsid w:val="00D97FDE"/>
    <w:rsid w:val="00DA0AE3"/>
    <w:rsid w:val="00DA136A"/>
    <w:rsid w:val="00DA1B68"/>
    <w:rsid w:val="00DA4BFD"/>
    <w:rsid w:val="00DA7C4F"/>
    <w:rsid w:val="00DB452E"/>
    <w:rsid w:val="00DB4BFD"/>
    <w:rsid w:val="00DC11E9"/>
    <w:rsid w:val="00DD0DF4"/>
    <w:rsid w:val="00DD5DCB"/>
    <w:rsid w:val="00DD74CC"/>
    <w:rsid w:val="00DD7D22"/>
    <w:rsid w:val="00DE30E5"/>
    <w:rsid w:val="00DE4F05"/>
    <w:rsid w:val="00DE5B8D"/>
    <w:rsid w:val="00DE661F"/>
    <w:rsid w:val="00DE7B06"/>
    <w:rsid w:val="00DF5F5D"/>
    <w:rsid w:val="00DF7731"/>
    <w:rsid w:val="00DF77B8"/>
    <w:rsid w:val="00E02992"/>
    <w:rsid w:val="00E046A0"/>
    <w:rsid w:val="00E049C2"/>
    <w:rsid w:val="00E053D0"/>
    <w:rsid w:val="00E0556E"/>
    <w:rsid w:val="00E05824"/>
    <w:rsid w:val="00E063C9"/>
    <w:rsid w:val="00E076DE"/>
    <w:rsid w:val="00E07AE5"/>
    <w:rsid w:val="00E141A7"/>
    <w:rsid w:val="00E2739F"/>
    <w:rsid w:val="00E30A3D"/>
    <w:rsid w:val="00E3778F"/>
    <w:rsid w:val="00E42888"/>
    <w:rsid w:val="00E42FF3"/>
    <w:rsid w:val="00E4317D"/>
    <w:rsid w:val="00E44068"/>
    <w:rsid w:val="00E46181"/>
    <w:rsid w:val="00E5001D"/>
    <w:rsid w:val="00E603CA"/>
    <w:rsid w:val="00E6157B"/>
    <w:rsid w:val="00E61A9F"/>
    <w:rsid w:val="00E64FEE"/>
    <w:rsid w:val="00E6759E"/>
    <w:rsid w:val="00E679D1"/>
    <w:rsid w:val="00E704AB"/>
    <w:rsid w:val="00E76199"/>
    <w:rsid w:val="00E810DD"/>
    <w:rsid w:val="00E84EAC"/>
    <w:rsid w:val="00E85475"/>
    <w:rsid w:val="00E8717B"/>
    <w:rsid w:val="00E87CD4"/>
    <w:rsid w:val="00E90ECA"/>
    <w:rsid w:val="00EA349E"/>
    <w:rsid w:val="00EA3EE7"/>
    <w:rsid w:val="00EA4EF2"/>
    <w:rsid w:val="00EA75F5"/>
    <w:rsid w:val="00EB0932"/>
    <w:rsid w:val="00EB378D"/>
    <w:rsid w:val="00EB383B"/>
    <w:rsid w:val="00EB4B23"/>
    <w:rsid w:val="00EB55F8"/>
    <w:rsid w:val="00EC3839"/>
    <w:rsid w:val="00EC545C"/>
    <w:rsid w:val="00ED077F"/>
    <w:rsid w:val="00ED07AE"/>
    <w:rsid w:val="00ED204F"/>
    <w:rsid w:val="00ED2359"/>
    <w:rsid w:val="00ED5902"/>
    <w:rsid w:val="00ED5F36"/>
    <w:rsid w:val="00ED64D3"/>
    <w:rsid w:val="00ED7A82"/>
    <w:rsid w:val="00EE396E"/>
    <w:rsid w:val="00EE4332"/>
    <w:rsid w:val="00EE47EE"/>
    <w:rsid w:val="00EE4B42"/>
    <w:rsid w:val="00EE567F"/>
    <w:rsid w:val="00EE58A1"/>
    <w:rsid w:val="00EE65C9"/>
    <w:rsid w:val="00EE6F1F"/>
    <w:rsid w:val="00EF0669"/>
    <w:rsid w:val="00EF2069"/>
    <w:rsid w:val="00EF43F9"/>
    <w:rsid w:val="00EF566F"/>
    <w:rsid w:val="00EF7BD6"/>
    <w:rsid w:val="00F00B4A"/>
    <w:rsid w:val="00F04392"/>
    <w:rsid w:val="00F0629F"/>
    <w:rsid w:val="00F1265F"/>
    <w:rsid w:val="00F13D30"/>
    <w:rsid w:val="00F156CE"/>
    <w:rsid w:val="00F20320"/>
    <w:rsid w:val="00F24919"/>
    <w:rsid w:val="00F25810"/>
    <w:rsid w:val="00F26153"/>
    <w:rsid w:val="00F2647A"/>
    <w:rsid w:val="00F2695C"/>
    <w:rsid w:val="00F3012E"/>
    <w:rsid w:val="00F33587"/>
    <w:rsid w:val="00F34973"/>
    <w:rsid w:val="00F43DC1"/>
    <w:rsid w:val="00F50CC7"/>
    <w:rsid w:val="00F5179C"/>
    <w:rsid w:val="00F557F3"/>
    <w:rsid w:val="00F5627B"/>
    <w:rsid w:val="00F614BB"/>
    <w:rsid w:val="00F65BD8"/>
    <w:rsid w:val="00F65E12"/>
    <w:rsid w:val="00F66802"/>
    <w:rsid w:val="00F668CF"/>
    <w:rsid w:val="00F66E06"/>
    <w:rsid w:val="00F679A6"/>
    <w:rsid w:val="00F70664"/>
    <w:rsid w:val="00F70A10"/>
    <w:rsid w:val="00F70C41"/>
    <w:rsid w:val="00F73A0E"/>
    <w:rsid w:val="00F75447"/>
    <w:rsid w:val="00F7747B"/>
    <w:rsid w:val="00F8366E"/>
    <w:rsid w:val="00F83BD5"/>
    <w:rsid w:val="00F848FE"/>
    <w:rsid w:val="00F91A8C"/>
    <w:rsid w:val="00F94462"/>
    <w:rsid w:val="00F97BE1"/>
    <w:rsid w:val="00FA08A0"/>
    <w:rsid w:val="00FA130A"/>
    <w:rsid w:val="00FA4006"/>
    <w:rsid w:val="00FA4210"/>
    <w:rsid w:val="00FA7D5A"/>
    <w:rsid w:val="00FB0F90"/>
    <w:rsid w:val="00FB523E"/>
    <w:rsid w:val="00FC130B"/>
    <w:rsid w:val="00FC1EB8"/>
    <w:rsid w:val="00FC3327"/>
    <w:rsid w:val="00FC38C6"/>
    <w:rsid w:val="00FC58CE"/>
    <w:rsid w:val="00FC5A69"/>
    <w:rsid w:val="00FC5C91"/>
    <w:rsid w:val="00FC69E4"/>
    <w:rsid w:val="00FC76C3"/>
    <w:rsid w:val="00FD0FFD"/>
    <w:rsid w:val="00FD158A"/>
    <w:rsid w:val="00FD1DD3"/>
    <w:rsid w:val="00FD2843"/>
    <w:rsid w:val="00FD3D0B"/>
    <w:rsid w:val="00FD7DF5"/>
    <w:rsid w:val="00FF4939"/>
    <w:rsid w:val="00FF576A"/>
    <w:rsid w:val="00FF5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DA7E5"/>
  <w15:docId w15:val="{D332C1E5-62F8-409E-A1E2-A8135631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1A030F"/>
    <w:rPr>
      <w:sz w:val="22"/>
      <w:szCs w:val="24"/>
      <w:lang w:val="sv-SE" w:eastAsia="en-US"/>
    </w:rPr>
  </w:style>
  <w:style w:type="paragraph" w:styleId="Heading1">
    <w:name w:val="heading 1"/>
    <w:aliases w:val="Heading 1 Alt+1,rubrik - Alt+1"/>
    <w:basedOn w:val="Normal"/>
    <w:next w:val="BodyText"/>
    <w:link w:val="Heading1Char"/>
    <w:qFormat/>
    <w:rsid w:val="00746D76"/>
    <w:pPr>
      <w:keepNext/>
      <w:numPr>
        <w:numId w:val="3"/>
      </w:numPr>
      <w:spacing w:after="180" w:line="260" w:lineRule="atLeast"/>
      <w:outlineLvl w:val="0"/>
    </w:pPr>
    <w:rPr>
      <w:rFonts w:ascii="Arial" w:hAnsi="Arial"/>
      <w:b/>
      <w:szCs w:val="20"/>
      <w:lang w:val="en-GB"/>
    </w:rPr>
  </w:style>
  <w:style w:type="paragraph" w:styleId="Heading2">
    <w:name w:val="heading 2"/>
    <w:aliases w:val="Heading 2 Alt+2,stycke - Alt+2"/>
    <w:basedOn w:val="Normal"/>
    <w:next w:val="BodyText"/>
    <w:link w:val="Heading2Char"/>
    <w:qFormat/>
    <w:rsid w:val="00746D76"/>
    <w:pPr>
      <w:keepNext/>
      <w:numPr>
        <w:ilvl w:val="1"/>
        <w:numId w:val="3"/>
      </w:numPr>
      <w:spacing w:after="180" w:line="260" w:lineRule="atLeast"/>
      <w:outlineLvl w:val="1"/>
    </w:pPr>
    <w:rPr>
      <w:rFonts w:ascii="Arial" w:hAnsi="Arial"/>
      <w:b/>
      <w:szCs w:val="20"/>
      <w:lang w:val="en-GB"/>
    </w:rPr>
  </w:style>
  <w:style w:type="paragraph" w:styleId="Heading3">
    <w:name w:val="heading 3"/>
    <w:aliases w:val="Heading 3 Alt+3,stycke - Alt+3"/>
    <w:basedOn w:val="Normal"/>
    <w:link w:val="Heading3Char"/>
    <w:qFormat/>
    <w:rsid w:val="00746D76"/>
    <w:pPr>
      <w:numPr>
        <w:ilvl w:val="2"/>
        <w:numId w:val="3"/>
      </w:numPr>
      <w:spacing w:after="180" w:line="260" w:lineRule="atLeast"/>
      <w:outlineLvl w:val="2"/>
    </w:pPr>
    <w:rPr>
      <w:szCs w:val="20"/>
      <w:lang w:val="en-GB"/>
    </w:rPr>
  </w:style>
  <w:style w:type="paragraph" w:styleId="Heading4">
    <w:name w:val="heading 4"/>
    <w:aliases w:val="Heading 4 Alt+4"/>
    <w:basedOn w:val="Normal"/>
    <w:link w:val="Heading4Char"/>
    <w:qFormat/>
    <w:rsid w:val="00746D76"/>
    <w:pPr>
      <w:numPr>
        <w:ilvl w:val="3"/>
        <w:numId w:val="3"/>
      </w:numPr>
      <w:spacing w:after="180" w:line="260" w:lineRule="atLeast"/>
      <w:outlineLvl w:val="3"/>
    </w:pPr>
    <w:rPr>
      <w:szCs w:val="20"/>
      <w:lang w:val="en-GB"/>
    </w:rPr>
  </w:style>
  <w:style w:type="paragraph" w:styleId="Heading5">
    <w:name w:val="heading 5"/>
    <w:basedOn w:val="Normal"/>
    <w:link w:val="Heading5Char"/>
    <w:qFormat/>
    <w:rsid w:val="00746D76"/>
    <w:pPr>
      <w:numPr>
        <w:ilvl w:val="4"/>
        <w:numId w:val="3"/>
      </w:numPr>
      <w:spacing w:after="180" w:line="260" w:lineRule="atLeast"/>
      <w:outlineLvl w:val="4"/>
    </w:pPr>
    <w:rPr>
      <w:szCs w:val="20"/>
      <w:lang w:val="en-GB"/>
    </w:rPr>
  </w:style>
  <w:style w:type="paragraph" w:styleId="Heading6">
    <w:name w:val="heading 6"/>
    <w:basedOn w:val="Normal"/>
    <w:link w:val="Heading6Char"/>
    <w:qFormat/>
    <w:rsid w:val="00746D76"/>
    <w:pPr>
      <w:numPr>
        <w:ilvl w:val="5"/>
        <w:numId w:val="3"/>
      </w:numPr>
      <w:spacing w:after="180" w:line="260" w:lineRule="atLeast"/>
      <w:outlineLvl w:val="5"/>
    </w:pPr>
    <w:rPr>
      <w:szCs w:val="20"/>
      <w:lang w:val="en-GB"/>
    </w:rPr>
  </w:style>
  <w:style w:type="paragraph" w:styleId="Heading7">
    <w:name w:val="heading 7"/>
    <w:basedOn w:val="Normal"/>
    <w:next w:val="Normal"/>
    <w:link w:val="Heading7Char"/>
    <w:qFormat/>
    <w:rsid w:val="000F5A53"/>
    <w:pPr>
      <w:keepNext/>
      <w:tabs>
        <w:tab w:val="left" w:pos="2835"/>
        <w:tab w:val="left" w:pos="4536"/>
        <w:tab w:val="left" w:pos="6379"/>
      </w:tabs>
      <w:outlineLvl w:val="6"/>
    </w:pPr>
    <w:rPr>
      <w:u w:val="single"/>
      <w:lang w:val="en-GB"/>
    </w:rPr>
  </w:style>
  <w:style w:type="paragraph" w:styleId="Heading8">
    <w:name w:val="heading 8"/>
    <w:basedOn w:val="Normal"/>
    <w:next w:val="Normal"/>
    <w:link w:val="Heading8Char"/>
    <w:uiPriority w:val="98"/>
    <w:qFormat/>
    <w:rsid w:val="000F5A53"/>
    <w:pPr>
      <w:spacing w:after="240"/>
      <w:outlineLvl w:val="7"/>
    </w:pPr>
    <w:rPr>
      <w:rFonts w:eastAsia="Times New Roman"/>
      <w:sz w:val="24"/>
      <w:lang w:val="en-GB"/>
    </w:rPr>
  </w:style>
  <w:style w:type="paragraph" w:styleId="Heading9">
    <w:name w:val="heading 9"/>
    <w:basedOn w:val="Normal"/>
    <w:next w:val="Normal"/>
    <w:link w:val="Heading9Char"/>
    <w:uiPriority w:val="98"/>
    <w:qFormat/>
    <w:rsid w:val="000F5A53"/>
    <w:pPr>
      <w:spacing w:after="240"/>
      <w:outlineLvl w:val="8"/>
    </w:pPr>
    <w:rPr>
      <w:rFonts w:eastAsia="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746D76"/>
    <w:pPr>
      <w:spacing w:after="200" w:line="200" w:lineRule="atLeast"/>
    </w:pPr>
    <w:rPr>
      <w:rFonts w:ascii="Arial" w:hAnsi="Arial"/>
      <w:noProof/>
      <w:sz w:val="16"/>
      <w:szCs w:val="24"/>
      <w:lang w:eastAsia="en-US"/>
    </w:rPr>
  </w:style>
  <w:style w:type="paragraph" w:customStyle="1" w:styleId="BMKCities">
    <w:name w:val="BMK Cities"/>
    <w:semiHidden/>
    <w:rsid w:val="00746D76"/>
    <w:pPr>
      <w:spacing w:before="30"/>
    </w:pPr>
    <w:rPr>
      <w:rFonts w:ascii="Arial" w:hAnsi="Arial"/>
      <w:noProof/>
      <w:spacing w:val="2"/>
      <w:sz w:val="11"/>
      <w:szCs w:val="11"/>
      <w:lang w:eastAsia="en-US"/>
    </w:rPr>
  </w:style>
  <w:style w:type="paragraph" w:customStyle="1" w:styleId="BMKDeliveryPhrase">
    <w:name w:val="BMK Delivery Phrase"/>
    <w:basedOn w:val="BMKAddressInfo"/>
    <w:semiHidden/>
    <w:rsid w:val="00746D76"/>
    <w:pPr>
      <w:framePr w:w="2943" w:h="1734" w:hRule="exact" w:wrap="around" w:vAnchor="text" w:hAnchor="page" w:x="8533" w:y="208"/>
      <w:ind w:left="57"/>
    </w:pPr>
    <w:rPr>
      <w:b/>
    </w:rPr>
  </w:style>
  <w:style w:type="paragraph" w:customStyle="1" w:styleId="BMKLegalNoticePhrase">
    <w:name w:val="BMK Legal Notice Phrase"/>
    <w:basedOn w:val="Normal"/>
    <w:semiHidden/>
    <w:rsid w:val="00746D76"/>
    <w:pPr>
      <w:spacing w:before="260" w:after="180" w:line="260" w:lineRule="atLeast"/>
    </w:pPr>
    <w:rPr>
      <w:rFonts w:ascii="Arial" w:hAnsi="Arial" w:cs="Arial"/>
      <w:b/>
      <w:caps/>
      <w:szCs w:val="22"/>
      <w:lang w:val="en-GB"/>
    </w:rPr>
  </w:style>
  <w:style w:type="paragraph" w:customStyle="1" w:styleId="BMKMemberFirmName">
    <w:name w:val="BMK Member Firm Name"/>
    <w:basedOn w:val="BMKAddressInfo"/>
    <w:next w:val="BMKAddressInfo"/>
    <w:link w:val="BMKMemberFirmNameChar"/>
    <w:semiHidden/>
    <w:rsid w:val="00746D76"/>
    <w:pPr>
      <w:spacing w:after="0"/>
    </w:pPr>
    <w:rPr>
      <w:b/>
    </w:rPr>
  </w:style>
  <w:style w:type="paragraph" w:customStyle="1" w:styleId="BMKRegions">
    <w:name w:val="BMK Regions"/>
    <w:basedOn w:val="BMKCities"/>
    <w:next w:val="BMKCities"/>
    <w:semiHidden/>
    <w:rsid w:val="00746D76"/>
    <w:pPr>
      <w:spacing w:before="0"/>
    </w:pPr>
    <w:rPr>
      <w:rFonts w:ascii="Arial Black" w:hAnsi="Arial Black"/>
      <w:szCs w:val="24"/>
    </w:rPr>
  </w:style>
  <w:style w:type="paragraph" w:customStyle="1" w:styleId="BMKMultiOffice">
    <w:name w:val="BMK Multi Office"/>
    <w:basedOn w:val="BMKRegions"/>
    <w:next w:val="Normal"/>
    <w:semiHidden/>
    <w:rsid w:val="00746D76"/>
  </w:style>
  <w:style w:type="paragraph" w:customStyle="1" w:styleId="BMKMultiOfficeAddress">
    <w:name w:val="BMK Multi Office Address"/>
    <w:basedOn w:val="BMKCities"/>
    <w:semiHidden/>
    <w:rsid w:val="00746D76"/>
  </w:style>
  <w:style w:type="paragraph" w:customStyle="1" w:styleId="BMKPartnerList">
    <w:name w:val="BMK Partner List"/>
    <w:basedOn w:val="BMKCities"/>
    <w:semiHidden/>
    <w:rsid w:val="00746D76"/>
    <w:pPr>
      <w:adjustRightInd w:val="0"/>
      <w:snapToGrid w:val="0"/>
      <w:spacing w:before="0" w:after="20"/>
    </w:pPr>
    <w:rPr>
      <w:rFonts w:cs="Arial"/>
      <w:caps/>
      <w:spacing w:val="0"/>
      <w:sz w:val="9"/>
      <w:szCs w:val="12"/>
    </w:rPr>
  </w:style>
  <w:style w:type="paragraph" w:customStyle="1" w:styleId="BMKQualifier">
    <w:name w:val="BMK Qualifier"/>
    <w:semiHidden/>
    <w:rsid w:val="00746D76"/>
    <w:pPr>
      <w:spacing w:line="170" w:lineRule="atLeast"/>
    </w:pPr>
    <w:rPr>
      <w:rFonts w:ascii="Arial" w:hAnsi="Arial"/>
      <w:caps/>
      <w:noProof/>
      <w:sz w:val="13"/>
      <w:szCs w:val="13"/>
      <w:lang w:eastAsia="en-US"/>
    </w:rPr>
  </w:style>
  <w:style w:type="paragraph" w:customStyle="1" w:styleId="BMKRefInfo">
    <w:name w:val="BMK Ref Info"/>
    <w:basedOn w:val="BMKAddressInfo"/>
    <w:semiHidden/>
    <w:rsid w:val="00746D76"/>
    <w:pPr>
      <w:framePr w:w="2943" w:h="1734" w:hRule="exact" w:wrap="around" w:vAnchor="text" w:hAnchor="page" w:x="8533" w:y="208"/>
      <w:ind w:left="57"/>
    </w:pPr>
  </w:style>
  <w:style w:type="paragraph" w:customStyle="1" w:styleId="BMKRecipient1">
    <w:name w:val="BMK Recipient1"/>
    <w:basedOn w:val="Normal"/>
    <w:semiHidden/>
    <w:rsid w:val="00746D76"/>
    <w:pPr>
      <w:spacing w:line="260" w:lineRule="atLeast"/>
    </w:pPr>
    <w:rPr>
      <w:lang w:val="en-GB"/>
    </w:rPr>
  </w:style>
  <w:style w:type="paragraph" w:styleId="Footer">
    <w:name w:val="footer"/>
    <w:aliases w:val="B&amp;B Footer"/>
    <w:basedOn w:val="Normal"/>
    <w:link w:val="FooterChar"/>
    <w:rsid w:val="00746D76"/>
    <w:pPr>
      <w:tabs>
        <w:tab w:val="right" w:pos="9350"/>
      </w:tabs>
      <w:spacing w:line="200" w:lineRule="atLeast"/>
    </w:pPr>
    <w:rPr>
      <w:rFonts w:ascii="Arial" w:hAnsi="Arial"/>
      <w:noProof/>
      <w:sz w:val="16"/>
      <w:lang w:val="en-GB"/>
    </w:rPr>
  </w:style>
  <w:style w:type="character" w:styleId="FootnoteReference">
    <w:name w:val="footnote reference"/>
    <w:uiPriority w:val="6"/>
    <w:rsid w:val="00746D76"/>
    <w:rPr>
      <w:vertAlign w:val="superscript"/>
    </w:rPr>
  </w:style>
  <w:style w:type="paragraph" w:styleId="Header">
    <w:name w:val="header"/>
    <w:aliases w:val="B&amp;B Header"/>
    <w:basedOn w:val="Normal"/>
    <w:link w:val="HeaderChar"/>
    <w:rsid w:val="00746D76"/>
    <w:rPr>
      <w:lang w:val="en-GB"/>
    </w:rPr>
  </w:style>
  <w:style w:type="paragraph" w:styleId="ListNumber">
    <w:name w:val="List Number"/>
    <w:basedOn w:val="Normal"/>
    <w:uiPriority w:val="7"/>
    <w:qFormat/>
    <w:rsid w:val="00746D76"/>
    <w:pPr>
      <w:numPr>
        <w:numId w:val="4"/>
      </w:numPr>
      <w:spacing w:after="180" w:line="260" w:lineRule="atLeast"/>
    </w:pPr>
    <w:rPr>
      <w:lang w:val="en-GB"/>
    </w:rPr>
  </w:style>
  <w:style w:type="paragraph" w:styleId="FootnoteText">
    <w:name w:val="footnote text"/>
    <w:basedOn w:val="Normal"/>
    <w:link w:val="FootnoteTextChar"/>
    <w:uiPriority w:val="6"/>
    <w:rsid w:val="00746D76"/>
    <w:rPr>
      <w:sz w:val="18"/>
      <w:szCs w:val="20"/>
      <w:lang w:val="en-GB"/>
    </w:rPr>
  </w:style>
  <w:style w:type="paragraph" w:customStyle="1" w:styleId="Bullet1">
    <w:name w:val="Bullet 1"/>
    <w:basedOn w:val="Normal"/>
    <w:uiPriority w:val="8"/>
    <w:qFormat/>
    <w:rsid w:val="00746D76"/>
    <w:pPr>
      <w:numPr>
        <w:numId w:val="1"/>
      </w:numPr>
      <w:spacing w:after="180" w:line="260" w:lineRule="atLeast"/>
    </w:pPr>
    <w:rPr>
      <w:lang w:val="en-GB"/>
    </w:rPr>
  </w:style>
  <w:style w:type="paragraph" w:customStyle="1" w:styleId="BMKSubject">
    <w:name w:val="BMK Subject"/>
    <w:basedOn w:val="Normal"/>
    <w:semiHidden/>
    <w:rsid w:val="00746D76"/>
    <w:pPr>
      <w:spacing w:line="260" w:lineRule="atLeast"/>
    </w:pPr>
    <w:rPr>
      <w:rFonts w:ascii="Arial" w:hAnsi="Arial" w:cs="Arial"/>
      <w:b/>
      <w:bCs/>
      <w:lang w:val="en-GB"/>
    </w:rPr>
  </w:style>
  <w:style w:type="character" w:customStyle="1" w:styleId="BMKAddressInfoChar">
    <w:name w:val="BMK Address Info Char"/>
    <w:link w:val="BMKAddressInfo"/>
    <w:semiHidden/>
    <w:rsid w:val="00746D76"/>
    <w:rPr>
      <w:rFonts w:ascii="Arial" w:hAnsi="Arial"/>
      <w:noProof/>
      <w:sz w:val="16"/>
      <w:szCs w:val="24"/>
      <w:lang w:eastAsia="en-US"/>
    </w:rPr>
  </w:style>
  <w:style w:type="paragraph" w:customStyle="1" w:styleId="BMKPrivacyText">
    <w:name w:val="BMK Privacy Text"/>
    <w:basedOn w:val="Footer"/>
    <w:link w:val="BMKPrivacyTextChar"/>
    <w:semiHidden/>
    <w:rsid w:val="00746D76"/>
  </w:style>
  <w:style w:type="paragraph" w:customStyle="1" w:styleId="OtherContact">
    <w:name w:val="OtherContact"/>
    <w:basedOn w:val="Normal"/>
    <w:semiHidden/>
    <w:rsid w:val="00746D76"/>
    <w:rPr>
      <w:rFonts w:ascii="Arial" w:hAnsi="Arial" w:cs="Arial"/>
      <w:sz w:val="16"/>
      <w:lang w:val="en-GB"/>
    </w:rPr>
  </w:style>
  <w:style w:type="paragraph" w:customStyle="1" w:styleId="Bullet2">
    <w:name w:val="Bullet 2"/>
    <w:basedOn w:val="Normal"/>
    <w:uiPriority w:val="8"/>
    <w:qFormat/>
    <w:rsid w:val="00746D76"/>
    <w:pPr>
      <w:numPr>
        <w:numId w:val="2"/>
      </w:numPr>
      <w:spacing w:line="260" w:lineRule="atLeast"/>
    </w:pPr>
    <w:rPr>
      <w:lang w:val="en-GB"/>
    </w:rPr>
  </w:style>
  <w:style w:type="character" w:customStyle="1" w:styleId="Definition">
    <w:name w:val="Definition"/>
    <w:basedOn w:val="DefaultParagraphFont"/>
    <w:uiPriority w:val="3"/>
    <w:rsid w:val="00746D76"/>
    <w:rPr>
      <w:b/>
      <w:i/>
      <w:sz w:val="22"/>
    </w:rPr>
  </w:style>
  <w:style w:type="character" w:styleId="PageNumber">
    <w:name w:val="page number"/>
    <w:basedOn w:val="DefaultParagraphFont"/>
    <w:rsid w:val="00746D76"/>
  </w:style>
  <w:style w:type="paragraph" w:customStyle="1" w:styleId="LetterDetail">
    <w:name w:val="LetterDetail"/>
    <w:basedOn w:val="Normal"/>
    <w:semiHidden/>
    <w:rsid w:val="00746D76"/>
    <w:pPr>
      <w:spacing w:line="260" w:lineRule="atLeast"/>
    </w:pPr>
    <w:rPr>
      <w:lang w:val="en-GB"/>
    </w:rPr>
  </w:style>
  <w:style w:type="paragraph" w:customStyle="1" w:styleId="BMKLetterCaption">
    <w:name w:val="BMK LetterCaption"/>
    <w:basedOn w:val="BMKLegalNoticePhrase"/>
    <w:next w:val="NormalSingle"/>
    <w:semiHidden/>
    <w:rsid w:val="00746D76"/>
    <w:pPr>
      <w:spacing w:before="0"/>
    </w:pPr>
  </w:style>
  <w:style w:type="paragraph" w:customStyle="1" w:styleId="BMKco-brand">
    <w:name w:val="BMK co-brand"/>
    <w:semiHidden/>
    <w:rsid w:val="00746D76"/>
    <w:pPr>
      <w:spacing w:line="170" w:lineRule="atLeast"/>
    </w:pPr>
    <w:rPr>
      <w:rFonts w:ascii="Arial" w:eastAsia="Times New Roman" w:hAnsi="Arial"/>
      <w:caps/>
      <w:sz w:val="13"/>
      <w:lang w:val="en-US" w:eastAsia="en-US"/>
    </w:rPr>
  </w:style>
  <w:style w:type="character" w:customStyle="1" w:styleId="Highlight">
    <w:name w:val="Highlight"/>
    <w:semiHidden/>
    <w:rsid w:val="00746D76"/>
    <w:rPr>
      <w:rFonts w:ascii="Arial" w:hAnsi="Arial"/>
      <w:b/>
    </w:rPr>
  </w:style>
  <w:style w:type="paragraph" w:customStyle="1" w:styleId="TableText">
    <w:name w:val="Table Text"/>
    <w:basedOn w:val="Normal"/>
    <w:link w:val="TableTextChar"/>
    <w:uiPriority w:val="6"/>
    <w:rsid w:val="00746D76"/>
    <w:pPr>
      <w:tabs>
        <w:tab w:val="right" w:pos="9072"/>
      </w:tabs>
      <w:spacing w:after="180" w:line="260" w:lineRule="atLeast"/>
    </w:pPr>
    <w:rPr>
      <w:lang w:val="en-GB"/>
    </w:rPr>
  </w:style>
  <w:style w:type="paragraph" w:customStyle="1" w:styleId="TableHeading">
    <w:name w:val="Table Heading"/>
    <w:basedOn w:val="Normal"/>
    <w:link w:val="TableHeadingChar"/>
    <w:uiPriority w:val="8"/>
    <w:rsid w:val="00746D76"/>
    <w:pPr>
      <w:tabs>
        <w:tab w:val="right" w:pos="9072"/>
      </w:tabs>
      <w:spacing w:after="180" w:line="260" w:lineRule="atLeast"/>
    </w:pPr>
    <w:rPr>
      <w:rFonts w:ascii="Arial" w:hAnsi="Arial"/>
      <w:b/>
      <w:sz w:val="20"/>
      <w:lang w:val="en-GB"/>
    </w:rPr>
  </w:style>
  <w:style w:type="paragraph" w:styleId="ListNumber2">
    <w:name w:val="List Number 2"/>
    <w:basedOn w:val="Normal"/>
    <w:uiPriority w:val="7"/>
    <w:qFormat/>
    <w:rsid w:val="00746D76"/>
    <w:pPr>
      <w:numPr>
        <w:ilvl w:val="1"/>
        <w:numId w:val="4"/>
      </w:numPr>
      <w:spacing w:after="180" w:line="260" w:lineRule="atLeast"/>
    </w:pPr>
    <w:rPr>
      <w:lang w:val="en-GB"/>
    </w:rPr>
  </w:style>
  <w:style w:type="paragraph" w:styleId="ListNumber3">
    <w:name w:val="List Number 3"/>
    <w:basedOn w:val="Normal"/>
    <w:uiPriority w:val="7"/>
    <w:qFormat/>
    <w:rsid w:val="00746D76"/>
    <w:pPr>
      <w:numPr>
        <w:ilvl w:val="2"/>
        <w:numId w:val="4"/>
      </w:numPr>
      <w:spacing w:after="180" w:line="260" w:lineRule="atLeast"/>
    </w:pPr>
    <w:rPr>
      <w:lang w:val="en-GB"/>
    </w:rPr>
  </w:style>
  <w:style w:type="paragraph" w:styleId="ListNumber4">
    <w:name w:val="List Number 4"/>
    <w:basedOn w:val="Normal"/>
    <w:uiPriority w:val="7"/>
    <w:qFormat/>
    <w:rsid w:val="00746D76"/>
    <w:pPr>
      <w:numPr>
        <w:ilvl w:val="3"/>
        <w:numId w:val="4"/>
      </w:numPr>
      <w:spacing w:after="180" w:line="260" w:lineRule="atLeast"/>
    </w:pPr>
    <w:rPr>
      <w:lang w:val="en-GB"/>
    </w:rPr>
  </w:style>
  <w:style w:type="paragraph" w:styleId="BodyText">
    <w:name w:val="Body Text"/>
    <w:aliases w:val="B&amp;B Body Text"/>
    <w:basedOn w:val="Normal"/>
    <w:link w:val="BodyTextChar"/>
    <w:qFormat/>
    <w:rsid w:val="00746D76"/>
    <w:pPr>
      <w:spacing w:after="180" w:line="260" w:lineRule="atLeast"/>
    </w:pPr>
    <w:rPr>
      <w:lang w:val="en-GB"/>
    </w:rPr>
  </w:style>
  <w:style w:type="paragraph" w:customStyle="1" w:styleId="NormalSingle">
    <w:name w:val="Normal Single"/>
    <w:basedOn w:val="Normal"/>
    <w:uiPriority w:val="6"/>
    <w:semiHidden/>
    <w:rsid w:val="00746D76"/>
    <w:pPr>
      <w:spacing w:line="0" w:lineRule="atLeast"/>
    </w:pPr>
    <w:rPr>
      <w:rFonts w:eastAsia="Times New Roman"/>
      <w:lang w:val="en-GB"/>
    </w:rPr>
  </w:style>
  <w:style w:type="character" w:styleId="Emphasis">
    <w:name w:val="Emphasis"/>
    <w:qFormat/>
    <w:rsid w:val="00746D76"/>
    <w:rPr>
      <w:i/>
      <w:iCs/>
    </w:rPr>
  </w:style>
  <w:style w:type="character" w:customStyle="1" w:styleId="BMKMemberFirmNameChar">
    <w:name w:val="BMK Member Firm Name Char"/>
    <w:link w:val="BMKMemberFirmName"/>
    <w:semiHidden/>
    <w:rsid w:val="00746D76"/>
    <w:rPr>
      <w:rFonts w:ascii="Arial" w:hAnsi="Arial"/>
      <w:b/>
      <w:noProof/>
      <w:sz w:val="16"/>
      <w:szCs w:val="24"/>
      <w:lang w:eastAsia="en-US"/>
    </w:rPr>
  </w:style>
  <w:style w:type="paragraph" w:customStyle="1" w:styleId="BMKAddressInfoHK">
    <w:name w:val="BMK Address Info HK"/>
    <w:semiHidden/>
    <w:rsid w:val="00746D76"/>
    <w:pPr>
      <w:spacing w:after="200" w:line="200" w:lineRule="atLeast"/>
    </w:pPr>
    <w:rPr>
      <w:rFonts w:ascii="Arial" w:hAnsi="Arial"/>
      <w:noProof/>
      <w:sz w:val="16"/>
      <w:szCs w:val="32"/>
      <w:lang w:val="en-US"/>
    </w:rPr>
  </w:style>
  <w:style w:type="paragraph" w:customStyle="1" w:styleId="BMKDocumentNameHK">
    <w:name w:val="BMK Document Name HK"/>
    <w:basedOn w:val="BMKAddressInfoHK"/>
    <w:next w:val="BMKMemberFirmName"/>
    <w:semiHidden/>
    <w:rsid w:val="00746D76"/>
    <w:rPr>
      <w:rFonts w:ascii="Arial Black" w:hAnsi="Arial Black"/>
      <w:sz w:val="18"/>
    </w:rPr>
  </w:style>
  <w:style w:type="paragraph" w:customStyle="1" w:styleId="BMKPartnerListHK">
    <w:name w:val="BMKPartnerListHK"/>
    <w:basedOn w:val="Normal"/>
    <w:semiHidden/>
    <w:rsid w:val="00746D76"/>
    <w:pPr>
      <w:spacing w:before="20"/>
    </w:pPr>
    <w:rPr>
      <w:rFonts w:ascii="Arial" w:hAnsi="Arial"/>
      <w:caps/>
      <w:noProof/>
      <w:sz w:val="9"/>
      <w:szCs w:val="9"/>
      <w:lang w:val="en-GB"/>
    </w:rPr>
  </w:style>
  <w:style w:type="character" w:customStyle="1" w:styleId="FooterChar">
    <w:name w:val="Footer Char"/>
    <w:aliases w:val="B&amp;B Footer Char"/>
    <w:link w:val="Footer"/>
    <w:rsid w:val="00746D76"/>
    <w:rPr>
      <w:rFonts w:ascii="Arial" w:hAnsi="Arial"/>
      <w:noProof/>
      <w:sz w:val="16"/>
      <w:szCs w:val="24"/>
      <w:lang w:eastAsia="en-US"/>
    </w:rPr>
  </w:style>
  <w:style w:type="paragraph" w:customStyle="1" w:styleId="BMKDocumentName">
    <w:name w:val="BMK Document Name"/>
    <w:basedOn w:val="Normal"/>
    <w:next w:val="Normal"/>
    <w:semiHidden/>
    <w:rsid w:val="00746D76"/>
    <w:pPr>
      <w:tabs>
        <w:tab w:val="left" w:pos="2761"/>
        <w:tab w:val="left" w:pos="3470"/>
        <w:tab w:val="left" w:pos="4179"/>
        <w:tab w:val="left" w:pos="4888"/>
        <w:tab w:val="right" w:pos="9849"/>
      </w:tabs>
      <w:spacing w:after="200" w:line="200" w:lineRule="atLeast"/>
    </w:pPr>
    <w:rPr>
      <w:rFonts w:ascii="Arial Black" w:hAnsi="Arial Black"/>
      <w:noProof/>
      <w:sz w:val="18"/>
      <w:lang w:val="en-GB"/>
    </w:rPr>
  </w:style>
  <w:style w:type="paragraph" w:customStyle="1" w:styleId="BMKHeaderLogoSHI">
    <w:name w:val="BMKHeaderLogoSHI"/>
    <w:semiHidden/>
    <w:rsid w:val="00746D76"/>
    <w:pPr>
      <w:tabs>
        <w:tab w:val="left" w:pos="709"/>
        <w:tab w:val="left" w:pos="1418"/>
        <w:tab w:val="left" w:pos="2126"/>
        <w:tab w:val="left" w:pos="2835"/>
        <w:tab w:val="right" w:pos="7876"/>
      </w:tabs>
      <w:spacing w:after="140" w:line="260" w:lineRule="atLeast"/>
    </w:pPr>
    <w:rPr>
      <w:sz w:val="22"/>
      <w:szCs w:val="24"/>
      <w:lang w:eastAsia="en-US"/>
    </w:rPr>
  </w:style>
  <w:style w:type="paragraph" w:customStyle="1" w:styleId="BMKPrivacyTitle">
    <w:name w:val="BMK Privacy Title"/>
    <w:basedOn w:val="Normal"/>
    <w:semiHidden/>
    <w:rsid w:val="00746D76"/>
    <w:pPr>
      <w:spacing w:before="260" w:after="140" w:line="240" w:lineRule="atLeast"/>
    </w:pPr>
    <w:rPr>
      <w:rFonts w:ascii="Arial Black" w:hAnsi="Arial Black"/>
      <w:sz w:val="18"/>
      <w:lang w:val="en-GB"/>
    </w:rPr>
  </w:style>
  <w:style w:type="character" w:customStyle="1" w:styleId="BMKPrivacyTextChar">
    <w:name w:val="BMK Privacy Text Char"/>
    <w:link w:val="BMKPrivacyText"/>
    <w:semiHidden/>
    <w:rsid w:val="00746D76"/>
    <w:rPr>
      <w:rFonts w:ascii="Arial" w:hAnsi="Arial"/>
      <w:noProof/>
      <w:sz w:val="16"/>
      <w:szCs w:val="24"/>
      <w:lang w:eastAsia="en-US"/>
    </w:rPr>
  </w:style>
  <w:style w:type="paragraph" w:styleId="BodyTextFirstIndent">
    <w:name w:val="Body Text First Indent"/>
    <w:basedOn w:val="BodyText"/>
    <w:link w:val="BodyTextFirstIndentChar"/>
    <w:uiPriority w:val="6"/>
    <w:rsid w:val="00746D76"/>
    <w:pPr>
      <w:spacing w:after="120" w:line="240" w:lineRule="auto"/>
      <w:ind w:firstLine="210"/>
    </w:pPr>
  </w:style>
  <w:style w:type="paragraph" w:customStyle="1" w:styleId="FooterIndent">
    <w:name w:val="Footer Indent"/>
    <w:basedOn w:val="Footer"/>
    <w:semiHidden/>
    <w:rsid w:val="00746D76"/>
    <w:pPr>
      <w:ind w:left="1208"/>
    </w:pPr>
  </w:style>
  <w:style w:type="paragraph" w:customStyle="1" w:styleId="BMKCitiesSpace">
    <w:name w:val="BMK Cities Space"/>
    <w:basedOn w:val="BMKCities"/>
    <w:semiHidden/>
    <w:rsid w:val="00746D76"/>
    <w:pPr>
      <w:spacing w:before="0"/>
    </w:pPr>
  </w:style>
  <w:style w:type="character" w:styleId="Hyperlink">
    <w:name w:val="Hyperlink"/>
    <w:uiPriority w:val="6"/>
    <w:rsid w:val="00746D76"/>
    <w:rPr>
      <w:color w:val="0000FF"/>
      <w:u w:val="single"/>
    </w:rPr>
  </w:style>
  <w:style w:type="paragraph" w:customStyle="1" w:styleId="BMKSalutation">
    <w:name w:val="BMK Salutation"/>
    <w:basedOn w:val="Normal"/>
    <w:semiHidden/>
    <w:rsid w:val="00746D76"/>
    <w:pPr>
      <w:spacing w:line="260" w:lineRule="atLeast"/>
    </w:pPr>
    <w:rPr>
      <w:lang w:val="en-GB"/>
    </w:rPr>
  </w:style>
  <w:style w:type="paragraph" w:customStyle="1" w:styleId="BMKDate">
    <w:name w:val="BMKDate"/>
    <w:basedOn w:val="Normal"/>
    <w:semiHidden/>
    <w:rsid w:val="00746D76"/>
    <w:pPr>
      <w:spacing w:line="260" w:lineRule="atLeast"/>
    </w:pPr>
    <w:rPr>
      <w:lang w:val="en-GB"/>
    </w:rPr>
  </w:style>
  <w:style w:type="paragraph" w:customStyle="1" w:styleId="BMKAddress1">
    <w:name w:val="BMK Address1"/>
    <w:basedOn w:val="Normal"/>
    <w:semiHidden/>
    <w:rsid w:val="00746D76"/>
    <w:pPr>
      <w:spacing w:line="260" w:lineRule="atLeast"/>
    </w:pPr>
    <w:rPr>
      <w:lang w:val="en-GB"/>
    </w:rPr>
  </w:style>
  <w:style w:type="paragraph" w:customStyle="1" w:styleId="BMKAttention">
    <w:name w:val="BMK Attention"/>
    <w:basedOn w:val="Normal"/>
    <w:semiHidden/>
    <w:rsid w:val="00746D76"/>
    <w:pPr>
      <w:spacing w:line="260" w:lineRule="atLeast"/>
    </w:pPr>
    <w:rPr>
      <w:lang w:val="en-GB"/>
    </w:rPr>
  </w:style>
  <w:style w:type="paragraph" w:customStyle="1" w:styleId="BMKSubtitle">
    <w:name w:val="BMK Subtitle"/>
    <w:basedOn w:val="Normal"/>
    <w:next w:val="BodyText"/>
    <w:semiHidden/>
    <w:rsid w:val="00746D76"/>
    <w:pPr>
      <w:spacing w:after="180" w:line="260" w:lineRule="atLeast"/>
    </w:pPr>
    <w:rPr>
      <w:rFonts w:ascii="Arial" w:eastAsia="Times New Roman" w:hAnsi="Arial"/>
      <w:sz w:val="32"/>
      <w:lang w:val="en-GB"/>
    </w:rPr>
  </w:style>
  <w:style w:type="paragraph" w:customStyle="1" w:styleId="BMKTitle">
    <w:name w:val="BMK Title"/>
    <w:basedOn w:val="Normal"/>
    <w:next w:val="BodyText"/>
    <w:semiHidden/>
    <w:rsid w:val="00746D76"/>
    <w:pPr>
      <w:spacing w:after="180" w:line="260" w:lineRule="atLeast"/>
    </w:pPr>
    <w:rPr>
      <w:rFonts w:ascii="Arial" w:eastAsia="Times New Roman" w:hAnsi="Arial"/>
      <w:sz w:val="48"/>
      <w:lang w:val="en-GB"/>
    </w:rPr>
  </w:style>
  <w:style w:type="character" w:styleId="BookTitle">
    <w:name w:val="Book Title"/>
    <w:basedOn w:val="DefaultParagraphFont"/>
    <w:uiPriority w:val="33"/>
    <w:rsid w:val="00746D76"/>
    <w:rPr>
      <w:b/>
      <w:bCs/>
      <w:smallCaps/>
      <w:spacing w:val="5"/>
    </w:rPr>
  </w:style>
  <w:style w:type="character" w:styleId="Strong">
    <w:name w:val="Strong"/>
    <w:basedOn w:val="DefaultParagraphFont"/>
    <w:qFormat/>
    <w:rsid w:val="00746D76"/>
    <w:rPr>
      <w:b/>
      <w:bCs/>
    </w:rPr>
  </w:style>
  <w:style w:type="character" w:styleId="SubtleEmphasis">
    <w:name w:val="Subtle Emphasis"/>
    <w:basedOn w:val="DefaultParagraphFont"/>
    <w:uiPriority w:val="19"/>
    <w:qFormat/>
    <w:rsid w:val="00746D76"/>
    <w:rPr>
      <w:i/>
      <w:iCs/>
      <w:color w:val="9E9FA2" w:themeColor="text1" w:themeTint="7F"/>
    </w:rPr>
  </w:style>
  <w:style w:type="character" w:styleId="SubtleReference">
    <w:name w:val="Subtle Reference"/>
    <w:basedOn w:val="DefaultParagraphFont"/>
    <w:uiPriority w:val="31"/>
    <w:qFormat/>
    <w:rsid w:val="00746D76"/>
    <w:rPr>
      <w:smallCaps/>
      <w:color w:val="EBB700" w:themeColor="accent2"/>
      <w:u w:val="single"/>
    </w:rPr>
  </w:style>
  <w:style w:type="paragraph" w:styleId="NoSpacing">
    <w:name w:val="No Spacing"/>
    <w:uiPriority w:val="6"/>
    <w:qFormat/>
    <w:rsid w:val="00746D76"/>
    <w:pPr>
      <w:tabs>
        <w:tab w:val="left" w:pos="709"/>
        <w:tab w:val="left" w:pos="1418"/>
        <w:tab w:val="left" w:pos="2126"/>
        <w:tab w:val="left" w:pos="2835"/>
        <w:tab w:val="right" w:pos="7876"/>
      </w:tabs>
    </w:pPr>
    <w:rPr>
      <w:sz w:val="22"/>
      <w:szCs w:val="24"/>
      <w:lang w:val="en-US" w:eastAsia="en-US"/>
    </w:rPr>
  </w:style>
  <w:style w:type="character" w:styleId="IntenseEmphasis">
    <w:name w:val="Intense Emphasis"/>
    <w:basedOn w:val="DefaultParagraphFont"/>
    <w:uiPriority w:val="21"/>
    <w:qFormat/>
    <w:rsid w:val="00746D76"/>
    <w:rPr>
      <w:b/>
      <w:bCs/>
      <w:i/>
      <w:iCs/>
      <w:color w:val="A71930" w:themeColor="accent1"/>
    </w:rPr>
  </w:style>
  <w:style w:type="paragraph" w:styleId="IntenseQuote">
    <w:name w:val="Intense Quote"/>
    <w:basedOn w:val="Normal"/>
    <w:next w:val="Normal"/>
    <w:link w:val="IntenseQuoteChar"/>
    <w:uiPriority w:val="30"/>
    <w:qFormat/>
    <w:rsid w:val="00746D76"/>
    <w:pPr>
      <w:pBdr>
        <w:bottom w:val="single" w:sz="4" w:space="4" w:color="A71930" w:themeColor="accent1"/>
      </w:pBdr>
      <w:spacing w:before="200" w:after="280"/>
      <w:ind w:left="936" w:right="936"/>
    </w:pPr>
    <w:rPr>
      <w:b/>
      <w:bCs/>
      <w:i/>
      <w:iCs/>
      <w:color w:val="A71930" w:themeColor="accent1"/>
      <w:lang w:val="en-GB"/>
    </w:rPr>
  </w:style>
  <w:style w:type="character" w:customStyle="1" w:styleId="IntenseQuoteChar">
    <w:name w:val="Intense Quote Char"/>
    <w:basedOn w:val="DefaultParagraphFont"/>
    <w:link w:val="IntenseQuote"/>
    <w:uiPriority w:val="30"/>
    <w:rsid w:val="00746D76"/>
    <w:rPr>
      <w:b/>
      <w:bCs/>
      <w:i/>
      <w:iCs/>
      <w:color w:val="A71930" w:themeColor="accent1"/>
      <w:sz w:val="22"/>
      <w:szCs w:val="24"/>
      <w:lang w:eastAsia="en-US"/>
    </w:rPr>
  </w:style>
  <w:style w:type="paragraph" w:styleId="Quote">
    <w:name w:val="Quote"/>
    <w:basedOn w:val="Normal"/>
    <w:next w:val="Normal"/>
    <w:link w:val="QuoteChar"/>
    <w:uiPriority w:val="29"/>
    <w:qFormat/>
    <w:rsid w:val="00746D76"/>
    <w:rPr>
      <w:i/>
      <w:iCs/>
      <w:color w:val="404143" w:themeColor="text1"/>
      <w:lang w:val="en-GB"/>
    </w:rPr>
  </w:style>
  <w:style w:type="character" w:customStyle="1" w:styleId="QuoteChar">
    <w:name w:val="Quote Char"/>
    <w:basedOn w:val="DefaultParagraphFont"/>
    <w:link w:val="Quote"/>
    <w:uiPriority w:val="29"/>
    <w:rsid w:val="00746D76"/>
    <w:rPr>
      <w:i/>
      <w:iCs/>
      <w:color w:val="404143" w:themeColor="text1"/>
      <w:sz w:val="22"/>
      <w:szCs w:val="24"/>
      <w:lang w:eastAsia="en-US"/>
    </w:rPr>
  </w:style>
  <w:style w:type="character" w:styleId="IntenseReference">
    <w:name w:val="Intense Reference"/>
    <w:basedOn w:val="DefaultParagraphFont"/>
    <w:uiPriority w:val="32"/>
    <w:qFormat/>
    <w:rsid w:val="00746D76"/>
    <w:rPr>
      <w:b/>
      <w:bCs/>
      <w:smallCaps/>
      <w:color w:val="EBB700" w:themeColor="accent2"/>
      <w:spacing w:val="5"/>
      <w:u w:val="single"/>
    </w:rPr>
  </w:style>
  <w:style w:type="paragraph" w:styleId="ListParagraph">
    <w:name w:val="List Paragraph"/>
    <w:basedOn w:val="Normal"/>
    <w:uiPriority w:val="34"/>
    <w:qFormat/>
    <w:rsid w:val="00746D76"/>
    <w:pPr>
      <w:ind w:left="720"/>
      <w:contextualSpacing/>
    </w:pPr>
    <w:rPr>
      <w:lang w:val="en-GB"/>
    </w:rPr>
  </w:style>
  <w:style w:type="paragraph" w:customStyle="1" w:styleId="SubHeading">
    <w:name w:val="Sub Heading"/>
    <w:basedOn w:val="Normal"/>
    <w:next w:val="BodyText"/>
    <w:link w:val="SubHeadingChar"/>
    <w:rsid w:val="00746D76"/>
    <w:pPr>
      <w:keepNext/>
      <w:spacing w:after="180" w:line="260" w:lineRule="atLeast"/>
    </w:pPr>
    <w:rPr>
      <w:rFonts w:ascii="Arial" w:hAnsi="Arial"/>
      <w:b/>
      <w:szCs w:val="20"/>
      <w:lang w:val="en-GB"/>
    </w:rPr>
  </w:style>
  <w:style w:type="paragraph" w:customStyle="1" w:styleId="Da">
    <w:name w:val="D(a)"/>
    <w:basedOn w:val="Normal"/>
    <w:uiPriority w:val="4"/>
    <w:rsid w:val="00746D76"/>
    <w:pPr>
      <w:numPr>
        <w:ilvl w:val="1"/>
        <w:numId w:val="6"/>
      </w:numPr>
      <w:spacing w:after="180" w:line="260" w:lineRule="atLeast"/>
    </w:pPr>
    <w:rPr>
      <w:szCs w:val="20"/>
      <w:lang w:val="en-GB"/>
    </w:rPr>
  </w:style>
  <w:style w:type="paragraph" w:customStyle="1" w:styleId="DA0">
    <w:name w:val="D(A)"/>
    <w:basedOn w:val="Normal"/>
    <w:uiPriority w:val="6"/>
    <w:rsid w:val="00746D76"/>
    <w:pPr>
      <w:numPr>
        <w:ilvl w:val="3"/>
        <w:numId w:val="6"/>
      </w:numPr>
      <w:spacing w:after="180" w:line="260" w:lineRule="atLeast"/>
    </w:pPr>
    <w:rPr>
      <w:szCs w:val="20"/>
      <w:lang w:val="en-GB"/>
    </w:rPr>
  </w:style>
  <w:style w:type="paragraph" w:customStyle="1" w:styleId="Di">
    <w:name w:val="D(i)"/>
    <w:basedOn w:val="Normal"/>
    <w:uiPriority w:val="5"/>
    <w:rsid w:val="00746D76"/>
    <w:pPr>
      <w:numPr>
        <w:ilvl w:val="2"/>
        <w:numId w:val="6"/>
      </w:numPr>
      <w:spacing w:after="180" w:line="260" w:lineRule="atLeast"/>
    </w:pPr>
    <w:rPr>
      <w:szCs w:val="20"/>
      <w:lang w:val="en-GB"/>
    </w:rPr>
  </w:style>
  <w:style w:type="paragraph" w:customStyle="1" w:styleId="DefinitionParagraph">
    <w:name w:val="Definition Paragraph"/>
    <w:basedOn w:val="Normal"/>
    <w:uiPriority w:val="2"/>
    <w:rsid w:val="00746D76"/>
    <w:pPr>
      <w:numPr>
        <w:numId w:val="6"/>
      </w:numPr>
      <w:spacing w:after="180" w:line="260" w:lineRule="atLeast"/>
    </w:pPr>
    <w:rPr>
      <w:szCs w:val="20"/>
      <w:lang w:val="en-GB"/>
    </w:rPr>
  </w:style>
  <w:style w:type="paragraph" w:customStyle="1" w:styleId="SchH10">
    <w:name w:val="SchH1"/>
    <w:basedOn w:val="Normal"/>
    <w:next w:val="BodyText"/>
    <w:uiPriority w:val="6"/>
    <w:rsid w:val="00746D76"/>
    <w:pPr>
      <w:keepNext/>
      <w:numPr>
        <w:numId w:val="5"/>
      </w:numPr>
      <w:spacing w:after="180" w:line="260" w:lineRule="atLeast"/>
    </w:pPr>
    <w:rPr>
      <w:rFonts w:ascii="Arial" w:hAnsi="Arial"/>
      <w:b/>
      <w:szCs w:val="20"/>
      <w:lang w:val="en-GB"/>
    </w:rPr>
  </w:style>
  <w:style w:type="paragraph" w:customStyle="1" w:styleId="SchH20">
    <w:name w:val="SchH2"/>
    <w:basedOn w:val="Normal"/>
    <w:next w:val="BodyText"/>
    <w:uiPriority w:val="6"/>
    <w:rsid w:val="00746D76"/>
    <w:pPr>
      <w:keepNext/>
      <w:numPr>
        <w:ilvl w:val="1"/>
        <w:numId w:val="5"/>
      </w:numPr>
      <w:spacing w:after="180" w:line="260" w:lineRule="atLeast"/>
    </w:pPr>
    <w:rPr>
      <w:rFonts w:ascii="Arial" w:hAnsi="Arial"/>
      <w:b/>
      <w:szCs w:val="20"/>
      <w:lang w:val="en-GB"/>
    </w:rPr>
  </w:style>
  <w:style w:type="paragraph" w:customStyle="1" w:styleId="SchH30">
    <w:name w:val="SchH3"/>
    <w:basedOn w:val="Normal"/>
    <w:uiPriority w:val="6"/>
    <w:rsid w:val="00746D76"/>
    <w:pPr>
      <w:numPr>
        <w:ilvl w:val="2"/>
        <w:numId w:val="5"/>
      </w:numPr>
      <w:spacing w:after="180" w:line="260" w:lineRule="atLeast"/>
    </w:pPr>
    <w:rPr>
      <w:szCs w:val="20"/>
      <w:lang w:val="en-GB"/>
    </w:rPr>
  </w:style>
  <w:style w:type="paragraph" w:customStyle="1" w:styleId="SchH40">
    <w:name w:val="SchH4"/>
    <w:basedOn w:val="Normal"/>
    <w:uiPriority w:val="6"/>
    <w:rsid w:val="00746D76"/>
    <w:pPr>
      <w:numPr>
        <w:ilvl w:val="3"/>
        <w:numId w:val="5"/>
      </w:numPr>
      <w:spacing w:after="180" w:line="260" w:lineRule="atLeast"/>
    </w:pPr>
    <w:rPr>
      <w:szCs w:val="20"/>
      <w:lang w:val="en-GB"/>
    </w:rPr>
  </w:style>
  <w:style w:type="paragraph" w:customStyle="1" w:styleId="SchH50">
    <w:name w:val="SchH5"/>
    <w:basedOn w:val="Normal"/>
    <w:uiPriority w:val="6"/>
    <w:rsid w:val="00746D76"/>
    <w:pPr>
      <w:numPr>
        <w:ilvl w:val="4"/>
        <w:numId w:val="5"/>
      </w:numPr>
      <w:spacing w:after="180" w:line="260" w:lineRule="atLeast"/>
    </w:pPr>
    <w:rPr>
      <w:szCs w:val="20"/>
      <w:lang w:val="en-GB"/>
    </w:rPr>
  </w:style>
  <w:style w:type="paragraph" w:customStyle="1" w:styleId="SchH60">
    <w:name w:val="SchH6"/>
    <w:basedOn w:val="Normal"/>
    <w:uiPriority w:val="6"/>
    <w:rsid w:val="00746D76"/>
    <w:pPr>
      <w:numPr>
        <w:ilvl w:val="5"/>
        <w:numId w:val="5"/>
      </w:numPr>
      <w:spacing w:after="180" w:line="260" w:lineRule="atLeast"/>
    </w:pPr>
    <w:rPr>
      <w:szCs w:val="20"/>
      <w:lang w:val="en-GB"/>
    </w:rPr>
  </w:style>
  <w:style w:type="paragraph" w:customStyle="1" w:styleId="SchSH">
    <w:name w:val="SchSH"/>
    <w:basedOn w:val="Normal"/>
    <w:next w:val="BodyText"/>
    <w:uiPriority w:val="6"/>
    <w:rsid w:val="00746D76"/>
    <w:pPr>
      <w:keepNext/>
      <w:spacing w:after="180" w:line="260" w:lineRule="atLeast"/>
    </w:pPr>
    <w:rPr>
      <w:rFonts w:ascii="Arial" w:hAnsi="Arial"/>
      <w:b/>
      <w:szCs w:val="20"/>
      <w:lang w:val="en-GB"/>
    </w:rPr>
  </w:style>
  <w:style w:type="paragraph" w:styleId="TOC1">
    <w:name w:val="toc 1"/>
    <w:basedOn w:val="Normal"/>
    <w:next w:val="Normal"/>
    <w:link w:val="TOC1Char"/>
    <w:autoRedefine/>
    <w:uiPriority w:val="39"/>
    <w:rsid w:val="005425F3"/>
    <w:pPr>
      <w:spacing w:before="180" w:line="260" w:lineRule="atLeast"/>
      <w:ind w:left="567" w:hanging="567"/>
    </w:pPr>
    <w:rPr>
      <w:rFonts w:ascii="Arial" w:hAnsi="Arial"/>
      <w:b/>
      <w:szCs w:val="20"/>
      <w:lang w:val="en-GB"/>
    </w:rPr>
  </w:style>
  <w:style w:type="paragraph" w:styleId="TOC2">
    <w:name w:val="toc 2"/>
    <w:basedOn w:val="Normal"/>
    <w:next w:val="Normal"/>
    <w:link w:val="TOC2Char"/>
    <w:autoRedefine/>
    <w:uiPriority w:val="39"/>
    <w:rsid w:val="005425F3"/>
    <w:pPr>
      <w:spacing w:before="180" w:line="260" w:lineRule="atLeast"/>
      <w:ind w:left="1134" w:hanging="567"/>
    </w:pPr>
    <w:rPr>
      <w:rFonts w:ascii="Arial" w:hAnsi="Arial"/>
      <w:b/>
      <w:szCs w:val="20"/>
      <w:lang w:val="en-GB"/>
    </w:rPr>
  </w:style>
  <w:style w:type="paragraph" w:styleId="TOC3">
    <w:name w:val="toc 3"/>
    <w:basedOn w:val="Normal"/>
    <w:next w:val="Normal"/>
    <w:link w:val="TOC3Char"/>
    <w:autoRedefine/>
    <w:uiPriority w:val="39"/>
    <w:rsid w:val="00764B12"/>
    <w:pPr>
      <w:spacing w:before="180" w:line="260" w:lineRule="atLeast"/>
      <w:ind w:left="1701" w:hanging="567"/>
    </w:pPr>
    <w:rPr>
      <w:rFonts w:ascii="Arial" w:hAnsi="Arial"/>
      <w:b/>
      <w:szCs w:val="20"/>
      <w:lang w:val="en-US"/>
    </w:rPr>
  </w:style>
  <w:style w:type="paragraph" w:styleId="TOC4">
    <w:name w:val="toc 4"/>
    <w:basedOn w:val="Normal"/>
    <w:next w:val="Normal"/>
    <w:link w:val="TOC4Char"/>
    <w:autoRedefine/>
    <w:rsid w:val="00746D76"/>
    <w:pPr>
      <w:spacing w:line="260" w:lineRule="atLeast"/>
      <w:ind w:left="1418"/>
    </w:pPr>
    <w:rPr>
      <w:rFonts w:ascii="Arial" w:hAnsi="Arial"/>
      <w:szCs w:val="20"/>
      <w:lang w:val="en-GB"/>
    </w:rPr>
  </w:style>
  <w:style w:type="table" w:styleId="TableGrid">
    <w:name w:val="Table Grid"/>
    <w:aliases w:val="BMTable,BM Table"/>
    <w:basedOn w:val="TableNormal"/>
    <w:rsid w:val="0074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MHeadings">
    <w:name w:val="B&amp;M Headings"/>
    <w:uiPriority w:val="99"/>
    <w:rsid w:val="00746D76"/>
    <w:pPr>
      <w:numPr>
        <w:numId w:val="3"/>
      </w:numPr>
    </w:pPr>
  </w:style>
  <w:style w:type="numbering" w:customStyle="1" w:styleId="BMListNumbers">
    <w:name w:val="B&amp;M List Numbers"/>
    <w:uiPriority w:val="99"/>
    <w:rsid w:val="00746D76"/>
    <w:pPr>
      <w:numPr>
        <w:numId w:val="4"/>
      </w:numPr>
    </w:pPr>
  </w:style>
  <w:style w:type="numbering" w:customStyle="1" w:styleId="BMSchedules">
    <w:name w:val="B&amp;M Schedules"/>
    <w:uiPriority w:val="99"/>
    <w:rsid w:val="00746D76"/>
    <w:pPr>
      <w:numPr>
        <w:numId w:val="5"/>
      </w:numPr>
    </w:pPr>
  </w:style>
  <w:style w:type="numbering" w:customStyle="1" w:styleId="BMDefinitions">
    <w:name w:val="B&amp;M Definitions"/>
    <w:uiPriority w:val="99"/>
    <w:rsid w:val="00746D76"/>
    <w:pPr>
      <w:numPr>
        <w:numId w:val="6"/>
      </w:numPr>
    </w:pPr>
  </w:style>
  <w:style w:type="paragraph" w:customStyle="1" w:styleId="TOCHeading">
    <w:name w:val="TOCHeading"/>
    <w:basedOn w:val="Normal"/>
    <w:next w:val="BodyText"/>
    <w:uiPriority w:val="11"/>
    <w:semiHidden/>
    <w:rsid w:val="00746D76"/>
    <w:pPr>
      <w:pBdr>
        <w:bottom w:val="single" w:sz="4" w:space="9" w:color="auto"/>
      </w:pBdr>
      <w:spacing w:after="180" w:line="260" w:lineRule="exact"/>
    </w:pPr>
    <w:rPr>
      <w:rFonts w:ascii="Arial" w:hAnsi="Arial"/>
      <w:b/>
      <w:sz w:val="24"/>
      <w:lang w:val="en-GB"/>
    </w:rPr>
  </w:style>
  <w:style w:type="paragraph" w:styleId="TOC5">
    <w:name w:val="toc 5"/>
    <w:basedOn w:val="Normal"/>
    <w:next w:val="Normal"/>
    <w:autoRedefine/>
    <w:rsid w:val="00746D76"/>
    <w:pPr>
      <w:spacing w:after="100"/>
      <w:ind w:left="880"/>
    </w:pPr>
    <w:rPr>
      <w:lang w:val="en-GB"/>
    </w:rPr>
  </w:style>
  <w:style w:type="paragraph" w:styleId="TOC6">
    <w:name w:val="toc 6"/>
    <w:basedOn w:val="Normal"/>
    <w:next w:val="Normal"/>
    <w:autoRedefine/>
    <w:rsid w:val="00746D76"/>
    <w:pPr>
      <w:spacing w:after="100"/>
      <w:ind w:left="1100"/>
    </w:pPr>
    <w:rPr>
      <w:lang w:val="en-GB"/>
    </w:rPr>
  </w:style>
  <w:style w:type="paragraph" w:styleId="TOC7">
    <w:name w:val="toc 7"/>
    <w:basedOn w:val="Normal"/>
    <w:next w:val="Normal"/>
    <w:autoRedefine/>
    <w:rsid w:val="00746D76"/>
    <w:pPr>
      <w:spacing w:after="100"/>
      <w:ind w:left="1320"/>
    </w:pPr>
    <w:rPr>
      <w:lang w:val="en-GB"/>
    </w:rPr>
  </w:style>
  <w:style w:type="paragraph" w:styleId="TOC8">
    <w:name w:val="toc 8"/>
    <w:basedOn w:val="Normal"/>
    <w:next w:val="Normal"/>
    <w:autoRedefine/>
    <w:rsid w:val="00746D76"/>
    <w:pPr>
      <w:spacing w:after="100"/>
      <w:ind w:left="1540"/>
    </w:pPr>
    <w:rPr>
      <w:lang w:val="en-GB"/>
    </w:rPr>
  </w:style>
  <w:style w:type="paragraph" w:styleId="TOC9">
    <w:name w:val="toc 9"/>
    <w:basedOn w:val="Normal"/>
    <w:next w:val="Normal"/>
    <w:autoRedefine/>
    <w:rsid w:val="00746D76"/>
    <w:pPr>
      <w:spacing w:after="100"/>
      <w:ind w:left="1760"/>
    </w:pPr>
    <w:rPr>
      <w:lang w:val="en-GB"/>
    </w:rPr>
  </w:style>
  <w:style w:type="character" w:styleId="PlaceholderText">
    <w:name w:val="Placeholder Text"/>
    <w:basedOn w:val="DefaultParagraphFont"/>
    <w:uiPriority w:val="99"/>
    <w:semiHidden/>
    <w:rsid w:val="00FB6EFC"/>
    <w:rPr>
      <w:color w:val="808080"/>
    </w:rPr>
  </w:style>
  <w:style w:type="paragraph" w:styleId="BalloonText">
    <w:name w:val="Balloon Text"/>
    <w:basedOn w:val="Normal"/>
    <w:link w:val="BalloonTextChar"/>
    <w:rsid w:val="00FB6EFC"/>
    <w:rPr>
      <w:rFonts w:ascii="Tahoma" w:hAnsi="Tahoma" w:cs="Tahoma"/>
      <w:sz w:val="16"/>
      <w:szCs w:val="16"/>
    </w:rPr>
  </w:style>
  <w:style w:type="character" w:customStyle="1" w:styleId="BalloonTextChar">
    <w:name w:val="Balloon Text Char"/>
    <w:basedOn w:val="DefaultParagraphFont"/>
    <w:link w:val="BalloonText"/>
    <w:rsid w:val="00FB6EFC"/>
    <w:rPr>
      <w:rFonts w:ascii="Tahoma" w:hAnsi="Tahoma" w:cs="Tahoma"/>
      <w:sz w:val="16"/>
      <w:szCs w:val="16"/>
      <w:lang w:val="sv-SE" w:eastAsia="en-US"/>
    </w:rPr>
  </w:style>
  <w:style w:type="character" w:customStyle="1" w:styleId="HeaderChar">
    <w:name w:val="Header Char"/>
    <w:aliases w:val="B&amp;B Header Char"/>
    <w:basedOn w:val="DefaultParagraphFont"/>
    <w:link w:val="Header"/>
    <w:rsid w:val="00C8456E"/>
    <w:rPr>
      <w:sz w:val="22"/>
      <w:szCs w:val="24"/>
      <w:lang w:val="en-GB" w:eastAsia="en-US"/>
    </w:rPr>
  </w:style>
  <w:style w:type="character" w:customStyle="1" w:styleId="BodyTextChar">
    <w:name w:val="Body Text Char"/>
    <w:aliases w:val="B&amp;B Body Text Char"/>
    <w:basedOn w:val="DefaultParagraphFont"/>
    <w:link w:val="BodyText"/>
    <w:rsid w:val="00C8456E"/>
    <w:rPr>
      <w:sz w:val="22"/>
      <w:szCs w:val="24"/>
      <w:lang w:val="en-GB" w:eastAsia="en-US"/>
    </w:rPr>
  </w:style>
  <w:style w:type="character" w:styleId="CommentReference">
    <w:name w:val="annotation reference"/>
    <w:basedOn w:val="DefaultParagraphFont"/>
    <w:uiPriority w:val="99"/>
    <w:unhideWhenUsed/>
    <w:rsid w:val="008F79AA"/>
    <w:rPr>
      <w:sz w:val="16"/>
      <w:szCs w:val="16"/>
    </w:rPr>
  </w:style>
  <w:style w:type="paragraph" w:styleId="CommentText">
    <w:name w:val="annotation text"/>
    <w:basedOn w:val="Normal"/>
    <w:link w:val="CommentTextChar"/>
    <w:unhideWhenUsed/>
    <w:rsid w:val="008F79AA"/>
    <w:rPr>
      <w:sz w:val="20"/>
      <w:szCs w:val="20"/>
    </w:rPr>
  </w:style>
  <w:style w:type="character" w:customStyle="1" w:styleId="CommentTextChar">
    <w:name w:val="Comment Text Char"/>
    <w:basedOn w:val="DefaultParagraphFont"/>
    <w:link w:val="CommentText"/>
    <w:rsid w:val="008F79AA"/>
    <w:rPr>
      <w:lang w:val="sv-SE" w:eastAsia="en-US"/>
    </w:rPr>
  </w:style>
  <w:style w:type="paragraph" w:styleId="CommentSubject">
    <w:name w:val="annotation subject"/>
    <w:basedOn w:val="CommentText"/>
    <w:next w:val="CommentText"/>
    <w:link w:val="CommentSubjectChar"/>
    <w:unhideWhenUsed/>
    <w:rsid w:val="008F79AA"/>
    <w:rPr>
      <w:b/>
      <w:bCs/>
    </w:rPr>
  </w:style>
  <w:style w:type="character" w:customStyle="1" w:styleId="CommentSubjectChar">
    <w:name w:val="Comment Subject Char"/>
    <w:basedOn w:val="CommentTextChar"/>
    <w:link w:val="CommentSubject"/>
    <w:rsid w:val="008F79AA"/>
    <w:rPr>
      <w:b/>
      <w:bCs/>
      <w:lang w:val="sv-SE" w:eastAsia="en-US"/>
    </w:rPr>
  </w:style>
  <w:style w:type="character" w:customStyle="1" w:styleId="Heading7Char">
    <w:name w:val="Heading 7 Char"/>
    <w:basedOn w:val="DefaultParagraphFont"/>
    <w:link w:val="Heading7"/>
    <w:rsid w:val="000F5A53"/>
    <w:rPr>
      <w:sz w:val="22"/>
      <w:szCs w:val="24"/>
      <w:u w:val="single"/>
      <w:lang w:val="en-GB" w:eastAsia="en-US"/>
    </w:rPr>
  </w:style>
  <w:style w:type="character" w:customStyle="1" w:styleId="Heading8Char">
    <w:name w:val="Heading 8 Char"/>
    <w:basedOn w:val="DefaultParagraphFont"/>
    <w:link w:val="Heading8"/>
    <w:uiPriority w:val="98"/>
    <w:rsid w:val="000F5A53"/>
    <w:rPr>
      <w:rFonts w:eastAsia="Times New Roman"/>
      <w:sz w:val="24"/>
      <w:szCs w:val="24"/>
      <w:lang w:val="en-GB" w:eastAsia="en-US"/>
    </w:rPr>
  </w:style>
  <w:style w:type="character" w:customStyle="1" w:styleId="Heading9Char">
    <w:name w:val="Heading 9 Char"/>
    <w:basedOn w:val="DefaultParagraphFont"/>
    <w:link w:val="Heading9"/>
    <w:uiPriority w:val="98"/>
    <w:rsid w:val="000F5A53"/>
    <w:rPr>
      <w:rFonts w:eastAsia="Times New Roman"/>
      <w:sz w:val="24"/>
      <w:szCs w:val="24"/>
      <w:lang w:val="en-GB" w:eastAsia="en-US"/>
    </w:rPr>
  </w:style>
  <w:style w:type="paragraph" w:customStyle="1" w:styleId="TableParagraph">
    <w:name w:val="Table Paragraph"/>
    <w:basedOn w:val="Normal"/>
    <w:uiPriority w:val="1"/>
    <w:qFormat/>
    <w:rsid w:val="000F5A53"/>
    <w:pPr>
      <w:widowControl w:val="0"/>
    </w:pPr>
    <w:rPr>
      <w:rFonts w:asciiTheme="minorHAnsi" w:eastAsiaTheme="minorHAnsi" w:hAnsiTheme="minorHAnsi" w:cstheme="minorBidi"/>
      <w:szCs w:val="22"/>
      <w:lang w:val="en-US"/>
    </w:rPr>
  </w:style>
  <w:style w:type="character" w:customStyle="1" w:styleId="FootnoteTextChar">
    <w:name w:val="Footnote Text Char"/>
    <w:basedOn w:val="DefaultParagraphFont"/>
    <w:link w:val="FootnoteText"/>
    <w:uiPriority w:val="6"/>
    <w:rsid w:val="000F5A53"/>
    <w:rPr>
      <w:sz w:val="18"/>
      <w:lang w:val="en-GB" w:eastAsia="en-US"/>
    </w:rPr>
  </w:style>
  <w:style w:type="character" w:customStyle="1" w:styleId="Heading2Char">
    <w:name w:val="Heading 2 Char"/>
    <w:aliases w:val="Heading 2 Alt+2 Char,stycke - Alt+2 Char"/>
    <w:basedOn w:val="DefaultParagraphFont"/>
    <w:link w:val="Heading2"/>
    <w:rsid w:val="000F5A53"/>
    <w:rPr>
      <w:rFonts w:ascii="Arial" w:hAnsi="Arial"/>
      <w:b/>
      <w:sz w:val="22"/>
      <w:lang w:val="en-GB" w:eastAsia="en-US"/>
    </w:rPr>
  </w:style>
  <w:style w:type="character" w:customStyle="1" w:styleId="Heading3Char">
    <w:name w:val="Heading 3 Char"/>
    <w:aliases w:val="Heading 3 Alt+3 Char,stycke - Alt+3 Char"/>
    <w:basedOn w:val="DefaultParagraphFont"/>
    <w:link w:val="Heading3"/>
    <w:rsid w:val="000F5A53"/>
    <w:rPr>
      <w:sz w:val="22"/>
      <w:lang w:val="en-GB" w:eastAsia="en-US"/>
    </w:rPr>
  </w:style>
  <w:style w:type="character" w:customStyle="1" w:styleId="Heading4Char">
    <w:name w:val="Heading 4 Char"/>
    <w:aliases w:val="Heading 4 Alt+4 Char"/>
    <w:basedOn w:val="DefaultParagraphFont"/>
    <w:link w:val="Heading4"/>
    <w:rsid w:val="000F5A53"/>
    <w:rPr>
      <w:sz w:val="22"/>
      <w:lang w:val="en-GB" w:eastAsia="en-US"/>
    </w:rPr>
  </w:style>
  <w:style w:type="character" w:customStyle="1" w:styleId="Heading5Char">
    <w:name w:val="Heading 5 Char"/>
    <w:basedOn w:val="DefaultParagraphFont"/>
    <w:link w:val="Heading5"/>
    <w:rsid w:val="000F5A53"/>
    <w:rPr>
      <w:sz w:val="22"/>
      <w:lang w:val="en-GB" w:eastAsia="en-US"/>
    </w:rPr>
  </w:style>
  <w:style w:type="character" w:customStyle="1" w:styleId="Heading6Char">
    <w:name w:val="Heading 6 Char"/>
    <w:basedOn w:val="DefaultParagraphFont"/>
    <w:link w:val="Heading6"/>
    <w:rsid w:val="000F5A53"/>
    <w:rPr>
      <w:sz w:val="22"/>
      <w:lang w:val="en-GB" w:eastAsia="en-US"/>
    </w:rPr>
  </w:style>
  <w:style w:type="character" w:customStyle="1" w:styleId="BodyTextFirstIndentChar">
    <w:name w:val="Body Text First Indent Char"/>
    <w:basedOn w:val="BodyTextChar"/>
    <w:link w:val="BodyTextFirstIndent"/>
    <w:uiPriority w:val="6"/>
    <w:rsid w:val="000F5A53"/>
    <w:rPr>
      <w:sz w:val="22"/>
      <w:szCs w:val="24"/>
      <w:lang w:val="en-GB" w:eastAsia="en-US"/>
    </w:rPr>
  </w:style>
  <w:style w:type="character" w:customStyle="1" w:styleId="Heading1Char">
    <w:name w:val="Heading 1 Char"/>
    <w:aliases w:val="Heading 1 Alt+1 Char,rubrik - Alt+1 Char"/>
    <w:basedOn w:val="DefaultParagraphFont"/>
    <w:link w:val="Heading1"/>
    <w:rsid w:val="000F5A53"/>
    <w:rPr>
      <w:rFonts w:ascii="Arial" w:hAnsi="Arial"/>
      <w:b/>
      <w:sz w:val="22"/>
      <w:lang w:val="en-GB" w:eastAsia="en-US"/>
    </w:rPr>
  </w:style>
  <w:style w:type="paragraph" w:customStyle="1" w:styleId="Doldtext">
    <w:name w:val="Doldtext"/>
    <w:basedOn w:val="Normal"/>
    <w:next w:val="Normal"/>
    <w:rsid w:val="000F5A53"/>
    <w:pPr>
      <w:spacing w:line="260" w:lineRule="atLeast"/>
    </w:pPr>
    <w:rPr>
      <w:rFonts w:eastAsia="Calibri"/>
      <w:b/>
      <w:vanish/>
      <w:color w:val="FF0000"/>
      <w:sz w:val="24"/>
      <w:szCs w:val="22"/>
    </w:rPr>
  </w:style>
  <w:style w:type="paragraph" w:styleId="Revision">
    <w:name w:val="Revision"/>
    <w:hidden/>
    <w:uiPriority w:val="99"/>
    <w:semiHidden/>
    <w:rsid w:val="000F5A53"/>
    <w:rPr>
      <w:sz w:val="22"/>
      <w:szCs w:val="24"/>
      <w:lang w:val="sv-SE" w:eastAsia="en-US"/>
    </w:rPr>
  </w:style>
  <w:style w:type="paragraph" w:styleId="BodyTextIndent">
    <w:name w:val="Body Text Indent"/>
    <w:basedOn w:val="Normal"/>
    <w:link w:val="BodyTextIndentChar"/>
    <w:unhideWhenUsed/>
    <w:rsid w:val="000F5A53"/>
    <w:pPr>
      <w:spacing w:after="120"/>
      <w:ind w:left="283"/>
    </w:pPr>
  </w:style>
  <w:style w:type="character" w:customStyle="1" w:styleId="BodyTextIndentChar">
    <w:name w:val="Body Text Indent Char"/>
    <w:basedOn w:val="DefaultParagraphFont"/>
    <w:link w:val="BodyTextIndent"/>
    <w:rsid w:val="000F5A53"/>
    <w:rPr>
      <w:sz w:val="22"/>
      <w:szCs w:val="24"/>
      <w:lang w:val="sv-SE" w:eastAsia="en-US"/>
    </w:rPr>
  </w:style>
  <w:style w:type="paragraph" w:styleId="BodyTextIndent2">
    <w:name w:val="Body Text Indent 2"/>
    <w:basedOn w:val="Normal"/>
    <w:link w:val="BodyTextIndent2Char"/>
    <w:unhideWhenUsed/>
    <w:rsid w:val="000F5A53"/>
    <w:pPr>
      <w:spacing w:after="120" w:line="480" w:lineRule="auto"/>
      <w:ind w:left="283"/>
    </w:pPr>
  </w:style>
  <w:style w:type="character" w:customStyle="1" w:styleId="BodyTextIndent2Char">
    <w:name w:val="Body Text Indent 2 Char"/>
    <w:basedOn w:val="DefaultParagraphFont"/>
    <w:link w:val="BodyTextIndent2"/>
    <w:rsid w:val="000F5A53"/>
    <w:rPr>
      <w:sz w:val="22"/>
      <w:szCs w:val="24"/>
      <w:lang w:val="sv-SE" w:eastAsia="en-US"/>
    </w:rPr>
  </w:style>
  <w:style w:type="paragraph" w:styleId="BodyTextIndent3">
    <w:name w:val="Body Text Indent 3"/>
    <w:basedOn w:val="Normal"/>
    <w:link w:val="BodyTextIndent3Char"/>
    <w:unhideWhenUsed/>
    <w:rsid w:val="000F5A53"/>
    <w:pPr>
      <w:spacing w:after="120"/>
      <w:ind w:left="283"/>
    </w:pPr>
    <w:rPr>
      <w:sz w:val="16"/>
      <w:szCs w:val="16"/>
    </w:rPr>
  </w:style>
  <w:style w:type="character" w:customStyle="1" w:styleId="BodyTextIndent3Char">
    <w:name w:val="Body Text Indent 3 Char"/>
    <w:basedOn w:val="DefaultParagraphFont"/>
    <w:link w:val="BodyTextIndent3"/>
    <w:rsid w:val="000F5A53"/>
    <w:rPr>
      <w:sz w:val="16"/>
      <w:szCs w:val="16"/>
      <w:lang w:val="sv-SE" w:eastAsia="en-US"/>
    </w:rPr>
  </w:style>
  <w:style w:type="paragraph" w:styleId="Title">
    <w:name w:val="Title"/>
    <w:basedOn w:val="Normal"/>
    <w:link w:val="TitleChar"/>
    <w:qFormat/>
    <w:rsid w:val="000F5A53"/>
    <w:pPr>
      <w:jc w:val="center"/>
    </w:pPr>
    <w:rPr>
      <w:rFonts w:eastAsia="Times New Roman"/>
      <w:b/>
      <w:sz w:val="28"/>
      <w:szCs w:val="20"/>
      <w:lang w:eastAsia="zh-CN"/>
    </w:rPr>
  </w:style>
  <w:style w:type="character" w:customStyle="1" w:styleId="TitleChar">
    <w:name w:val="Title Char"/>
    <w:basedOn w:val="DefaultParagraphFont"/>
    <w:link w:val="Title"/>
    <w:rsid w:val="000F5A53"/>
    <w:rPr>
      <w:rFonts w:eastAsia="Times New Roman"/>
      <w:b/>
      <w:sz w:val="28"/>
      <w:lang w:val="sv-SE" w:eastAsia="zh-CN"/>
    </w:rPr>
  </w:style>
  <w:style w:type="paragraph" w:customStyle="1" w:styleId="nRubrik1">
    <w:name w:val="nRubrik 1"/>
    <w:basedOn w:val="Normal"/>
    <w:next w:val="Normal"/>
    <w:rsid w:val="000F5A53"/>
    <w:pPr>
      <w:keepNext/>
      <w:numPr>
        <w:numId w:val="7"/>
      </w:numPr>
      <w:spacing w:before="240" w:after="60"/>
    </w:pPr>
    <w:rPr>
      <w:rFonts w:ascii="Arial" w:eastAsia="Times New Roman" w:hAnsi="Arial" w:cs="Arial"/>
      <w:b/>
      <w:noProof/>
      <w:sz w:val="26"/>
      <w:szCs w:val="26"/>
      <w:lang w:eastAsia="zh-CN"/>
    </w:rPr>
  </w:style>
  <w:style w:type="paragraph" w:customStyle="1" w:styleId="nRubrik2">
    <w:name w:val="nRubrik 2"/>
    <w:basedOn w:val="Normal"/>
    <w:next w:val="Normal"/>
    <w:rsid w:val="000F5A53"/>
    <w:pPr>
      <w:keepNext/>
      <w:numPr>
        <w:ilvl w:val="1"/>
        <w:numId w:val="7"/>
      </w:numPr>
      <w:suppressAutoHyphens/>
      <w:spacing w:before="120" w:after="60"/>
    </w:pPr>
    <w:rPr>
      <w:rFonts w:ascii="Arial" w:eastAsia="Times New Roman" w:hAnsi="Arial" w:cs="Arial"/>
      <w:b/>
      <w:noProof/>
      <w:szCs w:val="20"/>
      <w:lang w:eastAsia="zh-CN"/>
    </w:rPr>
  </w:style>
  <w:style w:type="paragraph" w:customStyle="1" w:styleId="nRubrik3">
    <w:name w:val="nRubrik 3"/>
    <w:basedOn w:val="Normal"/>
    <w:next w:val="Normal"/>
    <w:rsid w:val="000F5A53"/>
    <w:pPr>
      <w:keepNext/>
      <w:numPr>
        <w:ilvl w:val="2"/>
        <w:numId w:val="7"/>
      </w:numPr>
      <w:suppressAutoHyphens/>
      <w:spacing w:before="120" w:after="60"/>
    </w:pPr>
    <w:rPr>
      <w:rFonts w:ascii="Arial" w:eastAsia="Times New Roman" w:hAnsi="Arial" w:cs="Arial"/>
      <w:i/>
      <w:noProof/>
      <w:szCs w:val="20"/>
      <w:lang w:eastAsia="zh-CN"/>
    </w:rPr>
  </w:style>
  <w:style w:type="paragraph" w:customStyle="1" w:styleId="nRubrik4">
    <w:name w:val="nRubrik 4"/>
    <w:basedOn w:val="Normal"/>
    <w:next w:val="Normal"/>
    <w:rsid w:val="000F5A53"/>
    <w:pPr>
      <w:keepNext/>
      <w:numPr>
        <w:ilvl w:val="3"/>
        <w:numId w:val="7"/>
      </w:numPr>
      <w:suppressAutoHyphens/>
      <w:spacing w:before="120" w:after="60"/>
    </w:pPr>
    <w:rPr>
      <w:rFonts w:ascii="Arial" w:eastAsia="Times New Roman" w:hAnsi="Arial" w:cs="Arial"/>
      <w:b/>
      <w:noProof/>
      <w:szCs w:val="20"/>
      <w:lang w:eastAsia="zh-CN"/>
    </w:rPr>
  </w:style>
  <w:style w:type="paragraph" w:customStyle="1" w:styleId="Text">
    <w:name w:val="Text"/>
    <w:basedOn w:val="Normal"/>
    <w:link w:val="TextChar"/>
    <w:rsid w:val="000F5A53"/>
    <w:pPr>
      <w:spacing w:after="240"/>
    </w:pPr>
    <w:rPr>
      <w:rFonts w:eastAsia="Times New Roman"/>
      <w:sz w:val="24"/>
      <w:szCs w:val="20"/>
    </w:rPr>
  </w:style>
  <w:style w:type="paragraph" w:customStyle="1" w:styleId="Default">
    <w:name w:val="Default"/>
    <w:link w:val="DefaultChar"/>
    <w:rsid w:val="000F5A53"/>
    <w:pPr>
      <w:autoSpaceDE w:val="0"/>
      <w:autoSpaceDN w:val="0"/>
      <w:adjustRightInd w:val="0"/>
    </w:pPr>
    <w:rPr>
      <w:rFonts w:eastAsia="Times New Roman"/>
      <w:color w:val="000000"/>
      <w:sz w:val="24"/>
      <w:szCs w:val="24"/>
      <w:lang w:val="sv-SE" w:eastAsia="sv-SE"/>
    </w:rPr>
  </w:style>
  <w:style w:type="character" w:customStyle="1" w:styleId="DefaultChar">
    <w:name w:val="Default Char"/>
    <w:link w:val="Default"/>
    <w:rsid w:val="000F5A53"/>
    <w:rPr>
      <w:rFonts w:eastAsia="Times New Roman"/>
      <w:color w:val="000000"/>
      <w:sz w:val="24"/>
      <w:szCs w:val="24"/>
      <w:lang w:val="sv-SE" w:eastAsia="sv-SE"/>
    </w:rPr>
  </w:style>
  <w:style w:type="paragraph" w:customStyle="1" w:styleId="Rubrik0">
    <w:name w:val="Rubrik 0"/>
    <w:basedOn w:val="Normal"/>
    <w:next w:val="BodyText"/>
    <w:rsid w:val="000F5A53"/>
    <w:pPr>
      <w:tabs>
        <w:tab w:val="left" w:pos="1134"/>
        <w:tab w:val="left" w:pos="1984"/>
        <w:tab w:val="left" w:pos="2835"/>
        <w:tab w:val="left" w:pos="4819"/>
        <w:tab w:val="left" w:pos="7937"/>
      </w:tabs>
      <w:spacing w:before="140"/>
    </w:pPr>
    <w:rPr>
      <w:rFonts w:eastAsia="Times New Roman"/>
      <w:b/>
      <w:bCs/>
      <w:kern w:val="32"/>
      <w:sz w:val="36"/>
      <w:lang w:eastAsia="sv-SE"/>
    </w:rPr>
  </w:style>
  <w:style w:type="character" w:customStyle="1" w:styleId="TextChar">
    <w:name w:val="Text Char"/>
    <w:link w:val="Text"/>
    <w:locked/>
    <w:rsid w:val="000F5A53"/>
    <w:rPr>
      <w:rFonts w:eastAsia="Times New Roman"/>
      <w:sz w:val="24"/>
      <w:lang w:val="sv-SE" w:eastAsia="en-US"/>
    </w:rPr>
  </w:style>
  <w:style w:type="table" w:customStyle="1" w:styleId="TableGrid17">
    <w:name w:val="Table Grid17"/>
    <w:basedOn w:val="TableNormal"/>
    <w:next w:val="TableGrid"/>
    <w:rsid w:val="000F5A53"/>
    <w:rPr>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F5A53"/>
    <w:pPr>
      <w:spacing w:after="240" w:line="280" w:lineRule="exact"/>
      <w:ind w:left="1134"/>
    </w:pPr>
    <w:rPr>
      <w:rFonts w:eastAsia="Times New Roman"/>
      <w:szCs w:val="20"/>
      <w:lang w:val="en-GB"/>
    </w:rPr>
  </w:style>
  <w:style w:type="paragraph" w:styleId="Caption">
    <w:name w:val="caption"/>
    <w:basedOn w:val="Normal"/>
    <w:next w:val="Normal"/>
    <w:link w:val="CaptionChar"/>
    <w:qFormat/>
    <w:rsid w:val="000F5A53"/>
    <w:pPr>
      <w:spacing w:after="240" w:line="280" w:lineRule="exact"/>
    </w:pPr>
    <w:rPr>
      <w:rFonts w:ascii="Arial" w:eastAsia="Times New Roman" w:hAnsi="Arial"/>
      <w:b/>
      <w:sz w:val="24"/>
    </w:rPr>
  </w:style>
  <w:style w:type="paragraph" w:customStyle="1" w:styleId="NormalABC">
    <w:name w:val="Normal ABC"/>
    <w:rsid w:val="000F5A53"/>
    <w:pPr>
      <w:numPr>
        <w:numId w:val="8"/>
      </w:numPr>
      <w:spacing w:after="240" w:line="280" w:lineRule="exact"/>
    </w:pPr>
    <w:rPr>
      <w:rFonts w:eastAsia="Times New Roman"/>
      <w:sz w:val="22"/>
      <w:lang w:val="sv-SE" w:eastAsia="sv-SE"/>
    </w:rPr>
  </w:style>
  <w:style w:type="paragraph" w:customStyle="1" w:styleId="BakerInledning">
    <w:name w:val="BakerInledning"/>
    <w:next w:val="Normal"/>
    <w:rsid w:val="000F5A53"/>
    <w:pPr>
      <w:tabs>
        <w:tab w:val="left" w:pos="2466"/>
      </w:tabs>
      <w:spacing w:after="240"/>
      <w:ind w:left="2466" w:hanging="2466"/>
    </w:pPr>
    <w:rPr>
      <w:rFonts w:ascii="Arial" w:eastAsia="Times New Roman" w:hAnsi="Arial"/>
      <w:sz w:val="24"/>
      <w:lang w:val="en-GB" w:eastAsia="sv-SE"/>
    </w:rPr>
  </w:style>
  <w:style w:type="paragraph" w:customStyle="1" w:styleId="NormalDefinitions">
    <w:name w:val="Normal Definitions"/>
    <w:basedOn w:val="Normal"/>
    <w:rsid w:val="000F5A53"/>
    <w:pPr>
      <w:tabs>
        <w:tab w:val="left" w:pos="3686"/>
      </w:tabs>
      <w:spacing w:after="240" w:line="280" w:lineRule="exact"/>
      <w:ind w:left="3686" w:hanging="3686"/>
    </w:pPr>
    <w:rPr>
      <w:rFonts w:eastAsia="Times New Roman"/>
      <w:sz w:val="24"/>
      <w:lang w:val="en-GB"/>
    </w:rPr>
  </w:style>
  <w:style w:type="paragraph" w:customStyle="1" w:styleId="Heading3TNR">
    <w:name w:val="Heading 3 TNR"/>
    <w:basedOn w:val="Heading3"/>
    <w:next w:val="NormalIndent"/>
    <w:rsid w:val="000F5A53"/>
    <w:pPr>
      <w:numPr>
        <w:ilvl w:val="0"/>
        <w:numId w:val="0"/>
      </w:numPr>
      <w:tabs>
        <w:tab w:val="num" w:pos="1134"/>
      </w:tabs>
      <w:spacing w:before="360" w:after="240" w:line="280" w:lineRule="exact"/>
      <w:ind w:left="1134" w:hanging="1134"/>
    </w:pPr>
    <w:rPr>
      <w:rFonts w:eastAsia="Times New Roman"/>
      <w:bCs/>
      <w:szCs w:val="26"/>
    </w:rPr>
  </w:style>
  <w:style w:type="paragraph" w:customStyle="1" w:styleId="Heading4TNR">
    <w:name w:val="Heading 4 TNR"/>
    <w:basedOn w:val="Heading4"/>
    <w:next w:val="NormalIndent"/>
    <w:rsid w:val="000F5A53"/>
    <w:pPr>
      <w:numPr>
        <w:numId w:val="0"/>
      </w:numPr>
      <w:tabs>
        <w:tab w:val="num" w:pos="1134"/>
        <w:tab w:val="num" w:pos="1418"/>
      </w:tabs>
      <w:spacing w:before="360" w:after="240" w:line="280" w:lineRule="exact"/>
      <w:ind w:left="1134" w:hanging="1134"/>
    </w:pPr>
    <w:rPr>
      <w:rFonts w:eastAsia="Times New Roman"/>
      <w:bCs/>
      <w:iCs/>
      <w:szCs w:val="28"/>
    </w:rPr>
  </w:style>
  <w:style w:type="paragraph" w:customStyle="1" w:styleId="Kommentarsmne1">
    <w:name w:val="Kommentarsämne1"/>
    <w:basedOn w:val="CommentText"/>
    <w:next w:val="CommentText"/>
    <w:rsid w:val="000F5A53"/>
    <w:pPr>
      <w:spacing w:after="240" w:line="280" w:lineRule="exact"/>
    </w:pPr>
    <w:rPr>
      <w:rFonts w:eastAsia="Times New Roman"/>
      <w:b/>
      <w:bCs/>
      <w:lang w:val="en-GB"/>
    </w:rPr>
  </w:style>
  <w:style w:type="paragraph" w:customStyle="1" w:styleId="Ballongtext1">
    <w:name w:val="Ballongtext1"/>
    <w:basedOn w:val="Normal"/>
    <w:rsid w:val="000F5A53"/>
    <w:pPr>
      <w:spacing w:after="240" w:line="280" w:lineRule="exact"/>
    </w:pPr>
    <w:rPr>
      <w:rFonts w:ascii="Tahoma" w:eastAsia="Times New Roman" w:hAnsi="Tahoma" w:cs="Tahoma"/>
      <w:sz w:val="16"/>
      <w:szCs w:val="16"/>
      <w:lang w:val="en-GB"/>
    </w:rPr>
  </w:style>
  <w:style w:type="paragraph" w:customStyle="1" w:styleId="Heading2TNR">
    <w:name w:val="Heading 2 TNR"/>
    <w:basedOn w:val="Heading2"/>
    <w:rsid w:val="000F5A53"/>
    <w:pPr>
      <w:keepNext w:val="0"/>
      <w:numPr>
        <w:numId w:val="0"/>
      </w:numPr>
      <w:tabs>
        <w:tab w:val="num" w:pos="709"/>
        <w:tab w:val="num" w:pos="1134"/>
      </w:tabs>
      <w:spacing w:before="360" w:after="240" w:line="280" w:lineRule="exact"/>
      <w:ind w:left="1134" w:hanging="1134"/>
    </w:pPr>
    <w:rPr>
      <w:rFonts w:ascii="Times New Roman" w:eastAsia="Times New Roman" w:hAnsi="Times New Roman" w:cs="Arial"/>
      <w:b w:val="0"/>
      <w:szCs w:val="28"/>
    </w:rPr>
  </w:style>
  <w:style w:type="paragraph" w:styleId="BodyText2">
    <w:name w:val="Body Text 2"/>
    <w:basedOn w:val="Normal"/>
    <w:link w:val="BodyText2Char"/>
    <w:qFormat/>
    <w:rsid w:val="000F5A53"/>
    <w:pPr>
      <w:tabs>
        <w:tab w:val="left" w:pos="0"/>
        <w:tab w:val="left" w:pos="709"/>
        <w:tab w:val="left" w:pos="1276"/>
        <w:tab w:val="left" w:pos="2172"/>
        <w:tab w:val="left" w:pos="2892"/>
        <w:tab w:val="left" w:pos="3612"/>
        <w:tab w:val="left" w:pos="4332"/>
        <w:tab w:val="left" w:pos="5052"/>
        <w:tab w:val="left" w:pos="5772"/>
        <w:tab w:val="left" w:pos="6492"/>
        <w:tab w:val="left" w:pos="7212"/>
        <w:tab w:val="left" w:pos="7932"/>
        <w:tab w:val="left" w:pos="8640"/>
        <w:tab w:val="left" w:pos="8930"/>
        <w:tab w:val="left" w:pos="9122"/>
      </w:tabs>
    </w:pPr>
    <w:rPr>
      <w:rFonts w:ascii="Bookman Old Style" w:eastAsia="Times New Roman" w:hAnsi="Bookman Old Style"/>
      <w:szCs w:val="20"/>
      <w:lang w:val="en-GB"/>
    </w:rPr>
  </w:style>
  <w:style w:type="character" w:customStyle="1" w:styleId="BodyText2Char">
    <w:name w:val="Body Text 2 Char"/>
    <w:basedOn w:val="DefaultParagraphFont"/>
    <w:link w:val="BodyText2"/>
    <w:rsid w:val="000F5A53"/>
    <w:rPr>
      <w:rFonts w:ascii="Bookman Old Style" w:eastAsia="Times New Roman" w:hAnsi="Bookman Old Style"/>
      <w:sz w:val="22"/>
      <w:lang w:val="en-GB" w:eastAsia="en-US"/>
    </w:rPr>
  </w:style>
  <w:style w:type="paragraph" w:customStyle="1" w:styleId="Body">
    <w:name w:val="Body"/>
    <w:basedOn w:val="Normal"/>
    <w:rsid w:val="000F5A53"/>
    <w:pPr>
      <w:spacing w:after="140" w:line="290" w:lineRule="auto"/>
      <w:jc w:val="both"/>
    </w:pPr>
    <w:rPr>
      <w:rFonts w:ascii="Arial" w:eastAsia="Times New Roman" w:hAnsi="Arial"/>
      <w:kern w:val="20"/>
      <w:sz w:val="20"/>
      <w:szCs w:val="20"/>
    </w:rPr>
  </w:style>
  <w:style w:type="paragraph" w:customStyle="1" w:styleId="Body1">
    <w:name w:val="Body 1"/>
    <w:basedOn w:val="Body"/>
    <w:rsid w:val="000F5A53"/>
    <w:pPr>
      <w:tabs>
        <w:tab w:val="left" w:pos="680"/>
      </w:tabs>
      <w:ind w:left="680"/>
    </w:pPr>
  </w:style>
  <w:style w:type="paragraph" w:customStyle="1" w:styleId="Body2">
    <w:name w:val="Body 2"/>
    <w:basedOn w:val="Body"/>
    <w:rsid w:val="000F5A53"/>
    <w:pPr>
      <w:tabs>
        <w:tab w:val="left" w:pos="680"/>
      </w:tabs>
      <w:ind w:left="680"/>
    </w:pPr>
  </w:style>
  <w:style w:type="paragraph" w:customStyle="1" w:styleId="Body3">
    <w:name w:val="Body 3"/>
    <w:basedOn w:val="Body"/>
    <w:rsid w:val="000F5A53"/>
    <w:pPr>
      <w:tabs>
        <w:tab w:val="left" w:pos="1361"/>
      </w:tabs>
      <w:ind w:left="1361"/>
    </w:pPr>
  </w:style>
  <w:style w:type="paragraph" w:customStyle="1" w:styleId="Level1">
    <w:name w:val="Level 1"/>
    <w:basedOn w:val="Normal"/>
    <w:next w:val="Body1"/>
    <w:rsid w:val="000F5A53"/>
    <w:pPr>
      <w:keepNext/>
      <w:numPr>
        <w:numId w:val="9"/>
      </w:numPr>
      <w:spacing w:before="140" w:after="140" w:line="290" w:lineRule="auto"/>
      <w:jc w:val="both"/>
      <w:outlineLvl w:val="0"/>
    </w:pPr>
    <w:rPr>
      <w:rFonts w:ascii="Arial" w:eastAsia="Times New Roman" w:hAnsi="Arial"/>
      <w:b/>
      <w:kern w:val="20"/>
      <w:szCs w:val="20"/>
    </w:rPr>
  </w:style>
  <w:style w:type="paragraph" w:customStyle="1" w:styleId="Level2">
    <w:name w:val="Level 2"/>
    <w:basedOn w:val="Normal"/>
    <w:rsid w:val="000F5A53"/>
    <w:pPr>
      <w:numPr>
        <w:ilvl w:val="1"/>
        <w:numId w:val="9"/>
      </w:numPr>
      <w:spacing w:after="140" w:line="290" w:lineRule="auto"/>
      <w:jc w:val="both"/>
    </w:pPr>
    <w:rPr>
      <w:rFonts w:ascii="Arial" w:eastAsia="Times New Roman" w:hAnsi="Arial"/>
      <w:kern w:val="20"/>
      <w:sz w:val="20"/>
      <w:szCs w:val="20"/>
    </w:rPr>
  </w:style>
  <w:style w:type="paragraph" w:customStyle="1" w:styleId="Level3">
    <w:name w:val="Level 3"/>
    <w:basedOn w:val="Normal"/>
    <w:rsid w:val="000F5A53"/>
    <w:pPr>
      <w:numPr>
        <w:ilvl w:val="2"/>
        <w:numId w:val="9"/>
      </w:numPr>
      <w:spacing w:after="140" w:line="290" w:lineRule="auto"/>
      <w:jc w:val="both"/>
    </w:pPr>
    <w:rPr>
      <w:rFonts w:ascii="Arial" w:eastAsia="Times New Roman" w:hAnsi="Arial"/>
      <w:kern w:val="20"/>
      <w:sz w:val="20"/>
      <w:szCs w:val="20"/>
    </w:rPr>
  </w:style>
  <w:style w:type="paragraph" w:customStyle="1" w:styleId="Level4">
    <w:name w:val="Level 4"/>
    <w:basedOn w:val="Normal"/>
    <w:rsid w:val="000F5A53"/>
    <w:pPr>
      <w:numPr>
        <w:ilvl w:val="3"/>
        <w:numId w:val="9"/>
      </w:numPr>
      <w:spacing w:after="140" w:line="290" w:lineRule="auto"/>
      <w:jc w:val="both"/>
    </w:pPr>
    <w:rPr>
      <w:rFonts w:ascii="Arial" w:eastAsia="Times New Roman" w:hAnsi="Arial"/>
      <w:kern w:val="20"/>
      <w:sz w:val="20"/>
      <w:szCs w:val="20"/>
    </w:rPr>
  </w:style>
  <w:style w:type="paragraph" w:customStyle="1" w:styleId="Level5">
    <w:name w:val="Level 5"/>
    <w:basedOn w:val="Normal"/>
    <w:rsid w:val="000F5A53"/>
    <w:pPr>
      <w:numPr>
        <w:ilvl w:val="4"/>
        <w:numId w:val="9"/>
      </w:numPr>
      <w:spacing w:after="140" w:line="290" w:lineRule="auto"/>
      <w:jc w:val="both"/>
    </w:pPr>
    <w:rPr>
      <w:rFonts w:ascii="Arial" w:eastAsia="Times New Roman" w:hAnsi="Arial"/>
      <w:kern w:val="20"/>
      <w:sz w:val="20"/>
      <w:szCs w:val="20"/>
    </w:rPr>
  </w:style>
  <w:style w:type="paragraph" w:customStyle="1" w:styleId="Level6">
    <w:name w:val="Level 6"/>
    <w:basedOn w:val="Normal"/>
    <w:rsid w:val="000F5A53"/>
    <w:pPr>
      <w:numPr>
        <w:ilvl w:val="5"/>
        <w:numId w:val="9"/>
      </w:numPr>
      <w:spacing w:after="140" w:line="290" w:lineRule="auto"/>
      <w:ind w:left="3288" w:hanging="680"/>
      <w:jc w:val="both"/>
    </w:pPr>
    <w:rPr>
      <w:rFonts w:ascii="Arial" w:eastAsia="Times New Roman" w:hAnsi="Arial"/>
      <w:kern w:val="20"/>
      <w:sz w:val="20"/>
      <w:szCs w:val="20"/>
    </w:rPr>
  </w:style>
  <w:style w:type="paragraph" w:customStyle="1" w:styleId="Recitals">
    <w:name w:val="Recitals"/>
    <w:basedOn w:val="Normal"/>
    <w:rsid w:val="000F5A53"/>
    <w:pPr>
      <w:numPr>
        <w:numId w:val="11"/>
      </w:numPr>
      <w:spacing w:after="140" w:line="290" w:lineRule="auto"/>
      <w:jc w:val="both"/>
    </w:pPr>
    <w:rPr>
      <w:rFonts w:ascii="Arial" w:eastAsia="Times New Roman" w:hAnsi="Arial"/>
      <w:kern w:val="20"/>
      <w:sz w:val="20"/>
      <w:szCs w:val="20"/>
    </w:rPr>
  </w:style>
  <w:style w:type="paragraph" w:customStyle="1" w:styleId="Parties">
    <w:name w:val="Parties"/>
    <w:basedOn w:val="Normal"/>
    <w:rsid w:val="000F5A53"/>
    <w:pPr>
      <w:numPr>
        <w:numId w:val="10"/>
      </w:numPr>
      <w:spacing w:after="140" w:line="290" w:lineRule="auto"/>
      <w:jc w:val="both"/>
    </w:pPr>
    <w:rPr>
      <w:rFonts w:ascii="Arial" w:eastAsia="Times New Roman" w:hAnsi="Arial"/>
      <w:kern w:val="20"/>
      <w:sz w:val="20"/>
      <w:szCs w:val="20"/>
    </w:rPr>
  </w:style>
  <w:style w:type="paragraph" w:customStyle="1" w:styleId="Normal1">
    <w:name w:val="Normal 1"/>
    <w:basedOn w:val="Normal"/>
    <w:rsid w:val="000F5A53"/>
    <w:pPr>
      <w:spacing w:after="240" w:line="280" w:lineRule="exact"/>
    </w:pPr>
    <w:rPr>
      <w:rFonts w:eastAsia="Times New Roman"/>
      <w:szCs w:val="22"/>
      <w:lang w:val="en-GB"/>
    </w:rPr>
  </w:style>
  <w:style w:type="paragraph" w:styleId="NormalWeb">
    <w:name w:val="Normal (Web)"/>
    <w:basedOn w:val="Normal"/>
    <w:rsid w:val="000F5A53"/>
    <w:rPr>
      <w:sz w:val="24"/>
    </w:rPr>
  </w:style>
  <w:style w:type="character" w:customStyle="1" w:styleId="BodyTextChar1">
    <w:name w:val="Body Text Char1"/>
    <w:basedOn w:val="DefaultParagraphFont"/>
    <w:rsid w:val="000F5A53"/>
    <w:rPr>
      <w:sz w:val="24"/>
    </w:rPr>
  </w:style>
  <w:style w:type="character" w:customStyle="1" w:styleId="SubtleEmphasis1">
    <w:name w:val="Subtle Emphasis1"/>
    <w:basedOn w:val="DefaultParagraphFont"/>
    <w:uiPriority w:val="19"/>
    <w:rsid w:val="000F5A53"/>
    <w:rPr>
      <w:i/>
      <w:iCs/>
      <w:color w:val="AFAFAF"/>
    </w:rPr>
  </w:style>
  <w:style w:type="character" w:customStyle="1" w:styleId="SubtleReference1">
    <w:name w:val="Subtle Reference1"/>
    <w:basedOn w:val="DefaultParagraphFont"/>
    <w:uiPriority w:val="31"/>
    <w:rsid w:val="000F5A53"/>
    <w:rPr>
      <w:smallCaps/>
      <w:color w:val="EBB700"/>
      <w:u w:val="single"/>
    </w:rPr>
  </w:style>
  <w:style w:type="paragraph" w:customStyle="1" w:styleId="NoSpacing1">
    <w:name w:val="No Spacing1"/>
    <w:next w:val="NoSpacing"/>
    <w:uiPriority w:val="6"/>
    <w:rsid w:val="000F5A53"/>
    <w:pPr>
      <w:tabs>
        <w:tab w:val="left" w:pos="709"/>
        <w:tab w:val="left" w:pos="1418"/>
        <w:tab w:val="left" w:pos="2126"/>
        <w:tab w:val="left" w:pos="2835"/>
        <w:tab w:val="right" w:pos="7876"/>
      </w:tabs>
      <w:spacing w:after="200" w:line="2" w:lineRule="auto"/>
    </w:pPr>
    <w:rPr>
      <w:rFonts w:eastAsia="MS Mincho"/>
      <w:sz w:val="22"/>
      <w:szCs w:val="24"/>
      <w:lang w:eastAsia="en-US"/>
    </w:rPr>
  </w:style>
  <w:style w:type="character" w:customStyle="1" w:styleId="IntenseEmphasis1">
    <w:name w:val="Intense Emphasis1"/>
    <w:basedOn w:val="DefaultParagraphFont"/>
    <w:uiPriority w:val="21"/>
    <w:rsid w:val="000F5A53"/>
    <w:rPr>
      <w:b/>
      <w:bCs/>
      <w:i/>
      <w:iCs/>
      <w:color w:val="A71930"/>
    </w:rPr>
  </w:style>
  <w:style w:type="paragraph" w:customStyle="1" w:styleId="IntenseQuote1">
    <w:name w:val="Intense Quote1"/>
    <w:basedOn w:val="Normal"/>
    <w:next w:val="Normal"/>
    <w:uiPriority w:val="30"/>
    <w:rsid w:val="000F5A53"/>
    <w:pPr>
      <w:pBdr>
        <w:bottom w:val="single" w:sz="4" w:space="4" w:color="A71930"/>
      </w:pBdr>
      <w:spacing w:before="200" w:after="280"/>
      <w:ind w:left="936" w:right="936"/>
    </w:pPr>
    <w:rPr>
      <w:b/>
      <w:bCs/>
      <w:i/>
      <w:iCs/>
      <w:color w:val="A71930"/>
    </w:rPr>
  </w:style>
  <w:style w:type="paragraph" w:customStyle="1" w:styleId="Quote1">
    <w:name w:val="Quote1"/>
    <w:basedOn w:val="Normal"/>
    <w:next w:val="Normal"/>
    <w:uiPriority w:val="29"/>
    <w:rsid w:val="000F5A53"/>
    <w:rPr>
      <w:i/>
      <w:iCs/>
      <w:color w:val="5F5F5F"/>
    </w:rPr>
  </w:style>
  <w:style w:type="character" w:customStyle="1" w:styleId="IntenseReference1">
    <w:name w:val="Intense Reference1"/>
    <w:basedOn w:val="DefaultParagraphFont"/>
    <w:uiPriority w:val="32"/>
    <w:rsid w:val="000F5A53"/>
    <w:rPr>
      <w:b/>
      <w:bCs/>
      <w:smallCaps/>
      <w:color w:val="EBB700"/>
      <w:spacing w:val="5"/>
      <w:u w:val="single"/>
    </w:rPr>
  </w:style>
  <w:style w:type="paragraph" w:customStyle="1" w:styleId="Recital">
    <w:name w:val="Recital"/>
    <w:basedOn w:val="Normal"/>
    <w:uiPriority w:val="7"/>
    <w:rsid w:val="000F5A53"/>
    <w:pPr>
      <w:numPr>
        <w:numId w:val="12"/>
      </w:numPr>
      <w:spacing w:after="180" w:line="260" w:lineRule="atLeast"/>
    </w:pPr>
  </w:style>
  <w:style w:type="character" w:customStyle="1" w:styleId="DMReference">
    <w:name w:val="DMReference"/>
    <w:basedOn w:val="FooterChar"/>
    <w:semiHidden/>
    <w:rsid w:val="000F5A53"/>
    <w:rPr>
      <w:rFonts w:ascii="Arial" w:eastAsia="MS Gothic" w:hAnsi="Arial" w:cs="Arial"/>
      <w:noProof/>
      <w:sz w:val="16"/>
      <w:szCs w:val="16"/>
      <w:lang w:val="en-GB" w:eastAsia="en-US"/>
    </w:rPr>
  </w:style>
  <w:style w:type="paragraph" w:customStyle="1" w:styleId="BodyTextIndent4">
    <w:name w:val="Body Text Indent 4"/>
    <w:basedOn w:val="BodyTextIndent"/>
    <w:qFormat/>
    <w:rsid w:val="000F5A53"/>
    <w:pPr>
      <w:spacing w:after="180" w:line="260" w:lineRule="atLeast"/>
      <w:ind w:left="1418"/>
    </w:pPr>
  </w:style>
  <w:style w:type="paragraph" w:customStyle="1" w:styleId="BodyTextIndent5">
    <w:name w:val="Body Text Indent 5"/>
    <w:basedOn w:val="BodyTextIndent4"/>
    <w:qFormat/>
    <w:rsid w:val="000F5A53"/>
    <w:pPr>
      <w:ind w:left="2126"/>
    </w:pPr>
  </w:style>
  <w:style w:type="paragraph" w:customStyle="1" w:styleId="BodyTextIndent6">
    <w:name w:val="Body Text Indent 6"/>
    <w:basedOn w:val="BodyTextIndent5"/>
    <w:qFormat/>
    <w:rsid w:val="000F5A53"/>
    <w:pPr>
      <w:ind w:left="2835"/>
    </w:pPr>
  </w:style>
  <w:style w:type="table" w:customStyle="1" w:styleId="TableHorizontalShadedBlue">
    <w:name w:val="Table Horizontal Shaded Blue"/>
    <w:basedOn w:val="TableNormal"/>
    <w:rsid w:val="000F5A53"/>
    <w:rPr>
      <w:rFonts w:ascii="Arial" w:eastAsia="Times New Roman" w:hAnsi="Arial"/>
    </w:rPr>
    <w:tblPr>
      <w:tblInd w:w="113" w:type="dxa"/>
      <w:tblBorders>
        <w:top w:val="single" w:sz="4" w:space="0" w:color="6773B6"/>
        <w:bottom w:val="single" w:sz="4" w:space="0" w:color="6773B6"/>
        <w:insideH w:val="single" w:sz="4" w:space="0" w:color="6773B6"/>
        <w:insideV w:val="single" w:sz="4" w:space="0" w:color="6773B6"/>
      </w:tblBorders>
      <w:tblCellMar>
        <w:bottom w:w="57" w:type="dxa"/>
        <w:right w:w="57" w:type="dxa"/>
      </w:tblCellMar>
    </w:tblPr>
    <w:tcPr>
      <w:shd w:val="clear" w:color="auto" w:fill="auto"/>
    </w:tcPr>
    <w:tblStylePr w:type="firstRow">
      <w:rPr>
        <w:b w:val="0"/>
        <w:color w:val="FFFFFF"/>
      </w:rPr>
      <w:tblPr/>
      <w:tcPr>
        <w:tcBorders>
          <w:insideV w:val="single" w:sz="4" w:space="0" w:color="FFFFFF"/>
        </w:tcBorders>
        <w:shd w:val="clear" w:color="auto" w:fill="6773B6"/>
      </w:tcPr>
    </w:tblStylePr>
  </w:style>
  <w:style w:type="paragraph" w:customStyle="1" w:styleId="TableCopy">
    <w:name w:val="Table Copy"/>
    <w:basedOn w:val="Normal"/>
    <w:link w:val="TableCopyChar"/>
    <w:uiPriority w:val="8"/>
    <w:semiHidden/>
    <w:rsid w:val="000F5A53"/>
    <w:pPr>
      <w:spacing w:before="120" w:after="120" w:line="240" w:lineRule="atLeast"/>
    </w:pPr>
    <w:rPr>
      <w:rFonts w:ascii="Arial" w:hAnsi="Arial"/>
      <w:color w:val="5F5F5F"/>
      <w:sz w:val="20"/>
      <w:szCs w:val="26"/>
      <w:lang w:eastAsia="en-AU"/>
    </w:rPr>
  </w:style>
  <w:style w:type="paragraph" w:customStyle="1" w:styleId="TableHeadings">
    <w:name w:val="Table Headings"/>
    <w:basedOn w:val="Normal"/>
    <w:uiPriority w:val="8"/>
    <w:semiHidden/>
    <w:rsid w:val="000F5A53"/>
    <w:pPr>
      <w:numPr>
        <w:numId w:val="13"/>
      </w:numPr>
      <w:tabs>
        <w:tab w:val="num" w:pos="360"/>
      </w:tabs>
      <w:spacing w:before="120" w:after="60" w:line="240" w:lineRule="atLeast"/>
    </w:pPr>
    <w:rPr>
      <w:rFonts w:ascii="Arial" w:hAnsi="Arial"/>
      <w:b/>
      <w:sz w:val="20"/>
      <w:szCs w:val="26"/>
      <w:lang w:eastAsia="en-AU"/>
    </w:rPr>
  </w:style>
  <w:style w:type="paragraph" w:customStyle="1" w:styleId="SchH70">
    <w:name w:val="SchH7"/>
    <w:basedOn w:val="Normal"/>
    <w:uiPriority w:val="6"/>
    <w:rsid w:val="000F5A53"/>
    <w:pPr>
      <w:tabs>
        <w:tab w:val="num" w:pos="3544"/>
      </w:tabs>
      <w:spacing w:after="180" w:line="260" w:lineRule="atLeast"/>
      <w:ind w:left="3544" w:hanging="709"/>
    </w:pPr>
  </w:style>
  <w:style w:type="table" w:customStyle="1" w:styleId="TableGrid1">
    <w:name w:val="Table Grid1"/>
    <w:basedOn w:val="TableNormal"/>
    <w:next w:val="TableGrid"/>
    <w:rsid w:val="000F5A53"/>
    <w:rPr>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F5A53"/>
  </w:style>
  <w:style w:type="character" w:customStyle="1" w:styleId="IntenseQuoteChar1">
    <w:name w:val="Intense Quote Char1"/>
    <w:basedOn w:val="DefaultParagraphFont"/>
    <w:rsid w:val="000F5A53"/>
    <w:rPr>
      <w:b/>
      <w:bCs/>
      <w:i/>
      <w:iCs/>
      <w:color w:val="A71930" w:themeColor="accent1"/>
      <w:sz w:val="24"/>
      <w:szCs w:val="24"/>
      <w:lang w:val="en-GB" w:eastAsia="en-US"/>
    </w:rPr>
  </w:style>
  <w:style w:type="character" w:customStyle="1" w:styleId="QuoteChar1">
    <w:name w:val="Quote Char1"/>
    <w:basedOn w:val="DefaultParagraphFont"/>
    <w:rsid w:val="000F5A53"/>
    <w:rPr>
      <w:i/>
      <w:iCs/>
      <w:color w:val="404143" w:themeColor="text1"/>
      <w:sz w:val="24"/>
      <w:szCs w:val="24"/>
      <w:lang w:val="en-GB" w:eastAsia="en-US"/>
    </w:rPr>
  </w:style>
  <w:style w:type="paragraph" w:styleId="List">
    <w:name w:val="List"/>
    <w:basedOn w:val="Normal"/>
    <w:rsid w:val="000F5A53"/>
    <w:pPr>
      <w:ind w:left="283" w:hanging="283"/>
    </w:pPr>
    <w:rPr>
      <w:rFonts w:ascii="Georgia" w:eastAsia="Times New Roman" w:hAnsi="Georgia"/>
      <w:sz w:val="20"/>
      <w:szCs w:val="20"/>
      <w:lang w:val="en-GB" w:eastAsia="en-GB"/>
    </w:rPr>
  </w:style>
  <w:style w:type="paragraph" w:customStyle="1" w:styleId="BBHeading1">
    <w:name w:val="B&amp;B Heading 1"/>
    <w:basedOn w:val="Normal"/>
    <w:next w:val="BBBodyTextIndent1"/>
    <w:rsid w:val="000F5A53"/>
    <w:pPr>
      <w:keepNext/>
      <w:numPr>
        <w:numId w:val="14"/>
      </w:numPr>
      <w:spacing w:before="120" w:after="240"/>
      <w:jc w:val="both"/>
      <w:outlineLvl w:val="0"/>
    </w:pPr>
    <w:rPr>
      <w:rFonts w:ascii="Georgia" w:eastAsia="Times New Roman" w:hAnsi="Georgia"/>
      <w:b/>
      <w:caps/>
      <w:sz w:val="20"/>
      <w:lang w:val="en-GB" w:eastAsia="en-GB"/>
    </w:rPr>
  </w:style>
  <w:style w:type="paragraph" w:customStyle="1" w:styleId="BBClause2">
    <w:name w:val="B&amp;B Clause 2"/>
    <w:basedOn w:val="BBHeading2"/>
    <w:rsid w:val="000F5A53"/>
    <w:pPr>
      <w:keepNext w:val="0"/>
    </w:pPr>
    <w:rPr>
      <w:b w:val="0"/>
    </w:rPr>
  </w:style>
  <w:style w:type="paragraph" w:customStyle="1" w:styleId="BBHeading6">
    <w:name w:val="B&amp;B Heading 6"/>
    <w:basedOn w:val="BBHeading5"/>
    <w:next w:val="BBBodyTextIndent6"/>
    <w:rsid w:val="000F5A53"/>
    <w:pPr>
      <w:numPr>
        <w:ilvl w:val="5"/>
      </w:numPr>
      <w:tabs>
        <w:tab w:val="left" w:pos="3238"/>
      </w:tabs>
      <w:outlineLvl w:val="5"/>
    </w:pPr>
  </w:style>
  <w:style w:type="paragraph" w:customStyle="1" w:styleId="BBHeading5">
    <w:name w:val="B&amp;B Heading 5"/>
    <w:basedOn w:val="BBHeading4"/>
    <w:next w:val="BBBodyTextIndent5"/>
    <w:rsid w:val="000F5A53"/>
    <w:pPr>
      <w:numPr>
        <w:ilvl w:val="4"/>
      </w:numPr>
      <w:tabs>
        <w:tab w:val="clear" w:pos="1787"/>
        <w:tab w:val="num" w:pos="2699"/>
      </w:tabs>
      <w:ind w:left="2699"/>
      <w:outlineLvl w:val="4"/>
    </w:pPr>
  </w:style>
  <w:style w:type="paragraph" w:customStyle="1" w:styleId="BBHeading4">
    <w:name w:val="B&amp;B Heading 4"/>
    <w:basedOn w:val="BBHeading3"/>
    <w:next w:val="BBBodyTextIndent4"/>
    <w:rsid w:val="000F5A53"/>
    <w:pPr>
      <w:numPr>
        <w:ilvl w:val="3"/>
      </w:numPr>
      <w:outlineLvl w:val="3"/>
    </w:pPr>
  </w:style>
  <w:style w:type="paragraph" w:customStyle="1" w:styleId="BBHeading3">
    <w:name w:val="B&amp;B Heading 3"/>
    <w:basedOn w:val="BBHeading2"/>
    <w:next w:val="BBBodyTextIndent3"/>
    <w:rsid w:val="000F5A53"/>
    <w:pPr>
      <w:numPr>
        <w:ilvl w:val="2"/>
      </w:numPr>
      <w:tabs>
        <w:tab w:val="clear" w:pos="1895"/>
        <w:tab w:val="num" w:pos="1622"/>
      </w:tabs>
      <w:ind w:left="1622"/>
      <w:outlineLvl w:val="2"/>
    </w:pPr>
  </w:style>
  <w:style w:type="paragraph" w:customStyle="1" w:styleId="BBHeading2">
    <w:name w:val="B&amp;B Heading 2"/>
    <w:basedOn w:val="BBHeading1"/>
    <w:next w:val="BBBodyTextIndent2"/>
    <w:rsid w:val="000F5A53"/>
    <w:pPr>
      <w:numPr>
        <w:ilvl w:val="1"/>
      </w:numPr>
      <w:spacing w:before="0"/>
      <w:outlineLvl w:val="1"/>
    </w:pPr>
    <w:rPr>
      <w:caps w:val="0"/>
    </w:rPr>
  </w:style>
  <w:style w:type="paragraph" w:customStyle="1" w:styleId="BBHeading7">
    <w:name w:val="B&amp;B Heading 7"/>
    <w:basedOn w:val="BBHeading6"/>
    <w:next w:val="BBBodyTextIndent7"/>
    <w:rsid w:val="000F5A53"/>
    <w:pPr>
      <w:numPr>
        <w:ilvl w:val="6"/>
      </w:numPr>
      <w:tabs>
        <w:tab w:val="left" w:pos="5398"/>
      </w:tabs>
      <w:outlineLvl w:val="6"/>
    </w:pPr>
  </w:style>
  <w:style w:type="paragraph" w:customStyle="1" w:styleId="BBHeading8">
    <w:name w:val="B&amp;B Heading 8"/>
    <w:basedOn w:val="BBHeading7"/>
    <w:next w:val="BBBodyTextIndent8"/>
    <w:rsid w:val="000F5A53"/>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BBBodyTextIndent9"/>
    <w:rsid w:val="000F5A53"/>
    <w:pPr>
      <w:numPr>
        <w:ilvl w:val="8"/>
      </w:numPr>
      <w:tabs>
        <w:tab w:val="left" w:pos="6838"/>
      </w:tabs>
      <w:outlineLvl w:val="8"/>
    </w:pPr>
  </w:style>
  <w:style w:type="paragraph" w:customStyle="1" w:styleId="BBHeading0">
    <w:name w:val="B&amp;B Heading 0"/>
    <w:basedOn w:val="BodyText"/>
    <w:next w:val="BodyText"/>
    <w:rsid w:val="000F5A53"/>
    <w:pPr>
      <w:keepNext/>
      <w:spacing w:before="120" w:after="240" w:line="240" w:lineRule="auto"/>
    </w:pPr>
    <w:rPr>
      <w:rFonts w:ascii="Georgia" w:eastAsia="Times New Roman" w:hAnsi="Georgia"/>
      <w:b/>
      <w:caps/>
      <w:sz w:val="20"/>
      <w:lang w:eastAsia="en-GB"/>
    </w:rPr>
  </w:style>
  <w:style w:type="paragraph" w:customStyle="1" w:styleId="ListofParties">
    <w:name w:val="List of Parties"/>
    <w:basedOn w:val="Normal"/>
    <w:link w:val="ListofPartiesChar"/>
    <w:rsid w:val="000F5A53"/>
    <w:pPr>
      <w:spacing w:after="240"/>
    </w:pPr>
    <w:rPr>
      <w:rFonts w:ascii="Georgia" w:eastAsia="Times New Roman" w:hAnsi="Georgia"/>
      <w:szCs w:val="22"/>
      <w:lang w:val="en-GB" w:eastAsia="sv-SE"/>
    </w:rPr>
  </w:style>
  <w:style w:type="character" w:customStyle="1" w:styleId="ListofPartiesChar">
    <w:name w:val="List of Parties Char"/>
    <w:link w:val="ListofParties"/>
    <w:rsid w:val="000F5A53"/>
    <w:rPr>
      <w:rFonts w:ascii="Georgia" w:eastAsia="Times New Roman" w:hAnsi="Georgia"/>
      <w:sz w:val="22"/>
      <w:szCs w:val="22"/>
      <w:lang w:val="en-GB" w:eastAsia="sv-SE"/>
    </w:rPr>
  </w:style>
  <w:style w:type="paragraph" w:customStyle="1" w:styleId="Background">
    <w:name w:val="Background"/>
    <w:basedOn w:val="Normal"/>
    <w:next w:val="Normal"/>
    <w:rsid w:val="000F5A53"/>
    <w:pPr>
      <w:keepNext/>
      <w:spacing w:before="240" w:after="240"/>
      <w:ind w:left="2018" w:hanging="1009"/>
    </w:pPr>
    <w:rPr>
      <w:rFonts w:ascii="Georgia" w:eastAsia="Times New Roman" w:hAnsi="Georgia"/>
      <w:b/>
      <w:bCs/>
      <w:caps/>
      <w:szCs w:val="22"/>
      <w:lang w:val="en-GB" w:eastAsia="sv-SE"/>
    </w:rPr>
  </w:style>
  <w:style w:type="paragraph" w:customStyle="1" w:styleId="ListBACKGROUNDA">
    <w:name w:val="List BACKGROUND A."/>
    <w:rsid w:val="000F5A53"/>
    <w:pPr>
      <w:numPr>
        <w:numId w:val="15"/>
      </w:numPr>
      <w:spacing w:after="240"/>
    </w:pPr>
    <w:rPr>
      <w:rFonts w:eastAsia="Times New Roman"/>
      <w:sz w:val="22"/>
      <w:szCs w:val="22"/>
      <w:lang w:val="en-GB" w:eastAsia="sv-SE"/>
    </w:rPr>
  </w:style>
  <w:style w:type="paragraph" w:customStyle="1" w:styleId="BBBodyTextIndent2">
    <w:name w:val="B&amp;B Body Text Indent 2"/>
    <w:basedOn w:val="BBBodyTextIndent1"/>
    <w:rsid w:val="000F5A53"/>
    <w:pPr>
      <w:outlineLvl w:val="1"/>
    </w:pPr>
  </w:style>
  <w:style w:type="paragraph" w:customStyle="1" w:styleId="BBBodyTextIndent1">
    <w:name w:val="B&amp;B Body Text Indent 1"/>
    <w:basedOn w:val="BodyText"/>
    <w:rsid w:val="000F5A53"/>
    <w:pPr>
      <w:spacing w:after="240" w:line="240" w:lineRule="auto"/>
      <w:ind w:left="720"/>
      <w:jc w:val="both"/>
      <w:outlineLvl w:val="0"/>
    </w:pPr>
    <w:rPr>
      <w:rFonts w:ascii="Georgia" w:eastAsia="Times New Roman" w:hAnsi="Georgia"/>
      <w:sz w:val="20"/>
      <w:szCs w:val="20"/>
      <w:lang w:eastAsia="en-GB"/>
    </w:rPr>
  </w:style>
  <w:style w:type="paragraph" w:customStyle="1" w:styleId="BBBodyTextIndent3">
    <w:name w:val="B&amp;B Body Text Indent 3"/>
    <w:basedOn w:val="BBBodyTextIndent2"/>
    <w:rsid w:val="000F5A53"/>
    <w:pPr>
      <w:ind w:left="1622"/>
      <w:outlineLvl w:val="2"/>
    </w:pPr>
  </w:style>
  <w:style w:type="paragraph" w:customStyle="1" w:styleId="BBBodyTextIndent4">
    <w:name w:val="B&amp;B Body Text Indent 4"/>
    <w:basedOn w:val="Normal"/>
    <w:rsid w:val="000F5A53"/>
    <w:pPr>
      <w:spacing w:after="240"/>
      <w:ind w:left="2699"/>
      <w:jc w:val="both"/>
      <w:outlineLvl w:val="3"/>
    </w:pPr>
    <w:rPr>
      <w:rFonts w:ascii="Georgia" w:eastAsia="Times New Roman" w:hAnsi="Georgia"/>
      <w:sz w:val="20"/>
      <w:szCs w:val="20"/>
      <w:lang w:val="en-GB" w:eastAsia="en-GB"/>
    </w:rPr>
  </w:style>
  <w:style w:type="paragraph" w:customStyle="1" w:styleId="BBBodyTextIndent5">
    <w:name w:val="B&amp;B Body Text Indent 5"/>
    <w:basedOn w:val="BBBodyTextIndent4"/>
    <w:rsid w:val="000F5A53"/>
    <w:pPr>
      <w:outlineLvl w:val="4"/>
    </w:pPr>
  </w:style>
  <w:style w:type="paragraph" w:customStyle="1" w:styleId="BBBodyTextIndent6">
    <w:name w:val="B&amp;B Body Text Indent 6"/>
    <w:basedOn w:val="BBBodyTextIndent5"/>
    <w:rsid w:val="000F5A53"/>
    <w:pPr>
      <w:ind w:left="3238"/>
      <w:outlineLvl w:val="5"/>
    </w:pPr>
  </w:style>
  <w:style w:type="paragraph" w:customStyle="1" w:styleId="BBBodyTextIndent7">
    <w:name w:val="B&amp;B Body Text Indent 7"/>
    <w:basedOn w:val="BBBodyTextIndent6"/>
    <w:rsid w:val="000F5A53"/>
    <w:pPr>
      <w:ind w:left="3907"/>
      <w:outlineLvl w:val="6"/>
    </w:pPr>
  </w:style>
  <w:style w:type="paragraph" w:customStyle="1" w:styleId="BBBodyTextIndent8">
    <w:name w:val="B&amp;B Body Text Indent 8"/>
    <w:basedOn w:val="BBBodyTextIndent7"/>
    <w:rsid w:val="000F5A53"/>
    <w:pPr>
      <w:ind w:left="4581"/>
      <w:outlineLvl w:val="7"/>
    </w:pPr>
  </w:style>
  <w:style w:type="paragraph" w:customStyle="1" w:styleId="BBBodyTextIndent9">
    <w:name w:val="B&amp;B Body Text Indent 9"/>
    <w:basedOn w:val="BBBodyTextIndent8"/>
    <w:rsid w:val="000F5A53"/>
    <w:pPr>
      <w:ind w:left="6838"/>
      <w:outlineLvl w:val="8"/>
    </w:pPr>
  </w:style>
  <w:style w:type="paragraph" w:customStyle="1" w:styleId="BBClause1">
    <w:name w:val="B&amp;B Clause 1"/>
    <w:basedOn w:val="BBHeading1"/>
    <w:rsid w:val="000F5A53"/>
    <w:pPr>
      <w:keepNext w:val="0"/>
      <w:spacing w:before="0"/>
    </w:pPr>
    <w:rPr>
      <w:b w:val="0"/>
      <w:caps w:val="0"/>
    </w:rPr>
  </w:style>
  <w:style w:type="paragraph" w:customStyle="1" w:styleId="BBClause3">
    <w:name w:val="B&amp;B Clause 3"/>
    <w:basedOn w:val="BBHeading3"/>
    <w:rsid w:val="000F5A53"/>
    <w:pPr>
      <w:keepNext w:val="0"/>
    </w:pPr>
    <w:rPr>
      <w:b w:val="0"/>
    </w:rPr>
  </w:style>
  <w:style w:type="paragraph" w:customStyle="1" w:styleId="BBClause4">
    <w:name w:val="B&amp;B Clause 4"/>
    <w:basedOn w:val="BBHeading4"/>
    <w:rsid w:val="000F5A53"/>
    <w:pPr>
      <w:keepNext w:val="0"/>
    </w:pPr>
    <w:rPr>
      <w:b w:val="0"/>
    </w:rPr>
  </w:style>
  <w:style w:type="paragraph" w:customStyle="1" w:styleId="BBClause5">
    <w:name w:val="B&amp;B Clause 5"/>
    <w:basedOn w:val="BBHeading5"/>
    <w:rsid w:val="000F5A53"/>
    <w:pPr>
      <w:keepNext w:val="0"/>
      <w:tabs>
        <w:tab w:val="clear" w:pos="2699"/>
        <w:tab w:val="num" w:pos="1787"/>
      </w:tabs>
      <w:ind w:left="1787"/>
    </w:pPr>
    <w:rPr>
      <w:b w:val="0"/>
    </w:rPr>
  </w:style>
  <w:style w:type="paragraph" w:customStyle="1" w:styleId="BBClause6">
    <w:name w:val="B&amp;B Clause 6"/>
    <w:basedOn w:val="BBHeading6"/>
    <w:rsid w:val="000F5A53"/>
    <w:pPr>
      <w:keepNext w:val="0"/>
    </w:pPr>
    <w:rPr>
      <w:b w:val="0"/>
    </w:rPr>
  </w:style>
  <w:style w:type="paragraph" w:customStyle="1" w:styleId="BBClause7">
    <w:name w:val="B&amp;B Clause 7"/>
    <w:basedOn w:val="BBHeading7"/>
    <w:rsid w:val="000F5A53"/>
    <w:pPr>
      <w:keepNext w:val="0"/>
    </w:pPr>
    <w:rPr>
      <w:b w:val="0"/>
    </w:rPr>
  </w:style>
  <w:style w:type="paragraph" w:customStyle="1" w:styleId="BBClause8">
    <w:name w:val="B&amp;B Clause 8"/>
    <w:basedOn w:val="BBHeading8"/>
    <w:rsid w:val="000F5A53"/>
    <w:pPr>
      <w:keepNext w:val="0"/>
    </w:pPr>
    <w:rPr>
      <w:b w:val="0"/>
    </w:rPr>
  </w:style>
  <w:style w:type="paragraph" w:customStyle="1" w:styleId="BBClause9">
    <w:name w:val="B&amp;B Clause 9"/>
    <w:basedOn w:val="BBHeading9"/>
    <w:rsid w:val="000F5A53"/>
    <w:pPr>
      <w:keepNext w:val="0"/>
    </w:pPr>
    <w:rPr>
      <w:b w:val="0"/>
    </w:rPr>
  </w:style>
  <w:style w:type="paragraph" w:customStyle="1" w:styleId="BBSchedule1">
    <w:name w:val="B&amp;B Schedule 1"/>
    <w:basedOn w:val="BBScheduleHeading1"/>
    <w:rsid w:val="000F5A53"/>
    <w:pPr>
      <w:keepNext w:val="0"/>
      <w:spacing w:before="0"/>
    </w:pPr>
    <w:rPr>
      <w:b w:val="0"/>
    </w:rPr>
  </w:style>
  <w:style w:type="paragraph" w:customStyle="1" w:styleId="BBSchedule2">
    <w:name w:val="B&amp;B Schedule 2"/>
    <w:basedOn w:val="BBScheduleHeading2"/>
    <w:rsid w:val="000F5A53"/>
    <w:pPr>
      <w:keepNext w:val="0"/>
      <w:spacing w:before="0"/>
    </w:pPr>
    <w:rPr>
      <w:b w:val="0"/>
    </w:rPr>
  </w:style>
  <w:style w:type="paragraph" w:customStyle="1" w:styleId="BBSchedule3">
    <w:name w:val="B&amp;B Schedule 3"/>
    <w:basedOn w:val="BodyText"/>
    <w:rsid w:val="000F5A53"/>
    <w:pPr>
      <w:numPr>
        <w:ilvl w:val="3"/>
        <w:numId w:val="22"/>
      </w:numPr>
      <w:spacing w:after="240" w:line="240" w:lineRule="auto"/>
      <w:jc w:val="both"/>
      <w:outlineLvl w:val="2"/>
    </w:pPr>
    <w:rPr>
      <w:rFonts w:ascii="Georgia" w:eastAsia="Times New Roman" w:hAnsi="Georgia"/>
      <w:sz w:val="20"/>
      <w:szCs w:val="20"/>
      <w:lang w:eastAsia="en-GB"/>
    </w:rPr>
  </w:style>
  <w:style w:type="paragraph" w:customStyle="1" w:styleId="BBSchedule4">
    <w:name w:val="B&amp;B Schedule 4"/>
    <w:basedOn w:val="BodyText"/>
    <w:rsid w:val="000F5A53"/>
    <w:pPr>
      <w:numPr>
        <w:ilvl w:val="4"/>
        <w:numId w:val="22"/>
      </w:numPr>
      <w:spacing w:after="240" w:line="240" w:lineRule="auto"/>
      <w:jc w:val="both"/>
      <w:outlineLvl w:val="3"/>
    </w:pPr>
    <w:rPr>
      <w:rFonts w:ascii="Georgia" w:eastAsia="Times New Roman" w:hAnsi="Georgia"/>
      <w:sz w:val="20"/>
      <w:szCs w:val="20"/>
      <w:lang w:eastAsia="en-GB"/>
    </w:rPr>
  </w:style>
  <w:style w:type="paragraph" w:customStyle="1" w:styleId="BBSchedule5">
    <w:name w:val="B&amp;B Schedule 5"/>
    <w:basedOn w:val="BodyText"/>
    <w:rsid w:val="000F5A53"/>
    <w:pPr>
      <w:numPr>
        <w:ilvl w:val="5"/>
        <w:numId w:val="22"/>
      </w:numPr>
      <w:spacing w:after="240" w:line="240" w:lineRule="auto"/>
      <w:jc w:val="both"/>
      <w:outlineLvl w:val="4"/>
    </w:pPr>
    <w:rPr>
      <w:rFonts w:ascii="Georgia" w:eastAsia="Times New Roman" w:hAnsi="Georgia"/>
      <w:sz w:val="20"/>
      <w:szCs w:val="20"/>
      <w:lang w:eastAsia="en-GB"/>
    </w:rPr>
  </w:style>
  <w:style w:type="paragraph" w:customStyle="1" w:styleId="BBSchedule6">
    <w:name w:val="B&amp;B Schedule 6"/>
    <w:basedOn w:val="BodyText"/>
    <w:rsid w:val="000F5A53"/>
    <w:pPr>
      <w:numPr>
        <w:ilvl w:val="6"/>
        <w:numId w:val="22"/>
      </w:numPr>
      <w:spacing w:after="240" w:line="240" w:lineRule="auto"/>
      <w:jc w:val="both"/>
      <w:outlineLvl w:val="5"/>
    </w:pPr>
    <w:rPr>
      <w:rFonts w:ascii="Georgia" w:eastAsia="Times New Roman" w:hAnsi="Georgia"/>
      <w:sz w:val="20"/>
      <w:szCs w:val="20"/>
      <w:lang w:eastAsia="en-GB"/>
    </w:rPr>
  </w:style>
  <w:style w:type="paragraph" w:customStyle="1" w:styleId="BBSchedule7">
    <w:name w:val="B&amp;B Schedule 7"/>
    <w:basedOn w:val="BodyText"/>
    <w:rsid w:val="000F5A53"/>
    <w:pPr>
      <w:spacing w:after="240" w:line="240" w:lineRule="auto"/>
      <w:jc w:val="both"/>
    </w:pPr>
    <w:rPr>
      <w:rFonts w:ascii="Georgia" w:eastAsia="Times New Roman" w:hAnsi="Georgia"/>
      <w:sz w:val="20"/>
      <w:szCs w:val="20"/>
      <w:lang w:eastAsia="en-GB"/>
    </w:rPr>
  </w:style>
  <w:style w:type="paragraph" w:customStyle="1" w:styleId="BBSchedule8">
    <w:name w:val="B&amp;B Schedule 8"/>
    <w:basedOn w:val="BodyText"/>
    <w:rsid w:val="000F5A53"/>
    <w:pPr>
      <w:spacing w:after="240" w:line="240" w:lineRule="auto"/>
      <w:jc w:val="both"/>
    </w:pPr>
    <w:rPr>
      <w:rFonts w:ascii="Georgia" w:eastAsia="Times New Roman" w:hAnsi="Georgia"/>
      <w:sz w:val="20"/>
      <w:szCs w:val="20"/>
      <w:lang w:eastAsia="en-GB"/>
    </w:rPr>
  </w:style>
  <w:style w:type="paragraph" w:customStyle="1" w:styleId="BBSchedule9">
    <w:name w:val="B&amp;B Schedule 9"/>
    <w:basedOn w:val="BodyText"/>
    <w:rsid w:val="000F5A53"/>
    <w:pPr>
      <w:spacing w:after="240" w:line="240" w:lineRule="auto"/>
      <w:jc w:val="both"/>
    </w:pPr>
    <w:rPr>
      <w:rFonts w:ascii="Georgia" w:eastAsia="Times New Roman" w:hAnsi="Georgia"/>
      <w:sz w:val="20"/>
      <w:szCs w:val="20"/>
      <w:lang w:eastAsia="en-GB"/>
    </w:rPr>
  </w:style>
  <w:style w:type="paragraph" w:customStyle="1" w:styleId="BBScheduleSub-title">
    <w:name w:val="B&amp;B Schedule Sub-title"/>
    <w:basedOn w:val="BodyText"/>
    <w:next w:val="BodyText"/>
    <w:rsid w:val="000F5A53"/>
    <w:pPr>
      <w:spacing w:after="240" w:line="240" w:lineRule="auto"/>
      <w:jc w:val="center"/>
    </w:pPr>
    <w:rPr>
      <w:rFonts w:ascii="Georgia" w:eastAsia="Times New Roman" w:hAnsi="Georgia"/>
      <w:b/>
      <w:sz w:val="20"/>
      <w:szCs w:val="20"/>
      <w:lang w:eastAsia="en-GB"/>
    </w:rPr>
  </w:style>
  <w:style w:type="paragraph" w:customStyle="1" w:styleId="BBScheduleTitle">
    <w:name w:val="B&amp;B Schedule Title"/>
    <w:basedOn w:val="BodyText"/>
    <w:next w:val="BBScheduleSub-title"/>
    <w:rsid w:val="000F5A53"/>
    <w:pPr>
      <w:keepNext/>
      <w:pageBreakBefore/>
      <w:numPr>
        <w:numId w:val="22"/>
      </w:numPr>
      <w:spacing w:after="240" w:line="240" w:lineRule="auto"/>
      <w:jc w:val="center"/>
    </w:pPr>
    <w:rPr>
      <w:rFonts w:ascii="Georgia" w:eastAsia="Times New Roman" w:hAnsi="Georgia"/>
      <w:b/>
      <w:sz w:val="20"/>
      <w:szCs w:val="20"/>
      <w:lang w:eastAsia="en-GB"/>
    </w:rPr>
  </w:style>
  <w:style w:type="paragraph" w:styleId="EndnoteText">
    <w:name w:val="endnote text"/>
    <w:basedOn w:val="Normal"/>
    <w:link w:val="EndnoteTextChar"/>
    <w:semiHidden/>
    <w:rsid w:val="000F5A53"/>
    <w:pPr>
      <w:ind w:left="62" w:hanging="62"/>
    </w:pPr>
    <w:rPr>
      <w:rFonts w:ascii="Georgia" w:eastAsia="Times New Roman" w:hAnsi="Georgia"/>
      <w:sz w:val="16"/>
      <w:szCs w:val="20"/>
      <w:lang w:val="en-GB" w:eastAsia="en-GB"/>
    </w:rPr>
  </w:style>
  <w:style w:type="character" w:customStyle="1" w:styleId="EndnoteTextChar">
    <w:name w:val="Endnote Text Char"/>
    <w:basedOn w:val="DefaultParagraphFont"/>
    <w:link w:val="EndnoteText"/>
    <w:semiHidden/>
    <w:rsid w:val="000F5A53"/>
    <w:rPr>
      <w:rFonts w:ascii="Georgia" w:eastAsia="Times New Roman" w:hAnsi="Georgia"/>
      <w:sz w:val="16"/>
      <w:lang w:val="en-GB" w:eastAsia="en-GB"/>
    </w:rPr>
  </w:style>
  <w:style w:type="character" w:styleId="EndnoteReference">
    <w:name w:val="endnote reference"/>
    <w:semiHidden/>
    <w:rsid w:val="000F5A53"/>
    <w:rPr>
      <w:vertAlign w:val="superscript"/>
    </w:rPr>
  </w:style>
  <w:style w:type="paragraph" w:customStyle="1" w:styleId="BBFootnoteText">
    <w:name w:val="B&amp;B Footnote Text"/>
    <w:basedOn w:val="FootnoteText"/>
    <w:rsid w:val="000F5A53"/>
    <w:pPr>
      <w:ind w:left="113" w:hanging="113"/>
      <w:jc w:val="both"/>
    </w:pPr>
    <w:rPr>
      <w:rFonts w:ascii="Georgia" w:eastAsia="Times New Roman" w:hAnsi="Georgia"/>
      <w:sz w:val="16"/>
      <w:lang w:eastAsia="en-GB"/>
    </w:rPr>
  </w:style>
  <w:style w:type="paragraph" w:customStyle="1" w:styleId="BBEndnoteText">
    <w:name w:val="B&amp;B Endnote Text"/>
    <w:basedOn w:val="EndnoteText"/>
    <w:rsid w:val="000F5A53"/>
    <w:pPr>
      <w:jc w:val="both"/>
    </w:pPr>
  </w:style>
  <w:style w:type="paragraph" w:customStyle="1" w:styleId="BBHeading0Lower">
    <w:name w:val="B&amp;B Heading 0 (Lower)"/>
    <w:basedOn w:val="BBHeading0"/>
    <w:next w:val="BodyText"/>
    <w:rsid w:val="000F5A53"/>
    <w:rPr>
      <w:caps w:val="0"/>
    </w:rPr>
  </w:style>
  <w:style w:type="paragraph" w:customStyle="1" w:styleId="BBHeading1Lower">
    <w:name w:val="B&amp;B Heading 1 (Lower)"/>
    <w:basedOn w:val="BBHeading1"/>
    <w:next w:val="BBBodyTextIndent1"/>
    <w:rsid w:val="000F5A53"/>
    <w:rPr>
      <w:caps w:val="0"/>
    </w:rPr>
  </w:style>
  <w:style w:type="paragraph" w:customStyle="1" w:styleId="BBScheduleHeading1">
    <w:name w:val="B&amp;B Schedule Heading 1"/>
    <w:next w:val="BBBodyTextIndent1"/>
    <w:rsid w:val="000F5A53"/>
    <w:pPr>
      <w:keepNext/>
      <w:numPr>
        <w:ilvl w:val="1"/>
        <w:numId w:val="22"/>
      </w:numPr>
      <w:spacing w:before="120" w:after="240"/>
      <w:jc w:val="both"/>
      <w:outlineLvl w:val="0"/>
    </w:pPr>
    <w:rPr>
      <w:rFonts w:ascii="Georgia" w:eastAsia="Times New Roman" w:hAnsi="Georgia"/>
      <w:b/>
      <w:lang w:val="en-GB" w:eastAsia="en-GB"/>
    </w:rPr>
  </w:style>
  <w:style w:type="paragraph" w:customStyle="1" w:styleId="BBScheduleHeading2">
    <w:name w:val="B&amp;B Schedule Heading 2"/>
    <w:next w:val="BBBodyTextIndent2"/>
    <w:rsid w:val="000F5A53"/>
    <w:pPr>
      <w:keepNext/>
      <w:numPr>
        <w:ilvl w:val="2"/>
        <w:numId w:val="22"/>
      </w:numPr>
      <w:spacing w:before="120" w:after="240"/>
      <w:jc w:val="both"/>
      <w:outlineLvl w:val="1"/>
    </w:pPr>
    <w:rPr>
      <w:rFonts w:ascii="Georgia" w:eastAsia="Times New Roman" w:hAnsi="Georgia"/>
      <w:b/>
      <w:lang w:val="en-GB" w:eastAsia="en-GB"/>
    </w:rPr>
  </w:style>
  <w:style w:type="numbering" w:styleId="111111">
    <w:name w:val="Outline List 2"/>
    <w:basedOn w:val="NoList"/>
    <w:rsid w:val="000F5A53"/>
    <w:pPr>
      <w:numPr>
        <w:numId w:val="25"/>
      </w:numPr>
    </w:pPr>
  </w:style>
  <w:style w:type="numbering" w:styleId="1ai0">
    <w:name w:val="Outline List 1"/>
    <w:basedOn w:val="NoList"/>
    <w:rsid w:val="000F5A53"/>
    <w:pPr>
      <w:numPr>
        <w:numId w:val="23"/>
      </w:numPr>
    </w:pPr>
  </w:style>
  <w:style w:type="numbering" w:styleId="ArticleSection0">
    <w:name w:val="Outline List 3"/>
    <w:basedOn w:val="NoList"/>
    <w:rsid w:val="000F5A53"/>
    <w:pPr>
      <w:numPr>
        <w:numId w:val="24"/>
      </w:numPr>
    </w:pPr>
  </w:style>
  <w:style w:type="paragraph" w:styleId="BlockText">
    <w:name w:val="Block Text"/>
    <w:basedOn w:val="Normal"/>
    <w:rsid w:val="000F5A53"/>
    <w:pPr>
      <w:spacing w:after="120"/>
      <w:ind w:left="1440" w:right="1440"/>
    </w:pPr>
    <w:rPr>
      <w:rFonts w:ascii="Georgia" w:eastAsia="Times New Roman" w:hAnsi="Georgia"/>
      <w:sz w:val="20"/>
      <w:szCs w:val="20"/>
      <w:lang w:val="en-GB" w:eastAsia="en-GB"/>
    </w:rPr>
  </w:style>
  <w:style w:type="paragraph" w:styleId="BodyText3">
    <w:name w:val="Body Text 3"/>
    <w:basedOn w:val="Normal"/>
    <w:link w:val="BodyText3Char"/>
    <w:qFormat/>
    <w:rsid w:val="000F5A53"/>
    <w:pPr>
      <w:spacing w:after="120"/>
    </w:pPr>
    <w:rPr>
      <w:rFonts w:ascii="Georgia" w:eastAsia="Times New Roman" w:hAnsi="Georgia"/>
      <w:sz w:val="16"/>
      <w:szCs w:val="16"/>
      <w:lang w:val="en-GB" w:eastAsia="en-GB"/>
    </w:rPr>
  </w:style>
  <w:style w:type="character" w:customStyle="1" w:styleId="BodyText3Char">
    <w:name w:val="Body Text 3 Char"/>
    <w:basedOn w:val="DefaultParagraphFont"/>
    <w:link w:val="BodyText3"/>
    <w:rsid w:val="000F5A53"/>
    <w:rPr>
      <w:rFonts w:ascii="Georgia" w:eastAsia="Times New Roman" w:hAnsi="Georgia"/>
      <w:sz w:val="16"/>
      <w:szCs w:val="16"/>
      <w:lang w:val="en-GB" w:eastAsia="en-GB"/>
    </w:rPr>
  </w:style>
  <w:style w:type="paragraph" w:styleId="BodyTextFirstIndent2">
    <w:name w:val="Body Text First Indent 2"/>
    <w:basedOn w:val="BodyTextIndent"/>
    <w:link w:val="BodyTextFirstIndent2Char"/>
    <w:rsid w:val="000F5A53"/>
    <w:pPr>
      <w:ind w:firstLine="210"/>
    </w:pPr>
    <w:rPr>
      <w:rFonts w:ascii="Georgia" w:eastAsia="Times New Roman" w:hAnsi="Georgia"/>
      <w:sz w:val="20"/>
      <w:szCs w:val="20"/>
      <w:lang w:val="en-GB" w:eastAsia="en-GB"/>
    </w:rPr>
  </w:style>
  <w:style w:type="character" w:customStyle="1" w:styleId="BodyTextFirstIndent2Char">
    <w:name w:val="Body Text First Indent 2 Char"/>
    <w:basedOn w:val="BodyTextIndentChar"/>
    <w:link w:val="BodyTextFirstIndent2"/>
    <w:rsid w:val="000F5A53"/>
    <w:rPr>
      <w:rFonts w:ascii="Georgia" w:eastAsia="Times New Roman" w:hAnsi="Georgia"/>
      <w:sz w:val="22"/>
      <w:szCs w:val="24"/>
      <w:lang w:val="en-GB" w:eastAsia="en-GB"/>
    </w:rPr>
  </w:style>
  <w:style w:type="paragraph" w:styleId="Closing">
    <w:name w:val="Closing"/>
    <w:basedOn w:val="Normal"/>
    <w:link w:val="ClosingChar"/>
    <w:rsid w:val="000F5A53"/>
    <w:pPr>
      <w:ind w:left="4252"/>
    </w:pPr>
    <w:rPr>
      <w:rFonts w:ascii="Georgia" w:eastAsia="Times New Roman" w:hAnsi="Georgia"/>
      <w:sz w:val="20"/>
      <w:szCs w:val="20"/>
      <w:lang w:val="en-GB" w:eastAsia="en-GB"/>
    </w:rPr>
  </w:style>
  <w:style w:type="character" w:customStyle="1" w:styleId="ClosingChar">
    <w:name w:val="Closing Char"/>
    <w:basedOn w:val="DefaultParagraphFont"/>
    <w:link w:val="Closing"/>
    <w:rsid w:val="000F5A53"/>
    <w:rPr>
      <w:rFonts w:ascii="Georgia" w:eastAsia="Times New Roman" w:hAnsi="Georgia"/>
      <w:lang w:val="en-GB" w:eastAsia="en-GB"/>
    </w:rPr>
  </w:style>
  <w:style w:type="paragraph" w:styleId="Date">
    <w:name w:val="Date"/>
    <w:basedOn w:val="Normal"/>
    <w:next w:val="Normal"/>
    <w:link w:val="DateChar"/>
    <w:rsid w:val="000F5A53"/>
    <w:rPr>
      <w:rFonts w:ascii="Georgia" w:eastAsia="Times New Roman" w:hAnsi="Georgia"/>
      <w:sz w:val="20"/>
      <w:szCs w:val="20"/>
      <w:lang w:val="en-GB" w:eastAsia="en-GB"/>
    </w:rPr>
  </w:style>
  <w:style w:type="character" w:customStyle="1" w:styleId="DateChar">
    <w:name w:val="Date Char"/>
    <w:basedOn w:val="DefaultParagraphFont"/>
    <w:link w:val="Date"/>
    <w:rsid w:val="000F5A53"/>
    <w:rPr>
      <w:rFonts w:ascii="Georgia" w:eastAsia="Times New Roman" w:hAnsi="Georgia"/>
      <w:lang w:val="en-GB" w:eastAsia="en-GB"/>
    </w:rPr>
  </w:style>
  <w:style w:type="paragraph" w:styleId="DocumentMap">
    <w:name w:val="Document Map"/>
    <w:basedOn w:val="Normal"/>
    <w:link w:val="DocumentMapChar"/>
    <w:semiHidden/>
    <w:rsid w:val="000F5A53"/>
    <w:pPr>
      <w:shd w:val="clear" w:color="auto" w:fill="000080"/>
    </w:pPr>
    <w:rPr>
      <w:rFonts w:ascii="Georgia" w:eastAsia="Times New Roman" w:hAnsi="Georgia" w:cs="Tahoma"/>
      <w:sz w:val="20"/>
      <w:szCs w:val="20"/>
      <w:lang w:val="en-GB" w:eastAsia="en-GB"/>
    </w:rPr>
  </w:style>
  <w:style w:type="character" w:customStyle="1" w:styleId="DocumentMapChar">
    <w:name w:val="Document Map Char"/>
    <w:basedOn w:val="DefaultParagraphFont"/>
    <w:link w:val="DocumentMap"/>
    <w:semiHidden/>
    <w:rsid w:val="000F5A53"/>
    <w:rPr>
      <w:rFonts w:ascii="Georgia" w:eastAsia="Times New Roman" w:hAnsi="Georgia" w:cs="Tahoma"/>
      <w:shd w:val="clear" w:color="auto" w:fill="000080"/>
      <w:lang w:val="en-GB" w:eastAsia="en-GB"/>
    </w:rPr>
  </w:style>
  <w:style w:type="paragraph" w:styleId="E-mailSignature">
    <w:name w:val="E-mail Signature"/>
    <w:basedOn w:val="Normal"/>
    <w:link w:val="E-mailSignatureChar"/>
    <w:rsid w:val="000F5A53"/>
    <w:rPr>
      <w:rFonts w:ascii="Georgia" w:eastAsia="Times New Roman" w:hAnsi="Georgia"/>
      <w:sz w:val="20"/>
      <w:szCs w:val="20"/>
      <w:lang w:val="en-GB" w:eastAsia="en-GB"/>
    </w:rPr>
  </w:style>
  <w:style w:type="character" w:customStyle="1" w:styleId="E-mailSignatureChar">
    <w:name w:val="E-mail Signature Char"/>
    <w:basedOn w:val="DefaultParagraphFont"/>
    <w:link w:val="E-mailSignature"/>
    <w:rsid w:val="000F5A53"/>
    <w:rPr>
      <w:rFonts w:ascii="Georgia" w:eastAsia="Times New Roman" w:hAnsi="Georgia"/>
      <w:lang w:val="en-GB" w:eastAsia="en-GB"/>
    </w:rPr>
  </w:style>
  <w:style w:type="paragraph" w:styleId="EnvelopeAddress">
    <w:name w:val="envelope address"/>
    <w:basedOn w:val="Normal"/>
    <w:rsid w:val="000F5A53"/>
    <w:pPr>
      <w:framePr w:w="7920" w:h="1980" w:hRule="exact" w:hSpace="180" w:wrap="auto" w:hAnchor="page" w:xAlign="center" w:yAlign="bottom"/>
      <w:ind w:left="2880"/>
    </w:pPr>
    <w:rPr>
      <w:rFonts w:ascii="Georgia" w:eastAsia="Times New Roman" w:hAnsi="Georgia" w:cs="Arial"/>
      <w:sz w:val="24"/>
      <w:lang w:val="en-GB" w:eastAsia="en-GB"/>
    </w:rPr>
  </w:style>
  <w:style w:type="paragraph" w:styleId="EnvelopeReturn">
    <w:name w:val="envelope return"/>
    <w:basedOn w:val="Normal"/>
    <w:rsid w:val="000F5A53"/>
    <w:rPr>
      <w:rFonts w:ascii="Georgia" w:eastAsia="Times New Roman" w:hAnsi="Georgia" w:cs="Arial"/>
      <w:sz w:val="20"/>
      <w:szCs w:val="20"/>
      <w:lang w:val="en-GB" w:eastAsia="en-GB"/>
    </w:rPr>
  </w:style>
  <w:style w:type="character" w:styleId="FollowedHyperlink">
    <w:name w:val="FollowedHyperlink"/>
    <w:rsid w:val="000F5A53"/>
    <w:rPr>
      <w:color w:val="800080"/>
      <w:u w:val="single"/>
    </w:rPr>
  </w:style>
  <w:style w:type="character" w:styleId="HTMLAcronym">
    <w:name w:val="HTML Acronym"/>
    <w:basedOn w:val="DefaultParagraphFont"/>
    <w:rsid w:val="000F5A53"/>
  </w:style>
  <w:style w:type="paragraph" w:styleId="HTMLAddress">
    <w:name w:val="HTML Address"/>
    <w:basedOn w:val="Normal"/>
    <w:link w:val="HTMLAddressChar"/>
    <w:rsid w:val="000F5A53"/>
    <w:rPr>
      <w:rFonts w:ascii="Georgia" w:eastAsia="Times New Roman" w:hAnsi="Georgia"/>
      <w:i/>
      <w:iCs/>
      <w:sz w:val="20"/>
      <w:szCs w:val="20"/>
      <w:lang w:val="en-GB" w:eastAsia="en-GB"/>
    </w:rPr>
  </w:style>
  <w:style w:type="character" w:customStyle="1" w:styleId="HTMLAddressChar">
    <w:name w:val="HTML Address Char"/>
    <w:basedOn w:val="DefaultParagraphFont"/>
    <w:link w:val="HTMLAddress"/>
    <w:rsid w:val="000F5A53"/>
    <w:rPr>
      <w:rFonts w:ascii="Georgia" w:eastAsia="Times New Roman" w:hAnsi="Georgia"/>
      <w:i/>
      <w:iCs/>
      <w:lang w:val="en-GB" w:eastAsia="en-GB"/>
    </w:rPr>
  </w:style>
  <w:style w:type="character" w:styleId="HTMLCite">
    <w:name w:val="HTML Cite"/>
    <w:rsid w:val="000F5A53"/>
    <w:rPr>
      <w:i/>
      <w:iCs/>
    </w:rPr>
  </w:style>
  <w:style w:type="character" w:styleId="HTMLCode">
    <w:name w:val="HTML Code"/>
    <w:rsid w:val="000F5A53"/>
    <w:rPr>
      <w:rFonts w:ascii="Georgia" w:hAnsi="Georgia" w:cs="Courier New"/>
      <w:sz w:val="20"/>
      <w:szCs w:val="20"/>
    </w:rPr>
  </w:style>
  <w:style w:type="character" w:styleId="HTMLDefinition">
    <w:name w:val="HTML Definition"/>
    <w:rsid w:val="000F5A53"/>
    <w:rPr>
      <w:i/>
      <w:iCs/>
    </w:rPr>
  </w:style>
  <w:style w:type="character" w:styleId="HTMLKeyboard">
    <w:name w:val="HTML Keyboard"/>
    <w:rsid w:val="000F5A53"/>
    <w:rPr>
      <w:rFonts w:ascii="Georgia" w:hAnsi="Georgia" w:cs="Courier New"/>
      <w:sz w:val="20"/>
      <w:szCs w:val="20"/>
    </w:rPr>
  </w:style>
  <w:style w:type="paragraph" w:styleId="HTMLPreformatted">
    <w:name w:val="HTML Preformatted"/>
    <w:basedOn w:val="Normal"/>
    <w:link w:val="HTMLPreformattedChar"/>
    <w:rsid w:val="000F5A53"/>
    <w:rPr>
      <w:rFonts w:ascii="Georgia" w:eastAsia="Times New Roman" w:hAnsi="Georgia" w:cs="Courier New"/>
      <w:sz w:val="20"/>
      <w:szCs w:val="20"/>
      <w:lang w:val="en-GB" w:eastAsia="en-GB"/>
    </w:rPr>
  </w:style>
  <w:style w:type="character" w:customStyle="1" w:styleId="HTMLPreformattedChar">
    <w:name w:val="HTML Preformatted Char"/>
    <w:basedOn w:val="DefaultParagraphFont"/>
    <w:link w:val="HTMLPreformatted"/>
    <w:rsid w:val="000F5A53"/>
    <w:rPr>
      <w:rFonts w:ascii="Georgia" w:eastAsia="Times New Roman" w:hAnsi="Georgia" w:cs="Courier New"/>
      <w:lang w:val="en-GB" w:eastAsia="en-GB"/>
    </w:rPr>
  </w:style>
  <w:style w:type="character" w:styleId="HTMLSample">
    <w:name w:val="HTML Sample"/>
    <w:rsid w:val="000F5A53"/>
    <w:rPr>
      <w:rFonts w:ascii="Georgia" w:hAnsi="Georgia" w:cs="Courier New"/>
    </w:rPr>
  </w:style>
  <w:style w:type="character" w:styleId="HTMLTypewriter">
    <w:name w:val="HTML Typewriter"/>
    <w:rsid w:val="000F5A53"/>
    <w:rPr>
      <w:rFonts w:ascii="Georgia" w:hAnsi="Georgia" w:cs="Courier New"/>
      <w:sz w:val="20"/>
      <w:szCs w:val="20"/>
    </w:rPr>
  </w:style>
  <w:style w:type="character" w:styleId="HTMLVariable">
    <w:name w:val="HTML Variable"/>
    <w:rsid w:val="000F5A53"/>
    <w:rPr>
      <w:i/>
      <w:iCs/>
    </w:rPr>
  </w:style>
  <w:style w:type="paragraph" w:styleId="Index1">
    <w:name w:val="index 1"/>
    <w:basedOn w:val="Normal"/>
    <w:next w:val="Normal"/>
    <w:autoRedefine/>
    <w:semiHidden/>
    <w:rsid w:val="000F5A53"/>
    <w:pPr>
      <w:ind w:left="200" w:hanging="200"/>
    </w:pPr>
    <w:rPr>
      <w:rFonts w:ascii="Georgia" w:eastAsia="Times New Roman" w:hAnsi="Georgia"/>
      <w:sz w:val="20"/>
      <w:szCs w:val="20"/>
      <w:lang w:val="en-GB" w:eastAsia="en-GB"/>
    </w:rPr>
  </w:style>
  <w:style w:type="paragraph" w:styleId="Index2">
    <w:name w:val="index 2"/>
    <w:basedOn w:val="Normal"/>
    <w:next w:val="Normal"/>
    <w:autoRedefine/>
    <w:semiHidden/>
    <w:rsid w:val="000F5A53"/>
    <w:pPr>
      <w:ind w:left="400" w:hanging="200"/>
    </w:pPr>
    <w:rPr>
      <w:rFonts w:ascii="Georgia" w:eastAsia="Times New Roman" w:hAnsi="Georgia"/>
      <w:sz w:val="20"/>
      <w:szCs w:val="20"/>
      <w:lang w:val="en-GB" w:eastAsia="en-GB"/>
    </w:rPr>
  </w:style>
  <w:style w:type="paragraph" w:styleId="Index3">
    <w:name w:val="index 3"/>
    <w:basedOn w:val="Normal"/>
    <w:next w:val="Normal"/>
    <w:autoRedefine/>
    <w:semiHidden/>
    <w:rsid w:val="000F5A53"/>
    <w:pPr>
      <w:ind w:left="600" w:hanging="200"/>
    </w:pPr>
    <w:rPr>
      <w:rFonts w:ascii="Georgia" w:eastAsia="Times New Roman" w:hAnsi="Georgia"/>
      <w:sz w:val="20"/>
      <w:szCs w:val="20"/>
      <w:lang w:val="en-GB" w:eastAsia="en-GB"/>
    </w:rPr>
  </w:style>
  <w:style w:type="paragraph" w:styleId="Index4">
    <w:name w:val="index 4"/>
    <w:basedOn w:val="Normal"/>
    <w:next w:val="Normal"/>
    <w:autoRedefine/>
    <w:semiHidden/>
    <w:rsid w:val="000F5A53"/>
    <w:pPr>
      <w:ind w:left="800" w:hanging="200"/>
    </w:pPr>
    <w:rPr>
      <w:rFonts w:ascii="Georgia" w:eastAsia="Times New Roman" w:hAnsi="Georgia"/>
      <w:sz w:val="20"/>
      <w:szCs w:val="20"/>
      <w:lang w:val="en-GB" w:eastAsia="en-GB"/>
    </w:rPr>
  </w:style>
  <w:style w:type="paragraph" w:styleId="Index5">
    <w:name w:val="index 5"/>
    <w:basedOn w:val="Normal"/>
    <w:next w:val="Normal"/>
    <w:autoRedefine/>
    <w:semiHidden/>
    <w:rsid w:val="000F5A53"/>
    <w:pPr>
      <w:ind w:left="1000" w:hanging="200"/>
    </w:pPr>
    <w:rPr>
      <w:rFonts w:ascii="Georgia" w:eastAsia="Times New Roman" w:hAnsi="Georgia"/>
      <w:sz w:val="20"/>
      <w:szCs w:val="20"/>
      <w:lang w:val="en-GB" w:eastAsia="en-GB"/>
    </w:rPr>
  </w:style>
  <w:style w:type="paragraph" w:styleId="Index6">
    <w:name w:val="index 6"/>
    <w:basedOn w:val="Normal"/>
    <w:next w:val="Normal"/>
    <w:autoRedefine/>
    <w:semiHidden/>
    <w:rsid w:val="000F5A53"/>
    <w:pPr>
      <w:ind w:left="1200" w:hanging="200"/>
    </w:pPr>
    <w:rPr>
      <w:rFonts w:ascii="Georgia" w:eastAsia="Times New Roman" w:hAnsi="Georgia"/>
      <w:sz w:val="20"/>
      <w:szCs w:val="20"/>
      <w:lang w:val="en-GB" w:eastAsia="en-GB"/>
    </w:rPr>
  </w:style>
  <w:style w:type="paragraph" w:styleId="Index7">
    <w:name w:val="index 7"/>
    <w:basedOn w:val="Normal"/>
    <w:next w:val="Normal"/>
    <w:autoRedefine/>
    <w:semiHidden/>
    <w:rsid w:val="000F5A53"/>
    <w:pPr>
      <w:ind w:left="1400" w:hanging="200"/>
    </w:pPr>
    <w:rPr>
      <w:rFonts w:ascii="Georgia" w:eastAsia="Times New Roman" w:hAnsi="Georgia"/>
      <w:sz w:val="20"/>
      <w:szCs w:val="20"/>
      <w:lang w:val="en-GB" w:eastAsia="en-GB"/>
    </w:rPr>
  </w:style>
  <w:style w:type="paragraph" w:styleId="Index8">
    <w:name w:val="index 8"/>
    <w:basedOn w:val="Normal"/>
    <w:next w:val="Normal"/>
    <w:autoRedefine/>
    <w:semiHidden/>
    <w:rsid w:val="000F5A53"/>
    <w:pPr>
      <w:ind w:left="1600" w:hanging="200"/>
    </w:pPr>
    <w:rPr>
      <w:rFonts w:ascii="Georgia" w:eastAsia="Times New Roman" w:hAnsi="Georgia"/>
      <w:sz w:val="20"/>
      <w:szCs w:val="20"/>
      <w:lang w:val="en-GB" w:eastAsia="en-GB"/>
    </w:rPr>
  </w:style>
  <w:style w:type="paragraph" w:styleId="Index9">
    <w:name w:val="index 9"/>
    <w:basedOn w:val="Normal"/>
    <w:next w:val="Normal"/>
    <w:autoRedefine/>
    <w:semiHidden/>
    <w:rsid w:val="000F5A53"/>
    <w:pPr>
      <w:ind w:left="1800" w:hanging="200"/>
    </w:pPr>
    <w:rPr>
      <w:rFonts w:ascii="Georgia" w:eastAsia="Times New Roman" w:hAnsi="Georgia"/>
      <w:sz w:val="20"/>
      <w:szCs w:val="20"/>
      <w:lang w:val="en-GB" w:eastAsia="en-GB"/>
    </w:rPr>
  </w:style>
  <w:style w:type="paragraph" w:styleId="IndexHeading">
    <w:name w:val="index heading"/>
    <w:basedOn w:val="Normal"/>
    <w:next w:val="Index1"/>
    <w:semiHidden/>
    <w:rsid w:val="000F5A53"/>
    <w:rPr>
      <w:rFonts w:ascii="Georgia" w:eastAsia="Times New Roman" w:hAnsi="Georgia" w:cs="Arial"/>
      <w:b/>
      <w:bCs/>
      <w:sz w:val="20"/>
      <w:szCs w:val="20"/>
      <w:lang w:val="en-GB" w:eastAsia="en-GB"/>
    </w:rPr>
  </w:style>
  <w:style w:type="character" w:styleId="LineNumber">
    <w:name w:val="line number"/>
    <w:basedOn w:val="DefaultParagraphFont"/>
    <w:rsid w:val="000F5A53"/>
  </w:style>
  <w:style w:type="paragraph" w:styleId="List2">
    <w:name w:val="List 2"/>
    <w:basedOn w:val="Normal"/>
    <w:rsid w:val="000F5A53"/>
    <w:pPr>
      <w:ind w:left="566" w:hanging="283"/>
    </w:pPr>
    <w:rPr>
      <w:rFonts w:ascii="Georgia" w:eastAsia="Times New Roman" w:hAnsi="Georgia"/>
      <w:sz w:val="20"/>
      <w:szCs w:val="20"/>
      <w:lang w:val="en-GB" w:eastAsia="en-GB"/>
    </w:rPr>
  </w:style>
  <w:style w:type="paragraph" w:styleId="List3">
    <w:name w:val="List 3"/>
    <w:basedOn w:val="Normal"/>
    <w:rsid w:val="000F5A53"/>
    <w:pPr>
      <w:ind w:left="849" w:hanging="283"/>
    </w:pPr>
    <w:rPr>
      <w:rFonts w:ascii="Georgia" w:eastAsia="Times New Roman" w:hAnsi="Georgia"/>
      <w:sz w:val="20"/>
      <w:szCs w:val="20"/>
      <w:lang w:val="en-GB" w:eastAsia="en-GB"/>
    </w:rPr>
  </w:style>
  <w:style w:type="paragraph" w:styleId="List4">
    <w:name w:val="List 4"/>
    <w:basedOn w:val="Normal"/>
    <w:rsid w:val="000F5A53"/>
    <w:pPr>
      <w:ind w:left="1132" w:hanging="283"/>
    </w:pPr>
    <w:rPr>
      <w:rFonts w:ascii="Georgia" w:eastAsia="Times New Roman" w:hAnsi="Georgia"/>
      <w:sz w:val="20"/>
      <w:szCs w:val="20"/>
      <w:lang w:val="en-GB" w:eastAsia="en-GB"/>
    </w:rPr>
  </w:style>
  <w:style w:type="paragraph" w:styleId="List5">
    <w:name w:val="List 5"/>
    <w:basedOn w:val="Normal"/>
    <w:rsid w:val="000F5A53"/>
    <w:pPr>
      <w:ind w:left="1415" w:hanging="283"/>
    </w:pPr>
    <w:rPr>
      <w:rFonts w:ascii="Georgia" w:eastAsia="Times New Roman" w:hAnsi="Georgia"/>
      <w:sz w:val="20"/>
      <w:szCs w:val="20"/>
      <w:lang w:val="en-GB" w:eastAsia="en-GB"/>
    </w:rPr>
  </w:style>
  <w:style w:type="paragraph" w:styleId="ListBullet">
    <w:name w:val="List Bullet"/>
    <w:basedOn w:val="Normal"/>
    <w:rsid w:val="000F5A53"/>
    <w:pPr>
      <w:numPr>
        <w:numId w:val="16"/>
      </w:numPr>
    </w:pPr>
    <w:rPr>
      <w:rFonts w:ascii="Georgia" w:eastAsia="Times New Roman" w:hAnsi="Georgia"/>
      <w:sz w:val="20"/>
      <w:szCs w:val="20"/>
      <w:lang w:val="en-GB" w:eastAsia="en-GB"/>
    </w:rPr>
  </w:style>
  <w:style w:type="paragraph" w:styleId="ListBullet2">
    <w:name w:val="List Bullet 2"/>
    <w:basedOn w:val="Normal"/>
    <w:rsid w:val="000F5A53"/>
    <w:pPr>
      <w:numPr>
        <w:numId w:val="17"/>
      </w:numPr>
    </w:pPr>
    <w:rPr>
      <w:rFonts w:ascii="Georgia" w:eastAsia="Times New Roman" w:hAnsi="Georgia"/>
      <w:sz w:val="20"/>
      <w:szCs w:val="20"/>
      <w:lang w:val="en-GB" w:eastAsia="en-GB"/>
    </w:rPr>
  </w:style>
  <w:style w:type="paragraph" w:styleId="ListBullet3">
    <w:name w:val="List Bullet 3"/>
    <w:basedOn w:val="Normal"/>
    <w:rsid w:val="000F5A53"/>
    <w:pPr>
      <w:numPr>
        <w:numId w:val="18"/>
      </w:numPr>
    </w:pPr>
    <w:rPr>
      <w:rFonts w:ascii="Georgia" w:eastAsia="Times New Roman" w:hAnsi="Georgia"/>
      <w:sz w:val="20"/>
      <w:szCs w:val="20"/>
      <w:lang w:val="en-GB" w:eastAsia="en-GB"/>
    </w:rPr>
  </w:style>
  <w:style w:type="paragraph" w:styleId="ListBullet4">
    <w:name w:val="List Bullet 4"/>
    <w:basedOn w:val="Normal"/>
    <w:rsid w:val="000F5A53"/>
    <w:pPr>
      <w:numPr>
        <w:numId w:val="19"/>
      </w:numPr>
    </w:pPr>
    <w:rPr>
      <w:rFonts w:ascii="Georgia" w:eastAsia="Times New Roman" w:hAnsi="Georgia"/>
      <w:sz w:val="20"/>
      <w:szCs w:val="20"/>
      <w:lang w:val="en-GB" w:eastAsia="en-GB"/>
    </w:rPr>
  </w:style>
  <w:style w:type="paragraph" w:styleId="ListBullet5">
    <w:name w:val="List Bullet 5"/>
    <w:basedOn w:val="Normal"/>
    <w:rsid w:val="000F5A53"/>
    <w:pPr>
      <w:numPr>
        <w:numId w:val="20"/>
      </w:numPr>
    </w:pPr>
    <w:rPr>
      <w:rFonts w:ascii="Georgia" w:eastAsia="Times New Roman" w:hAnsi="Georgia"/>
      <w:sz w:val="20"/>
      <w:szCs w:val="20"/>
      <w:lang w:val="en-GB" w:eastAsia="en-GB"/>
    </w:rPr>
  </w:style>
  <w:style w:type="paragraph" w:styleId="ListContinue">
    <w:name w:val="List Continue"/>
    <w:basedOn w:val="Normal"/>
    <w:rsid w:val="000F5A53"/>
    <w:pPr>
      <w:spacing w:after="120"/>
      <w:ind w:left="283"/>
    </w:pPr>
    <w:rPr>
      <w:rFonts w:ascii="Georgia" w:eastAsia="Times New Roman" w:hAnsi="Georgia"/>
      <w:sz w:val="20"/>
      <w:szCs w:val="20"/>
      <w:lang w:val="en-GB" w:eastAsia="en-GB"/>
    </w:rPr>
  </w:style>
  <w:style w:type="paragraph" w:styleId="ListContinue2">
    <w:name w:val="List Continue 2"/>
    <w:basedOn w:val="Normal"/>
    <w:rsid w:val="000F5A53"/>
    <w:pPr>
      <w:spacing w:after="120"/>
      <w:ind w:left="566"/>
    </w:pPr>
    <w:rPr>
      <w:rFonts w:ascii="Georgia" w:eastAsia="Times New Roman" w:hAnsi="Georgia"/>
      <w:sz w:val="20"/>
      <w:szCs w:val="20"/>
      <w:lang w:val="en-GB" w:eastAsia="en-GB"/>
    </w:rPr>
  </w:style>
  <w:style w:type="paragraph" w:styleId="ListContinue3">
    <w:name w:val="List Continue 3"/>
    <w:basedOn w:val="Normal"/>
    <w:rsid w:val="000F5A53"/>
    <w:pPr>
      <w:spacing w:after="120"/>
      <w:ind w:left="849"/>
    </w:pPr>
    <w:rPr>
      <w:rFonts w:ascii="Georgia" w:eastAsia="Times New Roman" w:hAnsi="Georgia"/>
      <w:sz w:val="20"/>
      <w:szCs w:val="20"/>
      <w:lang w:val="en-GB" w:eastAsia="en-GB"/>
    </w:rPr>
  </w:style>
  <w:style w:type="paragraph" w:styleId="ListContinue4">
    <w:name w:val="List Continue 4"/>
    <w:basedOn w:val="Normal"/>
    <w:rsid w:val="000F5A53"/>
    <w:pPr>
      <w:spacing w:after="120"/>
      <w:ind w:left="1132"/>
    </w:pPr>
    <w:rPr>
      <w:rFonts w:ascii="Georgia" w:eastAsia="Times New Roman" w:hAnsi="Georgia"/>
      <w:sz w:val="20"/>
      <w:szCs w:val="20"/>
      <w:lang w:val="en-GB" w:eastAsia="en-GB"/>
    </w:rPr>
  </w:style>
  <w:style w:type="paragraph" w:styleId="ListContinue5">
    <w:name w:val="List Continue 5"/>
    <w:basedOn w:val="Normal"/>
    <w:rsid w:val="000F5A53"/>
    <w:pPr>
      <w:spacing w:after="120"/>
      <w:ind w:left="1415"/>
    </w:pPr>
    <w:rPr>
      <w:rFonts w:ascii="Georgia" w:eastAsia="Times New Roman" w:hAnsi="Georgia"/>
      <w:sz w:val="20"/>
      <w:szCs w:val="20"/>
      <w:lang w:val="en-GB" w:eastAsia="en-GB"/>
    </w:rPr>
  </w:style>
  <w:style w:type="paragraph" w:styleId="ListNumber5">
    <w:name w:val="List Number 5"/>
    <w:basedOn w:val="Normal"/>
    <w:rsid w:val="000F5A53"/>
    <w:pPr>
      <w:numPr>
        <w:numId w:val="21"/>
      </w:numPr>
    </w:pPr>
    <w:rPr>
      <w:rFonts w:ascii="Georgia" w:eastAsia="Times New Roman" w:hAnsi="Georgia"/>
      <w:sz w:val="20"/>
      <w:szCs w:val="20"/>
      <w:lang w:val="en-GB" w:eastAsia="en-GB"/>
    </w:rPr>
  </w:style>
  <w:style w:type="paragraph" w:styleId="MacroText">
    <w:name w:val="macro"/>
    <w:link w:val="MacroTextChar"/>
    <w:semiHidden/>
    <w:rsid w:val="000F5A53"/>
    <w:pPr>
      <w:tabs>
        <w:tab w:val="left" w:pos="480"/>
        <w:tab w:val="left" w:pos="960"/>
        <w:tab w:val="left" w:pos="1440"/>
        <w:tab w:val="left" w:pos="1920"/>
        <w:tab w:val="left" w:pos="2400"/>
        <w:tab w:val="left" w:pos="2880"/>
        <w:tab w:val="left" w:pos="3360"/>
        <w:tab w:val="left" w:pos="3840"/>
        <w:tab w:val="left" w:pos="4320"/>
      </w:tabs>
    </w:pPr>
    <w:rPr>
      <w:rFonts w:ascii="Georgia" w:eastAsia="Times New Roman" w:hAnsi="Georgia" w:cs="Courier New"/>
      <w:lang w:val="en-GB" w:eastAsia="en-GB"/>
    </w:rPr>
  </w:style>
  <w:style w:type="character" w:customStyle="1" w:styleId="MacroTextChar">
    <w:name w:val="Macro Text Char"/>
    <w:basedOn w:val="DefaultParagraphFont"/>
    <w:link w:val="MacroText"/>
    <w:semiHidden/>
    <w:rsid w:val="000F5A53"/>
    <w:rPr>
      <w:rFonts w:ascii="Georgia" w:eastAsia="Times New Roman" w:hAnsi="Georgia" w:cs="Courier New"/>
      <w:lang w:val="en-GB" w:eastAsia="en-GB"/>
    </w:rPr>
  </w:style>
  <w:style w:type="paragraph" w:styleId="MessageHeader">
    <w:name w:val="Message Header"/>
    <w:basedOn w:val="Normal"/>
    <w:link w:val="MessageHeaderChar"/>
    <w:rsid w:val="000F5A53"/>
    <w:pPr>
      <w:pBdr>
        <w:top w:val="single" w:sz="6" w:space="1" w:color="auto"/>
        <w:left w:val="single" w:sz="6" w:space="1" w:color="auto"/>
        <w:bottom w:val="single" w:sz="6" w:space="1" w:color="auto"/>
        <w:right w:val="single" w:sz="6" w:space="1" w:color="auto"/>
      </w:pBdr>
      <w:shd w:val="pct20" w:color="auto" w:fill="auto"/>
      <w:ind w:left="1134" w:hanging="1134"/>
    </w:pPr>
    <w:rPr>
      <w:rFonts w:ascii="Georgia" w:eastAsia="Times New Roman" w:hAnsi="Georgia" w:cs="Arial"/>
      <w:sz w:val="24"/>
      <w:lang w:val="en-GB" w:eastAsia="en-GB"/>
    </w:rPr>
  </w:style>
  <w:style w:type="character" w:customStyle="1" w:styleId="MessageHeaderChar">
    <w:name w:val="Message Header Char"/>
    <w:basedOn w:val="DefaultParagraphFont"/>
    <w:link w:val="MessageHeader"/>
    <w:rsid w:val="000F5A53"/>
    <w:rPr>
      <w:rFonts w:ascii="Georgia" w:eastAsia="Times New Roman" w:hAnsi="Georgia" w:cs="Arial"/>
      <w:sz w:val="24"/>
      <w:szCs w:val="24"/>
      <w:shd w:val="pct20" w:color="auto" w:fill="auto"/>
      <w:lang w:val="en-GB" w:eastAsia="en-GB"/>
    </w:rPr>
  </w:style>
  <w:style w:type="paragraph" w:customStyle="1" w:styleId="NoteHeading1">
    <w:name w:val="Note Heading1"/>
    <w:basedOn w:val="Normal"/>
    <w:next w:val="Normal"/>
    <w:link w:val="NoteHeadingChar"/>
    <w:rsid w:val="000F5A53"/>
    <w:rPr>
      <w:rFonts w:ascii="Georgia" w:eastAsia="Times New Roman" w:hAnsi="Georgia"/>
      <w:sz w:val="20"/>
      <w:szCs w:val="20"/>
      <w:lang w:val="en-GB" w:eastAsia="en-GB"/>
    </w:rPr>
  </w:style>
  <w:style w:type="character" w:customStyle="1" w:styleId="NoteHeadingChar">
    <w:name w:val="Note Heading Char"/>
    <w:basedOn w:val="DefaultParagraphFont"/>
    <w:link w:val="NoteHeading1"/>
    <w:rsid w:val="000F5A53"/>
    <w:rPr>
      <w:rFonts w:ascii="Georgia" w:eastAsia="Times New Roman" w:hAnsi="Georgia"/>
      <w:lang w:val="en-GB" w:eastAsia="en-GB"/>
    </w:rPr>
  </w:style>
  <w:style w:type="paragraph" w:styleId="PlainText">
    <w:name w:val="Plain Text"/>
    <w:basedOn w:val="Normal"/>
    <w:link w:val="PlainTextChar"/>
    <w:rsid w:val="000F5A53"/>
    <w:rPr>
      <w:rFonts w:ascii="Georgia" w:eastAsia="Times New Roman" w:hAnsi="Georgia" w:cs="Courier New"/>
      <w:sz w:val="20"/>
      <w:szCs w:val="20"/>
      <w:lang w:val="en-GB" w:eastAsia="en-GB"/>
    </w:rPr>
  </w:style>
  <w:style w:type="character" w:customStyle="1" w:styleId="PlainTextChar">
    <w:name w:val="Plain Text Char"/>
    <w:basedOn w:val="DefaultParagraphFont"/>
    <w:link w:val="PlainText"/>
    <w:rsid w:val="000F5A53"/>
    <w:rPr>
      <w:rFonts w:ascii="Georgia" w:eastAsia="Times New Roman" w:hAnsi="Georgia" w:cs="Courier New"/>
      <w:lang w:val="en-GB" w:eastAsia="en-GB"/>
    </w:rPr>
  </w:style>
  <w:style w:type="paragraph" w:styleId="Salutation">
    <w:name w:val="Salutation"/>
    <w:basedOn w:val="Normal"/>
    <w:next w:val="Normal"/>
    <w:link w:val="SalutationChar"/>
    <w:rsid w:val="000F5A53"/>
    <w:rPr>
      <w:rFonts w:ascii="Georgia" w:eastAsia="Times New Roman" w:hAnsi="Georgia"/>
      <w:sz w:val="20"/>
      <w:szCs w:val="20"/>
      <w:lang w:val="en-GB" w:eastAsia="en-GB"/>
    </w:rPr>
  </w:style>
  <w:style w:type="character" w:customStyle="1" w:styleId="SalutationChar">
    <w:name w:val="Salutation Char"/>
    <w:basedOn w:val="DefaultParagraphFont"/>
    <w:link w:val="Salutation"/>
    <w:rsid w:val="000F5A53"/>
    <w:rPr>
      <w:rFonts w:ascii="Georgia" w:eastAsia="Times New Roman" w:hAnsi="Georgia"/>
      <w:lang w:val="en-GB" w:eastAsia="en-GB"/>
    </w:rPr>
  </w:style>
  <w:style w:type="paragraph" w:styleId="Signature">
    <w:name w:val="Signature"/>
    <w:basedOn w:val="Normal"/>
    <w:link w:val="SignatureChar"/>
    <w:rsid w:val="000F5A53"/>
    <w:pPr>
      <w:ind w:left="4252"/>
    </w:pPr>
    <w:rPr>
      <w:rFonts w:ascii="Georgia" w:eastAsia="Times New Roman" w:hAnsi="Georgia"/>
      <w:sz w:val="20"/>
      <w:szCs w:val="20"/>
      <w:lang w:val="en-GB" w:eastAsia="en-GB"/>
    </w:rPr>
  </w:style>
  <w:style w:type="character" w:customStyle="1" w:styleId="SignatureChar">
    <w:name w:val="Signature Char"/>
    <w:basedOn w:val="DefaultParagraphFont"/>
    <w:link w:val="Signature"/>
    <w:rsid w:val="000F5A53"/>
    <w:rPr>
      <w:rFonts w:ascii="Georgia" w:eastAsia="Times New Roman" w:hAnsi="Georgia"/>
      <w:lang w:val="en-GB" w:eastAsia="en-GB"/>
    </w:rPr>
  </w:style>
  <w:style w:type="paragraph" w:styleId="Subtitle">
    <w:name w:val="Subtitle"/>
    <w:basedOn w:val="Normal"/>
    <w:link w:val="SubtitleChar"/>
    <w:qFormat/>
    <w:rsid w:val="000F5A53"/>
    <w:pPr>
      <w:spacing w:after="60"/>
      <w:jc w:val="center"/>
      <w:outlineLvl w:val="1"/>
    </w:pPr>
    <w:rPr>
      <w:rFonts w:ascii="Georgia" w:eastAsia="Times New Roman" w:hAnsi="Georgia" w:cs="Arial"/>
      <w:sz w:val="24"/>
      <w:lang w:val="en-GB" w:eastAsia="en-GB"/>
    </w:rPr>
  </w:style>
  <w:style w:type="character" w:customStyle="1" w:styleId="SubtitleChar">
    <w:name w:val="Subtitle Char"/>
    <w:basedOn w:val="DefaultParagraphFont"/>
    <w:link w:val="Subtitle"/>
    <w:uiPriority w:val="2"/>
    <w:rsid w:val="000F5A53"/>
    <w:rPr>
      <w:rFonts w:ascii="Georgia" w:eastAsia="Times New Roman" w:hAnsi="Georgia" w:cs="Arial"/>
      <w:sz w:val="24"/>
      <w:szCs w:val="24"/>
      <w:lang w:val="en-GB" w:eastAsia="en-GB"/>
    </w:rPr>
  </w:style>
  <w:style w:type="table" w:styleId="Table3Deffects1">
    <w:name w:val="Table 3D effects 1"/>
    <w:basedOn w:val="TableNormal"/>
    <w:rsid w:val="000F5A53"/>
    <w:rPr>
      <w:rFonts w:ascii="Georgia" w:eastAsia="Times New Roman" w:hAnsi="Georgia"/>
      <w:lang w:val="sv-SE" w:eastAsia="sv-SE"/>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0F5A53"/>
    <w:rPr>
      <w:rFonts w:ascii="Georgia" w:eastAsia="Times New Roman" w:hAnsi="Georgia"/>
      <w:lang w:val="sv-SE" w:eastAsia="sv-S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0F5A53"/>
    <w:rPr>
      <w:rFonts w:ascii="Georgia" w:eastAsia="Times New Roman" w:hAnsi="Georgia"/>
      <w:lang w:val="sv-SE" w:eastAsia="sv-S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0F5A53"/>
    <w:rPr>
      <w:rFonts w:ascii="Georgia" w:eastAsia="Times New Roman" w:hAnsi="Georgia"/>
      <w:lang w:val="sv-SE"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0F5A53"/>
    <w:rPr>
      <w:rFonts w:ascii="Georgia" w:eastAsia="Times New Roman" w:hAnsi="Georgia"/>
      <w:lang w:val="sv-SE"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0F5A53"/>
    <w:rPr>
      <w:rFonts w:ascii="Georgia" w:eastAsia="Times New Roman" w:hAnsi="Georgia"/>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0F5A53"/>
    <w:rPr>
      <w:rFonts w:ascii="Georgia" w:eastAsia="Times New Roman" w:hAnsi="Georgia"/>
      <w:lang w:val="sv-SE"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0F5A53"/>
    <w:rPr>
      <w:rFonts w:ascii="Georgia" w:eastAsia="Times New Roman" w:hAnsi="Georgia"/>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0F5A53"/>
    <w:rPr>
      <w:rFonts w:ascii="Georgia" w:eastAsia="Times New Roman" w:hAnsi="Georgia"/>
      <w:lang w:val="sv-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0F5A53"/>
    <w:rPr>
      <w:rFonts w:ascii="Georgia" w:eastAsia="Times New Roman" w:hAnsi="Georgia"/>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0F5A53"/>
    <w:rPr>
      <w:rFonts w:ascii="Georgia" w:eastAsia="Times New Roman" w:hAnsi="Georgia"/>
      <w:b/>
      <w:bCs/>
      <w:lang w:val="sv-SE"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0F5A53"/>
    <w:rPr>
      <w:rFonts w:ascii="Georgia" w:eastAsia="Times New Roman" w:hAnsi="Georgia"/>
      <w:b/>
      <w:bCs/>
      <w:lang w:val="sv-SE" w:eastAsia="sv-S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0F5A53"/>
    <w:rPr>
      <w:rFonts w:ascii="Georgia" w:eastAsia="Times New Roman" w:hAnsi="Georgia"/>
      <w:b/>
      <w:bCs/>
      <w:lang w:val="sv-SE"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0F5A53"/>
    <w:rPr>
      <w:rFonts w:ascii="Georgia" w:eastAsia="Times New Roman" w:hAnsi="Georgia"/>
      <w:lang w:val="sv-SE" w:eastAsia="sv-S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F5A53"/>
    <w:rPr>
      <w:rFonts w:ascii="Georgia" w:eastAsia="Times New Roman" w:hAnsi="Georgia"/>
      <w:lang w:val="sv-SE"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F5A53"/>
    <w:rPr>
      <w:rFonts w:ascii="Georgia" w:eastAsia="Times New Roman" w:hAnsi="Georgia"/>
      <w:lang w:val="sv-SE" w:eastAsia="sv-SE"/>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0F5A53"/>
    <w:rPr>
      <w:rFonts w:ascii="Georgia" w:eastAsia="Times New Roman" w:hAnsi="Georgia"/>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rsid w:val="000F5A53"/>
    <w:rPr>
      <w:rFonts w:ascii="Georgia" w:eastAsia="Times New Roman" w:hAnsi="Georgia"/>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0F5A53"/>
    <w:rPr>
      <w:rFonts w:ascii="Georgia" w:eastAsia="Times New Roman" w:hAnsi="Georgia"/>
      <w:lang w:val="sv-SE" w:eastAsia="sv-SE"/>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0F5A53"/>
    <w:rPr>
      <w:rFonts w:ascii="Georgia" w:eastAsia="Times New Roman" w:hAnsi="Georgia"/>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0F5A53"/>
    <w:rPr>
      <w:rFonts w:ascii="Georgia" w:eastAsia="Times New Roman" w:hAnsi="Georgia"/>
      <w:lang w:val="sv-SE"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0F5A53"/>
    <w:rPr>
      <w:rFonts w:ascii="Georgia" w:eastAsia="Times New Roman" w:hAnsi="Georgia"/>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0F5A53"/>
    <w:rPr>
      <w:rFonts w:ascii="Georgia" w:eastAsia="Times New Roman" w:hAnsi="Georgia"/>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0F5A53"/>
    <w:rPr>
      <w:rFonts w:ascii="Georgia" w:eastAsia="Times New Roman" w:hAnsi="Georgia"/>
      <w:lang w:val="sv-SE"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0F5A53"/>
    <w:rPr>
      <w:rFonts w:ascii="Georgia" w:eastAsia="Times New Roman" w:hAnsi="Georgia"/>
      <w:lang w:val="sv-SE" w:eastAsia="sv-SE"/>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0F5A53"/>
    <w:rPr>
      <w:rFonts w:ascii="Georgia" w:eastAsia="Times New Roman" w:hAnsi="Georgia"/>
      <w:lang w:val="sv-SE"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0F5A53"/>
    <w:rPr>
      <w:rFonts w:ascii="Georgia" w:eastAsia="Times New Roman" w:hAnsi="Georgia"/>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0F5A53"/>
    <w:rPr>
      <w:rFonts w:ascii="Georgia" w:eastAsia="Times New Roman" w:hAnsi="Georgia"/>
      <w:lang w:val="sv-SE"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0F5A53"/>
    <w:rPr>
      <w:rFonts w:ascii="Georgia" w:eastAsia="Times New Roman" w:hAnsi="Georgia"/>
      <w:lang w:val="sv-SE"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0F5A53"/>
    <w:rPr>
      <w:rFonts w:ascii="Georgia" w:eastAsia="Times New Roman" w:hAnsi="Georgia"/>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semiHidden/>
    <w:rsid w:val="000F5A53"/>
    <w:pPr>
      <w:ind w:left="200" w:hanging="200"/>
    </w:pPr>
    <w:rPr>
      <w:rFonts w:ascii="Georgia" w:eastAsia="Times New Roman" w:hAnsi="Georgia"/>
      <w:sz w:val="20"/>
      <w:szCs w:val="20"/>
      <w:lang w:val="en-GB" w:eastAsia="en-GB"/>
    </w:rPr>
  </w:style>
  <w:style w:type="paragraph" w:styleId="TableofFigures">
    <w:name w:val="table of figures"/>
    <w:basedOn w:val="Normal"/>
    <w:next w:val="Normal"/>
    <w:semiHidden/>
    <w:rsid w:val="000F5A53"/>
    <w:rPr>
      <w:rFonts w:ascii="Georgia" w:eastAsia="Times New Roman" w:hAnsi="Georgia"/>
      <w:sz w:val="20"/>
      <w:szCs w:val="20"/>
      <w:lang w:val="en-GB" w:eastAsia="en-GB"/>
    </w:rPr>
  </w:style>
  <w:style w:type="table" w:styleId="TableProfessional">
    <w:name w:val="Table Professional"/>
    <w:basedOn w:val="TableNormal"/>
    <w:rsid w:val="000F5A53"/>
    <w:rPr>
      <w:rFonts w:ascii="Georgia" w:eastAsia="Times New Roman" w:hAnsi="Georgia"/>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0F5A53"/>
    <w:rPr>
      <w:rFonts w:ascii="Georgia" w:eastAsia="Times New Roman" w:hAnsi="Georgia"/>
      <w:lang w:val="sv-SE"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0F5A53"/>
    <w:rPr>
      <w:rFonts w:ascii="Georgia" w:eastAsia="Times New Roman" w:hAnsi="Georgia"/>
      <w:lang w:val="sv-SE" w:eastAsia="sv-SE"/>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0F5A53"/>
    <w:rPr>
      <w:rFonts w:ascii="Georgia" w:eastAsia="Times New Roman" w:hAnsi="Georgia"/>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0F5A53"/>
    <w:rPr>
      <w:rFonts w:ascii="Georgia" w:eastAsia="Times New Roman" w:hAnsi="Georgia"/>
      <w:lang w:val="sv-SE" w:eastAsia="sv-SE"/>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0F5A53"/>
    <w:rPr>
      <w:rFonts w:ascii="Georgia" w:eastAsia="Times New Roman" w:hAnsi="Georgia"/>
      <w:lang w:val="sv-SE" w:eastAsia="sv-SE"/>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0F5A53"/>
    <w:rPr>
      <w:rFonts w:ascii="Georgia" w:eastAsia="Times New Roman" w:hAnsi="Georg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F5A53"/>
    <w:rPr>
      <w:rFonts w:ascii="Georgia" w:eastAsia="Times New Roman" w:hAnsi="Georgia"/>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0F5A53"/>
    <w:rPr>
      <w:rFonts w:ascii="Georgia" w:eastAsia="Times New Roman" w:hAnsi="Georgia"/>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0F5A53"/>
    <w:rPr>
      <w:rFonts w:ascii="Georgia" w:eastAsia="Times New Roman" w:hAnsi="Georgia"/>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semiHidden/>
    <w:rsid w:val="000F5A53"/>
    <w:pPr>
      <w:spacing w:before="120"/>
    </w:pPr>
    <w:rPr>
      <w:rFonts w:ascii="Georgia" w:eastAsia="Times New Roman" w:hAnsi="Georgia" w:cs="Arial"/>
      <w:b/>
      <w:bCs/>
      <w:sz w:val="24"/>
      <w:lang w:val="en-GB" w:eastAsia="en-GB"/>
    </w:rPr>
  </w:style>
  <w:style w:type="paragraph" w:customStyle="1" w:styleId="NormalwithindentAltD">
    <w:name w:val="Normal with indent Alt+D"/>
    <w:basedOn w:val="Normal"/>
    <w:qFormat/>
    <w:rsid w:val="000F5A53"/>
    <w:pPr>
      <w:spacing w:after="240"/>
      <w:ind w:left="1009"/>
    </w:pPr>
    <w:rPr>
      <w:rFonts w:eastAsia="Times New Roman"/>
      <w:szCs w:val="22"/>
      <w:lang w:val="en-GB" w:eastAsia="sv-SE"/>
    </w:rPr>
  </w:style>
  <w:style w:type="paragraph" w:customStyle="1" w:styleId="Numbparagr2AltS">
    <w:name w:val="Numb paragr 2 Alt+S"/>
    <w:basedOn w:val="Heading2"/>
    <w:qFormat/>
    <w:rsid w:val="000F5A53"/>
    <w:pPr>
      <w:keepNext w:val="0"/>
      <w:numPr>
        <w:numId w:val="0"/>
      </w:numPr>
      <w:tabs>
        <w:tab w:val="num" w:pos="0"/>
        <w:tab w:val="num" w:pos="709"/>
      </w:tabs>
      <w:spacing w:after="240" w:line="240" w:lineRule="auto"/>
      <w:ind w:left="1009" w:hanging="1009"/>
    </w:pPr>
    <w:rPr>
      <w:rFonts w:ascii="Times New Roman" w:eastAsia="Times New Roman" w:hAnsi="Times New Roman"/>
      <w:b w:val="0"/>
      <w:kern w:val="32"/>
      <w:szCs w:val="22"/>
      <w:lang w:eastAsia="sv-SE"/>
    </w:rPr>
  </w:style>
  <w:style w:type="paragraph" w:customStyle="1" w:styleId="Listlevel1aAlt5">
    <w:name w:val="List level 1 (a) Alt+5"/>
    <w:uiPriority w:val="1"/>
    <w:qFormat/>
    <w:rsid w:val="000F5A53"/>
    <w:pPr>
      <w:tabs>
        <w:tab w:val="num" w:pos="1729"/>
      </w:tabs>
      <w:spacing w:after="240"/>
      <w:ind w:left="1729" w:hanging="720"/>
    </w:pPr>
    <w:rPr>
      <w:rFonts w:eastAsia="Times New Roman"/>
      <w:sz w:val="22"/>
      <w:szCs w:val="22"/>
      <w:lang w:val="en-GB" w:eastAsia="sv-SE"/>
    </w:rPr>
  </w:style>
  <w:style w:type="paragraph" w:customStyle="1" w:styleId="Normalmedindrag">
    <w:name w:val="Normal med indrag"/>
    <w:basedOn w:val="Normal"/>
    <w:rsid w:val="000F5A53"/>
    <w:pPr>
      <w:spacing w:after="240"/>
      <w:ind w:left="1009"/>
    </w:pPr>
    <w:rPr>
      <w:rFonts w:eastAsia="Times New Roman"/>
      <w:szCs w:val="22"/>
      <w:lang w:val="en-US" w:eastAsia="sv-SE"/>
    </w:rPr>
  </w:style>
  <w:style w:type="paragraph" w:customStyle="1" w:styleId="Rubr2">
    <w:name w:val="Rubr 2"/>
    <w:aliases w:val="Stycke"/>
    <w:basedOn w:val="Heading2"/>
    <w:rsid w:val="000F5A53"/>
    <w:pPr>
      <w:keepNext w:val="0"/>
      <w:numPr>
        <w:numId w:val="0"/>
      </w:numPr>
      <w:tabs>
        <w:tab w:val="num" w:pos="709"/>
      </w:tabs>
      <w:spacing w:after="240" w:line="240" w:lineRule="auto"/>
      <w:ind w:left="1009" w:hanging="1009"/>
    </w:pPr>
    <w:rPr>
      <w:rFonts w:ascii="Times New Roman" w:eastAsia="Times New Roman" w:hAnsi="Times New Roman"/>
      <w:b w:val="0"/>
      <w:kern w:val="32"/>
      <w:szCs w:val="22"/>
      <w:lang w:val="en-US" w:eastAsia="sv-SE"/>
    </w:rPr>
  </w:style>
  <w:style w:type="paragraph" w:customStyle="1" w:styleId="Schedule">
    <w:name w:val="Schedule"/>
    <w:next w:val="ScheduleHeadingToC"/>
    <w:rsid w:val="000F5A53"/>
    <w:pPr>
      <w:numPr>
        <w:numId w:val="26"/>
      </w:numPr>
      <w:spacing w:after="240"/>
      <w:jc w:val="center"/>
    </w:pPr>
    <w:rPr>
      <w:rFonts w:eastAsia="Times New Roman"/>
      <w:b/>
      <w:bCs/>
      <w:caps/>
      <w:sz w:val="22"/>
      <w:szCs w:val="22"/>
      <w:lang w:val="en-GB" w:eastAsia="sv-SE"/>
    </w:rPr>
  </w:style>
  <w:style w:type="paragraph" w:customStyle="1" w:styleId="ScheduleHeadingToC">
    <w:name w:val="Schedule Heading ToC"/>
    <w:next w:val="Normal"/>
    <w:uiPriority w:val="4"/>
    <w:qFormat/>
    <w:rsid w:val="000F5A53"/>
    <w:pPr>
      <w:numPr>
        <w:ilvl w:val="1"/>
        <w:numId w:val="26"/>
      </w:numPr>
      <w:spacing w:after="240"/>
      <w:jc w:val="center"/>
    </w:pPr>
    <w:rPr>
      <w:rFonts w:eastAsia="Times New Roman"/>
      <w:b/>
      <w:bCs/>
      <w:caps/>
      <w:sz w:val="22"/>
      <w:szCs w:val="22"/>
      <w:lang w:val="en-GB" w:eastAsia="sv-SE"/>
    </w:rPr>
  </w:style>
  <w:style w:type="paragraph" w:customStyle="1" w:styleId="ScheduleHeading1">
    <w:name w:val="Schedule Heading 1"/>
    <w:next w:val="NormalwithindentAltD"/>
    <w:uiPriority w:val="5"/>
    <w:qFormat/>
    <w:rsid w:val="000F5A53"/>
    <w:pPr>
      <w:keepNext/>
      <w:numPr>
        <w:ilvl w:val="2"/>
        <w:numId w:val="26"/>
      </w:numPr>
      <w:spacing w:before="240" w:after="240"/>
    </w:pPr>
    <w:rPr>
      <w:rFonts w:eastAsia="Times New Roman"/>
      <w:b/>
      <w:bCs/>
      <w:caps/>
      <w:sz w:val="22"/>
      <w:szCs w:val="22"/>
      <w:lang w:val="en-GB" w:eastAsia="sv-SE"/>
    </w:rPr>
  </w:style>
  <w:style w:type="paragraph" w:customStyle="1" w:styleId="ScheduleHeading2">
    <w:name w:val="Schedule Heading 2"/>
    <w:next w:val="NormalwithindentAltD"/>
    <w:rsid w:val="000F5A53"/>
    <w:pPr>
      <w:keepNext/>
      <w:numPr>
        <w:ilvl w:val="3"/>
        <w:numId w:val="26"/>
      </w:numPr>
      <w:spacing w:after="240"/>
    </w:pPr>
    <w:rPr>
      <w:rFonts w:eastAsia="Times New Roman"/>
      <w:b/>
      <w:bCs/>
      <w:sz w:val="22"/>
      <w:szCs w:val="22"/>
      <w:lang w:val="en-GB" w:eastAsia="sv-SE"/>
    </w:rPr>
  </w:style>
  <w:style w:type="paragraph" w:customStyle="1" w:styleId="ScheduleHeading3">
    <w:name w:val="Schedule Heading 3"/>
    <w:next w:val="NormalwithindentAltD"/>
    <w:rsid w:val="000F5A53"/>
    <w:pPr>
      <w:keepNext/>
      <w:numPr>
        <w:ilvl w:val="4"/>
        <w:numId w:val="26"/>
      </w:numPr>
      <w:spacing w:after="240"/>
    </w:pPr>
    <w:rPr>
      <w:rFonts w:eastAsia="Times New Roman"/>
      <w:sz w:val="22"/>
      <w:szCs w:val="22"/>
      <w:u w:val="single"/>
      <w:lang w:val="en-GB" w:eastAsia="sv-SE"/>
    </w:rPr>
  </w:style>
  <w:style w:type="paragraph" w:customStyle="1" w:styleId="DocID">
    <w:name w:val="DocID"/>
    <w:basedOn w:val="Footer"/>
    <w:next w:val="Footer"/>
    <w:link w:val="DocIDChar"/>
    <w:rsid w:val="000F5A53"/>
    <w:pPr>
      <w:tabs>
        <w:tab w:val="clear" w:pos="9350"/>
      </w:tabs>
      <w:spacing w:line="240" w:lineRule="auto"/>
    </w:pPr>
    <w:rPr>
      <w:rFonts w:ascii="Times New Roman" w:eastAsia="Times New Roman" w:hAnsi="Times New Roman"/>
      <w:noProof w:val="0"/>
      <w:lang w:eastAsia="en-GB"/>
    </w:rPr>
  </w:style>
  <w:style w:type="character" w:customStyle="1" w:styleId="DocIDChar">
    <w:name w:val="DocID Char"/>
    <w:link w:val="DocID"/>
    <w:rsid w:val="000F5A53"/>
    <w:rPr>
      <w:rFonts w:eastAsia="Times New Roman"/>
      <w:sz w:val="16"/>
      <w:szCs w:val="24"/>
      <w:lang w:val="en-GB" w:eastAsia="en-GB"/>
    </w:rPr>
  </w:style>
  <w:style w:type="paragraph" w:customStyle="1" w:styleId="ColorfulShading-Accent11">
    <w:name w:val="Colorful Shading - Accent 11"/>
    <w:hidden/>
    <w:uiPriority w:val="99"/>
    <w:semiHidden/>
    <w:rsid w:val="000F5A53"/>
    <w:rPr>
      <w:rFonts w:ascii="Georgia" w:eastAsia="Times New Roman" w:hAnsi="Georgia"/>
      <w:lang w:val="en-GB" w:eastAsia="en-GB"/>
    </w:rPr>
  </w:style>
  <w:style w:type="paragraph" w:customStyle="1" w:styleId="Listlevel2i">
    <w:name w:val="List level 2 (i)"/>
    <w:uiPriority w:val="1"/>
    <w:qFormat/>
    <w:rsid w:val="000F5A53"/>
    <w:pPr>
      <w:tabs>
        <w:tab w:val="num" w:pos="2449"/>
      </w:tabs>
      <w:spacing w:after="240"/>
      <w:ind w:left="2449" w:hanging="720"/>
    </w:pPr>
    <w:rPr>
      <w:rFonts w:eastAsia="Times New Roman"/>
      <w:sz w:val="22"/>
      <w:szCs w:val="24"/>
      <w:lang w:val="en-GB" w:eastAsia="sv-SE"/>
    </w:rPr>
  </w:style>
  <w:style w:type="paragraph" w:customStyle="1" w:styleId="Listlevel3A">
    <w:name w:val="List level 3 (A)"/>
    <w:uiPriority w:val="2"/>
    <w:qFormat/>
    <w:rsid w:val="000F5A53"/>
    <w:pPr>
      <w:tabs>
        <w:tab w:val="num" w:pos="3170"/>
      </w:tabs>
      <w:spacing w:after="240"/>
      <w:ind w:left="3170" w:hanging="721"/>
    </w:pPr>
    <w:rPr>
      <w:rFonts w:eastAsia="Times New Roman"/>
      <w:sz w:val="22"/>
      <w:szCs w:val="24"/>
      <w:lang w:val="en-GB" w:eastAsia="sv-SE"/>
    </w:rPr>
  </w:style>
  <w:style w:type="paragraph" w:customStyle="1" w:styleId="Numbparagr3AltU">
    <w:name w:val="Numb paragr 3 Alt+U"/>
    <w:basedOn w:val="Heading3"/>
    <w:qFormat/>
    <w:rsid w:val="000F5A53"/>
    <w:pPr>
      <w:numPr>
        <w:ilvl w:val="0"/>
        <w:numId w:val="0"/>
      </w:numPr>
      <w:tabs>
        <w:tab w:val="num" w:pos="1622"/>
      </w:tabs>
      <w:spacing w:after="240" w:line="240" w:lineRule="auto"/>
      <w:ind w:left="1622" w:hanging="902"/>
    </w:pPr>
    <w:rPr>
      <w:rFonts w:eastAsia="Times New Roman" w:cs="Arial"/>
      <w:bCs/>
      <w:iCs/>
      <w:kern w:val="32"/>
      <w:szCs w:val="26"/>
      <w:lang w:eastAsia="sv-SE"/>
    </w:rPr>
  </w:style>
  <w:style w:type="paragraph" w:customStyle="1" w:styleId="Headertitlepage">
    <w:name w:val="Header title page"/>
    <w:basedOn w:val="Normal"/>
    <w:rsid w:val="000F5A53"/>
    <w:pPr>
      <w:spacing w:after="240"/>
      <w:jc w:val="right"/>
    </w:pPr>
    <w:rPr>
      <w:rFonts w:eastAsia="Times New Roman"/>
      <w:lang w:val="en-GB" w:eastAsia="sv-SE"/>
    </w:rPr>
  </w:style>
  <w:style w:type="table" w:customStyle="1" w:styleId="BMTableFillGreen">
    <w:name w:val="B&amp;M Table Fill (Green)"/>
    <w:basedOn w:val="TableNormal"/>
    <w:uiPriority w:val="99"/>
    <w:rsid w:val="000F5A53"/>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pPr>
        <w:jc w:val="left"/>
      </w:pPr>
      <w:rPr>
        <w:rFonts w:cs="Times New Roman"/>
        <w:color w:val="FFFFFF" w:themeColor="background1"/>
      </w:rPr>
      <w:tblPr/>
      <w:tcPr>
        <w:shd w:val="clear" w:color="auto" w:fill="A2AD00" w:themeFill="accent4"/>
      </w:tcPr>
    </w:tblStylePr>
    <w:tblStylePr w:type="lastRow">
      <w:rPr>
        <w:rFonts w:cs="Times New Roman"/>
      </w:rPr>
      <w:tblPr/>
      <w:tcPr>
        <w:tcBorders>
          <w:bottom w:val="single" w:sz="8" w:space="0" w:color="A2AD00" w:themeColor="accent4"/>
        </w:tcBorders>
        <w:shd w:val="clear" w:color="auto" w:fill="F2F2F2" w:themeFill="background1" w:themeFillShade="F2"/>
      </w:tcPr>
    </w:tblStylePr>
  </w:style>
  <w:style w:type="table" w:customStyle="1" w:styleId="BMTableFillBurgundy">
    <w:name w:val="B&amp;M Table Fill (Burgundy)"/>
    <w:basedOn w:val="TableNormal"/>
    <w:uiPriority w:val="99"/>
    <w:rsid w:val="000F5A53"/>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pPr>
        <w:jc w:val="left"/>
      </w:pPr>
      <w:rPr>
        <w:rFonts w:cs="Times New Roman"/>
        <w:b w:val="0"/>
        <w:color w:val="FFFFFF"/>
      </w:rPr>
      <w:tblPr/>
      <w:tcPr>
        <w:tcBorders>
          <w:bottom w:val="nil"/>
        </w:tcBorders>
        <w:shd w:val="clear" w:color="auto" w:fill="A71930" w:themeFill="accent1"/>
      </w:tcPr>
    </w:tblStylePr>
    <w:tblStylePr w:type="lastRow">
      <w:rPr>
        <w:rFonts w:cs="Times New Roman"/>
      </w:rPr>
      <w:tblPr/>
      <w:tcPr>
        <w:tcBorders>
          <w:bottom w:val="single" w:sz="8" w:space="0" w:color="A71930" w:themeColor="accent1"/>
        </w:tcBorders>
        <w:shd w:val="clear" w:color="auto" w:fill="F2F2F2" w:themeFill="background1" w:themeFillShade="F2"/>
      </w:tcPr>
    </w:tblStylePr>
  </w:style>
  <w:style w:type="paragraph" w:customStyle="1" w:styleId="PrecedentCoverH1">
    <w:name w:val="Precedent Cover H1"/>
    <w:basedOn w:val="Normal"/>
    <w:uiPriority w:val="11"/>
    <w:rsid w:val="000F5A53"/>
    <w:pPr>
      <w:pageBreakBefore/>
      <w:spacing w:after="240" w:line="320" w:lineRule="atLeast"/>
      <w:outlineLvl w:val="0"/>
    </w:pPr>
    <w:rPr>
      <w:rFonts w:asciiTheme="majorHAnsi" w:hAnsiTheme="majorHAnsi" w:cstheme="minorBidi"/>
      <w:noProof/>
      <w:color w:val="A71930" w:themeColor="accent1"/>
      <w:sz w:val="40"/>
      <w:szCs w:val="28"/>
      <w:lang w:val="en-AU" w:eastAsia="en-AU"/>
    </w:rPr>
  </w:style>
  <w:style w:type="paragraph" w:customStyle="1" w:styleId="PrecedentCoverH2">
    <w:name w:val="Precedent Cover H2"/>
    <w:basedOn w:val="Normal"/>
    <w:uiPriority w:val="11"/>
    <w:rsid w:val="000F5A53"/>
    <w:pPr>
      <w:spacing w:before="240" w:after="120" w:line="240" w:lineRule="atLeast"/>
      <w:outlineLvl w:val="0"/>
    </w:pPr>
    <w:rPr>
      <w:rFonts w:ascii="Arial" w:eastAsia="MS Gothic" w:hAnsi="Arial" w:cs="Arial"/>
      <w:color w:val="A71930"/>
      <w:sz w:val="28"/>
      <w:lang w:val="en-GB" w:eastAsia="en-AU"/>
    </w:rPr>
  </w:style>
  <w:style w:type="paragraph" w:customStyle="1" w:styleId="PrecedentCoverDocumentTitle">
    <w:name w:val="Precedent Cover Document Title"/>
    <w:basedOn w:val="Normal"/>
    <w:uiPriority w:val="11"/>
    <w:rsid w:val="000F5A53"/>
    <w:pPr>
      <w:spacing w:before="360" w:after="120" w:line="240" w:lineRule="atLeast"/>
      <w:outlineLvl w:val="2"/>
    </w:pPr>
    <w:rPr>
      <w:rFonts w:ascii="Arial" w:eastAsia="MS Gothic" w:hAnsi="Arial" w:cs="Arial"/>
      <w:b/>
      <w:color w:val="404143" w:themeColor="text1"/>
      <w:sz w:val="36"/>
      <w:lang w:val="en-GB" w:eastAsia="en-AU"/>
    </w:rPr>
  </w:style>
  <w:style w:type="paragraph" w:customStyle="1" w:styleId="PrecedentCoverTableHeading">
    <w:name w:val="Precedent Cover Table Heading"/>
    <w:basedOn w:val="Normal"/>
    <w:uiPriority w:val="11"/>
    <w:rsid w:val="000F5A53"/>
    <w:pPr>
      <w:spacing w:before="120" w:after="120" w:line="240" w:lineRule="atLeast"/>
    </w:pPr>
    <w:rPr>
      <w:rFonts w:ascii="Arial Bold" w:eastAsia="MS Mincho" w:hAnsi="Arial Bold"/>
      <w:b/>
      <w:color w:val="FFFFFF"/>
      <w:sz w:val="20"/>
      <w:szCs w:val="20"/>
      <w:lang w:val="en-GB" w:eastAsia="en-AU"/>
    </w:rPr>
  </w:style>
  <w:style w:type="paragraph" w:customStyle="1" w:styleId="PrecedentCoverTableText-Bold">
    <w:name w:val="Precedent Cover Table Text - Bold"/>
    <w:basedOn w:val="Normal"/>
    <w:uiPriority w:val="11"/>
    <w:rsid w:val="000F5A53"/>
    <w:pPr>
      <w:spacing w:before="60" w:after="60" w:line="240" w:lineRule="atLeast"/>
    </w:pPr>
    <w:rPr>
      <w:rFonts w:ascii="Arial" w:eastAsia="MS Mincho" w:hAnsi="Arial"/>
      <w:b/>
      <w:color w:val="404143" w:themeColor="text1"/>
      <w:sz w:val="20"/>
      <w:szCs w:val="20"/>
      <w:lang w:val="en-GB" w:eastAsia="en-AU"/>
    </w:rPr>
  </w:style>
  <w:style w:type="paragraph" w:customStyle="1" w:styleId="PrecedentCoverTableText">
    <w:name w:val="Precedent Cover Table Text"/>
    <w:basedOn w:val="Normal"/>
    <w:uiPriority w:val="11"/>
    <w:rsid w:val="000F5A53"/>
    <w:pPr>
      <w:numPr>
        <w:numId w:val="27"/>
      </w:numPr>
      <w:spacing w:before="60" w:after="60" w:line="240" w:lineRule="atLeast"/>
    </w:pPr>
    <w:rPr>
      <w:rFonts w:ascii="Arial" w:eastAsia="MS Mincho" w:hAnsi="Arial"/>
      <w:color w:val="404143" w:themeColor="text1"/>
      <w:sz w:val="20"/>
      <w:szCs w:val="20"/>
      <w:lang w:val="en-GB" w:eastAsia="en-AU"/>
    </w:rPr>
  </w:style>
  <w:style w:type="paragraph" w:customStyle="1" w:styleId="PrecedentCoverTableText-Numbered">
    <w:name w:val="Precedent Cover Table Text - Numbered"/>
    <w:basedOn w:val="PrecedentCoverTableText"/>
    <w:uiPriority w:val="11"/>
    <w:rsid w:val="000F5A53"/>
    <w:pPr>
      <w:numPr>
        <w:numId w:val="28"/>
      </w:numPr>
      <w:ind w:left="567" w:hanging="567"/>
    </w:pPr>
    <w:rPr>
      <w:b/>
      <w:bCs/>
      <w:color w:val="A71930" w:themeColor="accent1"/>
    </w:rPr>
  </w:style>
  <w:style w:type="numbering" w:customStyle="1" w:styleId="BMIndents0">
    <w:name w:val="B&amp;M Indents"/>
    <w:uiPriority w:val="99"/>
    <w:rsid w:val="000F5A53"/>
  </w:style>
  <w:style w:type="paragraph" w:customStyle="1" w:styleId="CoverText">
    <w:name w:val="CoverText"/>
    <w:uiPriority w:val="11"/>
    <w:semiHidden/>
    <w:rsid w:val="000F5A53"/>
    <w:pPr>
      <w:spacing w:after="180" w:line="260" w:lineRule="exact"/>
    </w:pPr>
    <w:rPr>
      <w:rFonts w:eastAsiaTheme="minorEastAsia" w:cstheme="minorHAnsi"/>
      <w:sz w:val="22"/>
      <w:szCs w:val="22"/>
      <w:lang w:val="en-US" w:eastAsia="en-US"/>
    </w:rPr>
  </w:style>
  <w:style w:type="table" w:customStyle="1" w:styleId="CoverTable">
    <w:name w:val="CoverTable"/>
    <w:basedOn w:val="TableNormal"/>
    <w:uiPriority w:val="99"/>
    <w:rsid w:val="000F5A53"/>
    <w:rPr>
      <w:rFonts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576A"/>
    <w:rPr>
      <w:color w:val="605E5C"/>
      <w:shd w:val="clear" w:color="auto" w:fill="E1DFDD"/>
    </w:rPr>
  </w:style>
  <w:style w:type="character" w:customStyle="1" w:styleId="SubHeadingChar">
    <w:name w:val="Sub Heading Char"/>
    <w:basedOn w:val="DefaultParagraphFont"/>
    <w:link w:val="SubHeading"/>
    <w:rsid w:val="00F3012E"/>
    <w:rPr>
      <w:rFonts w:ascii="Arial" w:hAnsi="Arial"/>
      <w:b/>
      <w:sz w:val="22"/>
      <w:lang w:val="en-GB" w:eastAsia="en-US"/>
    </w:rPr>
  </w:style>
  <w:style w:type="paragraph" w:customStyle="1" w:styleId="ListNumbering1">
    <w:name w:val="List Numbering 1"/>
    <w:basedOn w:val="Normal"/>
    <w:link w:val="ListNumbering1Char"/>
    <w:uiPriority w:val="98"/>
    <w:qFormat/>
    <w:rsid w:val="00F3012E"/>
    <w:pPr>
      <w:numPr>
        <w:numId w:val="42"/>
      </w:numPr>
    </w:pPr>
    <w:rPr>
      <w:rFonts w:eastAsia="Times New Roman"/>
      <w:bCs/>
      <w:szCs w:val="28"/>
      <w:lang w:val="en-GB" w:eastAsia="zh-CN"/>
    </w:rPr>
  </w:style>
  <w:style w:type="paragraph" w:styleId="TOCHeading0">
    <w:name w:val="TOC Heading"/>
    <w:basedOn w:val="Heading1"/>
    <w:next w:val="Normal"/>
    <w:uiPriority w:val="39"/>
    <w:semiHidden/>
    <w:unhideWhenUsed/>
    <w:qFormat/>
    <w:rsid w:val="00F3012E"/>
    <w:pPr>
      <w:keepLines/>
      <w:numPr>
        <w:numId w:val="0"/>
      </w:numPr>
      <w:spacing w:before="480" w:after="0" w:line="240" w:lineRule="auto"/>
      <w:outlineLvl w:val="9"/>
    </w:pPr>
    <w:rPr>
      <w:rFonts w:asciiTheme="majorHAnsi" w:eastAsiaTheme="majorEastAsia" w:hAnsiTheme="majorHAnsi" w:cstheme="majorBidi"/>
      <w:bCs/>
      <w:color w:val="EBB700" w:themeColor="accent2"/>
      <w:sz w:val="28"/>
      <w:szCs w:val="28"/>
      <w:lang w:eastAsia="zh-CN"/>
    </w:rPr>
  </w:style>
  <w:style w:type="paragraph" w:styleId="Bibliography">
    <w:name w:val="Bibliography"/>
    <w:basedOn w:val="Normal"/>
    <w:next w:val="Normal"/>
    <w:uiPriority w:val="37"/>
    <w:semiHidden/>
    <w:unhideWhenUsed/>
    <w:rsid w:val="00F3012E"/>
    <w:rPr>
      <w:rFonts w:asciiTheme="minorHAnsi" w:eastAsiaTheme="minorEastAsia" w:hAnsiTheme="minorHAnsi" w:cstheme="minorBidi"/>
      <w:szCs w:val="28"/>
      <w:lang w:val="en-GB" w:eastAsia="zh-CN"/>
    </w:rPr>
  </w:style>
  <w:style w:type="paragraph" w:styleId="NoteHeading">
    <w:name w:val="Note Heading"/>
    <w:basedOn w:val="Normal"/>
    <w:next w:val="Normal"/>
    <w:semiHidden/>
    <w:unhideWhenUsed/>
    <w:rsid w:val="00F3012E"/>
    <w:rPr>
      <w:rFonts w:asciiTheme="minorHAnsi" w:eastAsiaTheme="minorEastAsia" w:hAnsiTheme="minorHAnsi" w:cstheme="minorBidi"/>
      <w:szCs w:val="28"/>
      <w:lang w:val="en-GB" w:eastAsia="zh-CN"/>
    </w:rPr>
  </w:style>
  <w:style w:type="character" w:customStyle="1" w:styleId="NoteHeadingChar1">
    <w:name w:val="Note Heading Char1"/>
    <w:basedOn w:val="DefaultParagraphFont"/>
    <w:semiHidden/>
    <w:rsid w:val="00F3012E"/>
    <w:rPr>
      <w:sz w:val="22"/>
      <w:szCs w:val="24"/>
      <w:lang w:val="sv-SE" w:eastAsia="en-US"/>
    </w:rPr>
  </w:style>
  <w:style w:type="character" w:customStyle="1" w:styleId="BoxNoteBulletChar">
    <w:name w:val="Box Note Bullet Char"/>
    <w:basedOn w:val="BoxNoteChar"/>
    <w:link w:val="BoxNoteBullet"/>
    <w:uiPriority w:val="9"/>
    <w:semiHidden/>
    <w:rsid w:val="00F3012E"/>
    <w:rPr>
      <w:rFonts w:eastAsia="Times New Roman"/>
      <w:color w:val="FF0000"/>
      <w:sz w:val="18"/>
      <w:szCs w:val="28"/>
      <w:lang w:val="en-US" w:eastAsia="zh-CN"/>
    </w:rPr>
  </w:style>
  <w:style w:type="character" w:customStyle="1" w:styleId="ListNumbering1Char">
    <w:name w:val="List Numbering 1 Char"/>
    <w:basedOn w:val="DefaultParagraphFont"/>
    <w:link w:val="ListNumbering1"/>
    <w:uiPriority w:val="98"/>
    <w:rsid w:val="00F3012E"/>
    <w:rPr>
      <w:rFonts w:eastAsia="Times New Roman"/>
      <w:bCs/>
      <w:sz w:val="22"/>
      <w:szCs w:val="28"/>
      <w:lang w:val="en-GB" w:eastAsia="zh-CN"/>
    </w:rPr>
  </w:style>
  <w:style w:type="paragraph" w:customStyle="1" w:styleId="BodyText4">
    <w:name w:val="Body Text 4"/>
    <w:basedOn w:val="BodyText"/>
    <w:link w:val="BodyText4Char"/>
    <w:qFormat/>
    <w:rsid w:val="00F3012E"/>
    <w:pPr>
      <w:numPr>
        <w:ilvl w:val="3"/>
      </w:numPr>
      <w:ind w:left="2160"/>
    </w:pPr>
    <w:rPr>
      <w:rFonts w:asciiTheme="minorHAnsi" w:eastAsiaTheme="minorEastAsia" w:hAnsiTheme="minorHAnsi" w:cstheme="minorBidi"/>
      <w:szCs w:val="28"/>
      <w:lang w:eastAsia="zh-CN"/>
    </w:rPr>
  </w:style>
  <w:style w:type="character" w:customStyle="1" w:styleId="BodyText4Char">
    <w:name w:val="Body Text 4 Char"/>
    <w:basedOn w:val="DefaultParagraphFont"/>
    <w:link w:val="BodyText4"/>
    <w:rsid w:val="00F3012E"/>
    <w:rPr>
      <w:rFonts w:asciiTheme="minorHAnsi" w:eastAsiaTheme="minorEastAsia" w:hAnsiTheme="minorHAnsi" w:cstheme="minorBidi"/>
      <w:sz w:val="22"/>
      <w:szCs w:val="28"/>
      <w:lang w:val="en-GB" w:eastAsia="zh-CN"/>
    </w:rPr>
  </w:style>
  <w:style w:type="paragraph" w:customStyle="1" w:styleId="BodyText5">
    <w:name w:val="Body Text 5"/>
    <w:basedOn w:val="BodyText"/>
    <w:link w:val="BodyText5Char"/>
    <w:semiHidden/>
    <w:qFormat/>
    <w:rsid w:val="00F3012E"/>
    <w:pPr>
      <w:numPr>
        <w:ilvl w:val="4"/>
      </w:numPr>
      <w:ind w:left="2880"/>
    </w:pPr>
    <w:rPr>
      <w:rFonts w:asciiTheme="minorHAnsi" w:eastAsia="Times New Roman" w:hAnsiTheme="minorHAnsi" w:cstheme="minorBidi"/>
      <w:szCs w:val="28"/>
      <w:lang w:eastAsia="zh-CN"/>
    </w:rPr>
  </w:style>
  <w:style w:type="character" w:customStyle="1" w:styleId="BodyText5Char">
    <w:name w:val="Body Text 5 Char"/>
    <w:basedOn w:val="DefaultParagraphFont"/>
    <w:link w:val="BodyText5"/>
    <w:semiHidden/>
    <w:rsid w:val="00F3012E"/>
    <w:rPr>
      <w:rFonts w:asciiTheme="minorHAnsi" w:eastAsia="Times New Roman" w:hAnsiTheme="minorHAnsi" w:cstheme="minorBidi"/>
      <w:sz w:val="22"/>
      <w:szCs w:val="28"/>
      <w:lang w:val="en-GB" w:eastAsia="zh-CN"/>
    </w:rPr>
  </w:style>
  <w:style w:type="paragraph" w:customStyle="1" w:styleId="BodyText6">
    <w:name w:val="Body Text 6"/>
    <w:basedOn w:val="BodyText"/>
    <w:link w:val="BodyText6Char"/>
    <w:uiPriority w:val="9"/>
    <w:semiHidden/>
    <w:rsid w:val="00F3012E"/>
    <w:pPr>
      <w:ind w:left="3600"/>
    </w:pPr>
    <w:rPr>
      <w:rFonts w:asciiTheme="minorHAnsi" w:eastAsia="Times New Roman" w:hAnsiTheme="minorHAnsi" w:cstheme="minorBidi"/>
      <w:szCs w:val="28"/>
      <w:lang w:eastAsia="zh-CN"/>
    </w:rPr>
  </w:style>
  <w:style w:type="character" w:customStyle="1" w:styleId="BodyText6Char">
    <w:name w:val="Body Text 6 Char"/>
    <w:basedOn w:val="DefaultParagraphFont"/>
    <w:link w:val="BodyText6"/>
    <w:uiPriority w:val="9"/>
    <w:semiHidden/>
    <w:rsid w:val="00F3012E"/>
    <w:rPr>
      <w:rFonts w:asciiTheme="minorHAnsi" w:eastAsia="Times New Roman" w:hAnsiTheme="minorHAnsi" w:cstheme="minorBidi"/>
      <w:sz w:val="22"/>
      <w:szCs w:val="28"/>
      <w:lang w:val="en-GB" w:eastAsia="zh-CN"/>
    </w:rPr>
  </w:style>
  <w:style w:type="paragraph" w:customStyle="1" w:styleId="BodyText7">
    <w:name w:val="Body Text 7"/>
    <w:basedOn w:val="BodyText"/>
    <w:link w:val="BodyText7Char"/>
    <w:uiPriority w:val="9"/>
    <w:semiHidden/>
    <w:qFormat/>
    <w:rsid w:val="00F3012E"/>
    <w:pPr>
      <w:ind w:left="4320"/>
    </w:pPr>
    <w:rPr>
      <w:rFonts w:asciiTheme="minorHAnsi" w:eastAsia="Times New Roman" w:hAnsiTheme="minorHAnsi" w:cstheme="minorBidi"/>
      <w:szCs w:val="28"/>
      <w:lang w:eastAsia="zh-CN"/>
    </w:rPr>
  </w:style>
  <w:style w:type="character" w:customStyle="1" w:styleId="BodyText7Char">
    <w:name w:val="Body Text 7 Char"/>
    <w:basedOn w:val="BodyText6Char"/>
    <w:link w:val="BodyText7"/>
    <w:uiPriority w:val="9"/>
    <w:semiHidden/>
    <w:rsid w:val="00F3012E"/>
    <w:rPr>
      <w:rFonts w:asciiTheme="minorHAnsi" w:eastAsia="Times New Roman" w:hAnsiTheme="minorHAnsi" w:cstheme="minorBidi"/>
      <w:sz w:val="22"/>
      <w:szCs w:val="28"/>
      <w:lang w:val="en-GB" w:eastAsia="zh-CN"/>
    </w:rPr>
  </w:style>
  <w:style w:type="paragraph" w:customStyle="1" w:styleId="BoxNote">
    <w:name w:val="Box Note"/>
    <w:link w:val="BoxNoteChar"/>
    <w:uiPriority w:val="12"/>
    <w:semiHidden/>
    <w:qFormat/>
    <w:rsid w:val="00F3012E"/>
    <w:pPr>
      <w:pBdr>
        <w:top w:val="single" w:sz="4" w:space="1" w:color="FF0000"/>
        <w:left w:val="single" w:sz="4" w:space="4" w:color="FF0000"/>
        <w:bottom w:val="single" w:sz="4" w:space="1" w:color="FF0000"/>
        <w:right w:val="single" w:sz="4" w:space="4" w:color="FF0000"/>
      </w:pBdr>
      <w:spacing w:after="120"/>
    </w:pPr>
    <w:rPr>
      <w:rFonts w:eastAsia="Times New Roman"/>
      <w:color w:val="FF0000"/>
      <w:sz w:val="18"/>
      <w:szCs w:val="28"/>
      <w:lang w:val="en-US" w:eastAsia="zh-CN"/>
    </w:rPr>
  </w:style>
  <w:style w:type="character" w:customStyle="1" w:styleId="BoxNoteChar">
    <w:name w:val="Box Note Char"/>
    <w:link w:val="BoxNote"/>
    <w:uiPriority w:val="12"/>
    <w:semiHidden/>
    <w:rsid w:val="00F3012E"/>
    <w:rPr>
      <w:rFonts w:eastAsia="Times New Roman"/>
      <w:color w:val="FF0000"/>
      <w:sz w:val="18"/>
      <w:szCs w:val="28"/>
      <w:lang w:val="en-US" w:eastAsia="zh-CN"/>
    </w:rPr>
  </w:style>
  <w:style w:type="paragraph" w:customStyle="1" w:styleId="BoxNoteBullet">
    <w:name w:val="Box Note Bullet"/>
    <w:basedOn w:val="BoxNote"/>
    <w:link w:val="BoxNoteBulletChar"/>
    <w:uiPriority w:val="9"/>
    <w:semiHidden/>
    <w:qFormat/>
    <w:rsid w:val="00F3012E"/>
    <w:pPr>
      <w:numPr>
        <w:numId w:val="39"/>
      </w:numPr>
      <w:ind w:left="360"/>
    </w:pPr>
    <w:rPr>
      <w:lang w:eastAsia="en-AU"/>
    </w:rPr>
  </w:style>
  <w:style w:type="paragraph" w:customStyle="1" w:styleId="BoxNoteHeading">
    <w:name w:val="Box Note Heading"/>
    <w:basedOn w:val="BoxNote"/>
    <w:next w:val="BoxNote"/>
    <w:link w:val="BoxNoteHeadingChar"/>
    <w:uiPriority w:val="9"/>
    <w:semiHidden/>
    <w:rsid w:val="00F3012E"/>
    <w:rPr>
      <w:b/>
    </w:rPr>
  </w:style>
  <w:style w:type="paragraph" w:customStyle="1" w:styleId="TableTitle">
    <w:name w:val="Table Title"/>
    <w:basedOn w:val="Normal"/>
    <w:next w:val="BodyText"/>
    <w:link w:val="TableTitleChar"/>
    <w:uiPriority w:val="9"/>
    <w:rsid w:val="00F3012E"/>
    <w:pPr>
      <w:keepNext/>
      <w:widowControl w:val="0"/>
      <w:spacing w:after="120"/>
    </w:pPr>
    <w:rPr>
      <w:rFonts w:eastAsia="Times New Roman"/>
      <w:b/>
      <w:bCs/>
      <w:caps/>
      <w:szCs w:val="28"/>
      <w:lang w:val="en-GB" w:eastAsia="zh-CN"/>
    </w:rPr>
  </w:style>
  <w:style w:type="paragraph" w:customStyle="1" w:styleId="Bullet0ptAfter1">
    <w:name w:val="Bullet (0pt After) 1"/>
    <w:basedOn w:val="Normal"/>
    <w:link w:val="Bullet0ptAfter1Char"/>
    <w:uiPriority w:val="98"/>
    <w:qFormat/>
    <w:rsid w:val="00F3012E"/>
    <w:pPr>
      <w:numPr>
        <w:numId w:val="44"/>
      </w:numPr>
      <w:outlineLvl w:val="0"/>
    </w:pPr>
    <w:rPr>
      <w:rFonts w:eastAsiaTheme="minorEastAsia" w:cstheme="minorBidi"/>
      <w:bCs/>
      <w:szCs w:val="28"/>
      <w:lang w:val="en-GB" w:eastAsia="zh-CN"/>
    </w:rPr>
  </w:style>
  <w:style w:type="paragraph" w:customStyle="1" w:styleId="Bullet0ptAfter2">
    <w:name w:val="Bullet (0pt After) 2"/>
    <w:basedOn w:val="Bullet0ptAfter1"/>
    <w:link w:val="Bullet0ptAfter2Char"/>
    <w:uiPriority w:val="98"/>
    <w:rsid w:val="00F3012E"/>
    <w:pPr>
      <w:numPr>
        <w:ilvl w:val="1"/>
      </w:numPr>
      <w:outlineLvl w:val="1"/>
    </w:pPr>
  </w:style>
  <w:style w:type="paragraph" w:customStyle="1" w:styleId="Bullet0ptAfter3">
    <w:name w:val="Bullet (0pt After) 3"/>
    <w:basedOn w:val="Bullet0ptAfter1"/>
    <w:link w:val="Bullet0ptAfter3Char"/>
    <w:uiPriority w:val="98"/>
    <w:rsid w:val="00F3012E"/>
    <w:pPr>
      <w:numPr>
        <w:ilvl w:val="2"/>
      </w:numPr>
      <w:outlineLvl w:val="2"/>
    </w:pPr>
  </w:style>
  <w:style w:type="paragraph" w:customStyle="1" w:styleId="Bullet0ptAfter4">
    <w:name w:val="Bullet (0pt After) 4"/>
    <w:basedOn w:val="Bullet0ptAfter1"/>
    <w:link w:val="Bullet0ptAfter4Char"/>
    <w:uiPriority w:val="98"/>
    <w:semiHidden/>
    <w:rsid w:val="00F3012E"/>
    <w:pPr>
      <w:numPr>
        <w:ilvl w:val="3"/>
      </w:numPr>
      <w:outlineLvl w:val="3"/>
    </w:pPr>
  </w:style>
  <w:style w:type="paragraph" w:customStyle="1" w:styleId="Bullet0ptAfter5">
    <w:name w:val="Bullet (0pt After) 5"/>
    <w:basedOn w:val="Bullet0ptAfter1"/>
    <w:link w:val="Bullet0ptAfter5Char"/>
    <w:uiPriority w:val="98"/>
    <w:semiHidden/>
    <w:rsid w:val="00F3012E"/>
    <w:pPr>
      <w:numPr>
        <w:ilvl w:val="4"/>
      </w:numPr>
      <w:outlineLvl w:val="4"/>
    </w:pPr>
  </w:style>
  <w:style w:type="paragraph" w:customStyle="1" w:styleId="Bullet0ptAfter6">
    <w:name w:val="Bullet (0pt After) 6"/>
    <w:basedOn w:val="Bullet0ptAfter1"/>
    <w:link w:val="Bullet0ptAfter6Char"/>
    <w:uiPriority w:val="98"/>
    <w:semiHidden/>
    <w:rsid w:val="00F3012E"/>
    <w:pPr>
      <w:numPr>
        <w:ilvl w:val="5"/>
      </w:numPr>
      <w:outlineLvl w:val="5"/>
    </w:pPr>
  </w:style>
  <w:style w:type="paragraph" w:customStyle="1" w:styleId="Bullet0ptAfter7">
    <w:name w:val="Bullet (0pt After) 7"/>
    <w:basedOn w:val="Normal"/>
    <w:next w:val="BodyText"/>
    <w:link w:val="Bullet0ptAfter7Char"/>
    <w:uiPriority w:val="98"/>
    <w:semiHidden/>
    <w:rsid w:val="00F3012E"/>
    <w:pPr>
      <w:numPr>
        <w:ilvl w:val="6"/>
        <w:numId w:val="44"/>
      </w:numPr>
    </w:pPr>
    <w:rPr>
      <w:rFonts w:eastAsiaTheme="minorEastAsia"/>
      <w:bCs/>
      <w:szCs w:val="28"/>
      <w:lang w:val="en-GB" w:eastAsia="zh-CN"/>
    </w:rPr>
  </w:style>
  <w:style w:type="paragraph" w:customStyle="1" w:styleId="Bullet0ptAfter8">
    <w:name w:val="Bullet (0pt After) 8"/>
    <w:basedOn w:val="Normal"/>
    <w:next w:val="BodyText"/>
    <w:link w:val="Bullet0ptAfter8Char"/>
    <w:uiPriority w:val="98"/>
    <w:semiHidden/>
    <w:rsid w:val="00F3012E"/>
    <w:pPr>
      <w:numPr>
        <w:ilvl w:val="7"/>
        <w:numId w:val="44"/>
      </w:numPr>
    </w:pPr>
    <w:rPr>
      <w:rFonts w:eastAsiaTheme="minorEastAsia"/>
      <w:bCs/>
      <w:szCs w:val="28"/>
      <w:lang w:val="en-GB" w:eastAsia="zh-CN"/>
    </w:rPr>
  </w:style>
  <w:style w:type="paragraph" w:customStyle="1" w:styleId="Bullet0ptAfter9">
    <w:name w:val="Bullet (0pt After) 9"/>
    <w:basedOn w:val="Normal"/>
    <w:next w:val="BodyText"/>
    <w:link w:val="Bullet0ptAfter9Char"/>
    <w:uiPriority w:val="98"/>
    <w:semiHidden/>
    <w:rsid w:val="00F3012E"/>
    <w:pPr>
      <w:numPr>
        <w:ilvl w:val="8"/>
        <w:numId w:val="44"/>
      </w:numPr>
    </w:pPr>
    <w:rPr>
      <w:rFonts w:eastAsiaTheme="minorEastAsia"/>
      <w:bCs/>
      <w:szCs w:val="28"/>
      <w:lang w:val="en-GB" w:eastAsia="zh-CN"/>
    </w:rPr>
  </w:style>
  <w:style w:type="paragraph" w:customStyle="1" w:styleId="Bullet12ptAfter1">
    <w:name w:val="Bullet (12pt After) 1"/>
    <w:basedOn w:val="Normal"/>
    <w:link w:val="Bullet12ptAfter1Char"/>
    <w:uiPriority w:val="98"/>
    <w:qFormat/>
    <w:rsid w:val="00F3012E"/>
    <w:pPr>
      <w:numPr>
        <w:numId w:val="43"/>
      </w:numPr>
    </w:pPr>
    <w:rPr>
      <w:rFonts w:eastAsiaTheme="minorEastAsia" w:cstheme="minorBidi"/>
      <w:bCs/>
      <w:szCs w:val="28"/>
      <w:lang w:val="en-GB" w:eastAsia="zh-CN"/>
    </w:rPr>
  </w:style>
  <w:style w:type="paragraph" w:customStyle="1" w:styleId="Bullet12ptAfter2">
    <w:name w:val="Bullet (12pt After) 2"/>
    <w:basedOn w:val="Bullet12ptAfter1"/>
    <w:link w:val="Bullet12ptAfter2Char"/>
    <w:uiPriority w:val="98"/>
    <w:rsid w:val="00F3012E"/>
    <w:pPr>
      <w:numPr>
        <w:ilvl w:val="1"/>
      </w:numPr>
    </w:pPr>
  </w:style>
  <w:style w:type="paragraph" w:customStyle="1" w:styleId="Bullet12ptAfter3">
    <w:name w:val="Bullet (12pt After) 3"/>
    <w:basedOn w:val="Bullet12ptAfter1"/>
    <w:link w:val="Bullet12ptAfter3Char"/>
    <w:uiPriority w:val="98"/>
    <w:rsid w:val="00F3012E"/>
    <w:pPr>
      <w:numPr>
        <w:ilvl w:val="2"/>
      </w:numPr>
    </w:pPr>
  </w:style>
  <w:style w:type="paragraph" w:customStyle="1" w:styleId="Bullet12ptAfter4">
    <w:name w:val="Bullet (12pt After) 4"/>
    <w:basedOn w:val="Bullet12ptAfter1"/>
    <w:link w:val="Bullet12ptAfter4Char"/>
    <w:uiPriority w:val="98"/>
    <w:semiHidden/>
    <w:rsid w:val="00F3012E"/>
    <w:pPr>
      <w:numPr>
        <w:ilvl w:val="3"/>
      </w:numPr>
    </w:pPr>
  </w:style>
  <w:style w:type="paragraph" w:customStyle="1" w:styleId="Bullet12ptAfter5">
    <w:name w:val="Bullet (12pt After) 5"/>
    <w:basedOn w:val="Bullet12ptAfter1"/>
    <w:link w:val="Bullet12ptAfter5Char"/>
    <w:uiPriority w:val="98"/>
    <w:semiHidden/>
    <w:rsid w:val="00F3012E"/>
    <w:pPr>
      <w:numPr>
        <w:ilvl w:val="4"/>
      </w:numPr>
    </w:pPr>
  </w:style>
  <w:style w:type="paragraph" w:customStyle="1" w:styleId="Bullet12ptAfter6">
    <w:name w:val="Bullet (12pt After) 6"/>
    <w:basedOn w:val="Bullet12ptAfter1"/>
    <w:link w:val="Bullet12ptAfter6Char"/>
    <w:uiPriority w:val="98"/>
    <w:semiHidden/>
    <w:rsid w:val="00F3012E"/>
    <w:pPr>
      <w:numPr>
        <w:ilvl w:val="5"/>
      </w:numPr>
    </w:pPr>
  </w:style>
  <w:style w:type="paragraph" w:customStyle="1" w:styleId="Bullet12ptAfter7">
    <w:name w:val="Bullet (12pt After) 7"/>
    <w:basedOn w:val="Normal"/>
    <w:next w:val="BodyText"/>
    <w:link w:val="Bullet12ptAfter7Char"/>
    <w:uiPriority w:val="98"/>
    <w:semiHidden/>
    <w:rsid w:val="00F3012E"/>
    <w:pPr>
      <w:numPr>
        <w:ilvl w:val="6"/>
        <w:numId w:val="43"/>
      </w:numPr>
    </w:pPr>
    <w:rPr>
      <w:rFonts w:eastAsiaTheme="minorEastAsia"/>
      <w:bCs/>
      <w:szCs w:val="28"/>
      <w:lang w:val="en-GB" w:eastAsia="zh-CN"/>
    </w:rPr>
  </w:style>
  <w:style w:type="paragraph" w:customStyle="1" w:styleId="Bullet12ptAfter8">
    <w:name w:val="Bullet (12pt After) 8"/>
    <w:basedOn w:val="Normal"/>
    <w:next w:val="BodyText"/>
    <w:link w:val="Bullet12ptAfter8Char"/>
    <w:uiPriority w:val="98"/>
    <w:semiHidden/>
    <w:rsid w:val="00F3012E"/>
    <w:pPr>
      <w:numPr>
        <w:ilvl w:val="7"/>
        <w:numId w:val="43"/>
      </w:numPr>
    </w:pPr>
    <w:rPr>
      <w:rFonts w:eastAsiaTheme="minorEastAsia"/>
      <w:bCs/>
      <w:szCs w:val="28"/>
      <w:lang w:val="en-GB" w:eastAsia="zh-CN"/>
    </w:rPr>
  </w:style>
  <w:style w:type="paragraph" w:customStyle="1" w:styleId="Bullet12ptAfter9">
    <w:name w:val="Bullet (12pt After) 9"/>
    <w:basedOn w:val="Normal"/>
    <w:next w:val="BodyText"/>
    <w:link w:val="Bullet12ptAfter9Char"/>
    <w:uiPriority w:val="98"/>
    <w:semiHidden/>
    <w:rsid w:val="00F3012E"/>
    <w:pPr>
      <w:numPr>
        <w:ilvl w:val="8"/>
        <w:numId w:val="43"/>
      </w:numPr>
    </w:pPr>
    <w:rPr>
      <w:rFonts w:eastAsiaTheme="minorEastAsia"/>
      <w:bCs/>
      <w:szCs w:val="28"/>
      <w:lang w:val="en-GB" w:eastAsia="zh-CN"/>
    </w:rPr>
  </w:style>
  <w:style w:type="paragraph" w:customStyle="1" w:styleId="TableBullet1">
    <w:name w:val="Table Bullet 1"/>
    <w:basedOn w:val="Normal"/>
    <w:link w:val="TableBullet1Char"/>
    <w:uiPriority w:val="98"/>
    <w:qFormat/>
    <w:rsid w:val="00F3012E"/>
    <w:pPr>
      <w:numPr>
        <w:numId w:val="41"/>
      </w:numPr>
      <w:spacing w:before="120" w:after="120"/>
    </w:pPr>
    <w:rPr>
      <w:rFonts w:ascii="Arial" w:eastAsiaTheme="minorEastAsia" w:hAnsi="Arial"/>
      <w:szCs w:val="28"/>
      <w:lang w:val="en-GB" w:eastAsia="zh-CN"/>
    </w:rPr>
  </w:style>
  <w:style w:type="character" w:customStyle="1" w:styleId="TableBullet1Char">
    <w:name w:val="Table Bullet 1 Char"/>
    <w:basedOn w:val="Heading1Char"/>
    <w:link w:val="TableBullet1"/>
    <w:uiPriority w:val="98"/>
    <w:rsid w:val="00F3012E"/>
    <w:rPr>
      <w:rFonts w:ascii="Arial" w:eastAsiaTheme="minorEastAsia" w:hAnsi="Arial"/>
      <w:b w:val="0"/>
      <w:sz w:val="22"/>
      <w:szCs w:val="28"/>
      <w:lang w:val="en-GB" w:eastAsia="zh-CN"/>
    </w:rPr>
  </w:style>
  <w:style w:type="paragraph" w:customStyle="1" w:styleId="TableBullet2">
    <w:name w:val="Table Bullet 2"/>
    <w:basedOn w:val="TableBullet1"/>
    <w:link w:val="TableBullet2Char"/>
    <w:uiPriority w:val="98"/>
    <w:rsid w:val="00F3012E"/>
    <w:pPr>
      <w:numPr>
        <w:ilvl w:val="1"/>
      </w:numPr>
    </w:pPr>
  </w:style>
  <w:style w:type="character" w:customStyle="1" w:styleId="TableBullet2Char">
    <w:name w:val="Table Bullet 2 Char"/>
    <w:basedOn w:val="Heading1Char"/>
    <w:link w:val="TableBullet2"/>
    <w:uiPriority w:val="98"/>
    <w:rsid w:val="00F3012E"/>
    <w:rPr>
      <w:rFonts w:ascii="Arial" w:eastAsiaTheme="minorEastAsia" w:hAnsi="Arial"/>
      <w:b w:val="0"/>
      <w:sz w:val="22"/>
      <w:szCs w:val="28"/>
      <w:lang w:val="en-GB" w:eastAsia="zh-CN"/>
    </w:rPr>
  </w:style>
  <w:style w:type="paragraph" w:customStyle="1" w:styleId="TableBullet3">
    <w:name w:val="Table Bullet 3"/>
    <w:basedOn w:val="TableBullet1"/>
    <w:link w:val="TableBullet3Char"/>
    <w:uiPriority w:val="98"/>
    <w:rsid w:val="00F3012E"/>
    <w:pPr>
      <w:numPr>
        <w:ilvl w:val="2"/>
      </w:numPr>
    </w:pPr>
  </w:style>
  <w:style w:type="character" w:customStyle="1" w:styleId="TableBullet3Char">
    <w:name w:val="Table Bullet 3 Char"/>
    <w:basedOn w:val="Heading1Char"/>
    <w:link w:val="TableBullet3"/>
    <w:uiPriority w:val="98"/>
    <w:rsid w:val="00F3012E"/>
    <w:rPr>
      <w:rFonts w:ascii="Arial" w:eastAsiaTheme="minorEastAsia" w:hAnsi="Arial"/>
      <w:b w:val="0"/>
      <w:sz w:val="22"/>
      <w:szCs w:val="28"/>
      <w:lang w:val="en-GB" w:eastAsia="zh-CN"/>
    </w:rPr>
  </w:style>
  <w:style w:type="paragraph" w:customStyle="1" w:styleId="TableBullet4">
    <w:name w:val="Table Bullet 4"/>
    <w:basedOn w:val="Normal"/>
    <w:link w:val="TableBullet4Char"/>
    <w:uiPriority w:val="98"/>
    <w:semiHidden/>
    <w:rsid w:val="00F3012E"/>
    <w:pPr>
      <w:numPr>
        <w:ilvl w:val="3"/>
        <w:numId w:val="41"/>
      </w:numPr>
    </w:pPr>
    <w:rPr>
      <w:rFonts w:ascii="Arial" w:eastAsiaTheme="minorEastAsia" w:hAnsi="Arial"/>
      <w:szCs w:val="28"/>
      <w:lang w:val="en-GB" w:eastAsia="zh-CN"/>
    </w:rPr>
  </w:style>
  <w:style w:type="character" w:customStyle="1" w:styleId="TableBullet4Char">
    <w:name w:val="Table Bullet 4 Char"/>
    <w:basedOn w:val="Heading1Char"/>
    <w:link w:val="TableBullet4"/>
    <w:uiPriority w:val="98"/>
    <w:semiHidden/>
    <w:rsid w:val="00F3012E"/>
    <w:rPr>
      <w:rFonts w:ascii="Arial" w:eastAsiaTheme="minorEastAsia" w:hAnsi="Arial"/>
      <w:b w:val="0"/>
      <w:sz w:val="22"/>
      <w:szCs w:val="28"/>
      <w:lang w:val="en-GB" w:eastAsia="zh-CN"/>
    </w:rPr>
  </w:style>
  <w:style w:type="paragraph" w:customStyle="1" w:styleId="TableBullet5">
    <w:name w:val="Table Bullet 5"/>
    <w:basedOn w:val="Normal"/>
    <w:link w:val="TableBullet5Char"/>
    <w:uiPriority w:val="98"/>
    <w:semiHidden/>
    <w:rsid w:val="00F3012E"/>
    <w:pPr>
      <w:numPr>
        <w:ilvl w:val="4"/>
        <w:numId w:val="41"/>
      </w:numPr>
    </w:pPr>
    <w:rPr>
      <w:rFonts w:ascii="Arial" w:eastAsiaTheme="minorEastAsia" w:hAnsi="Arial"/>
      <w:szCs w:val="28"/>
      <w:lang w:val="en-GB" w:eastAsia="zh-CN"/>
    </w:rPr>
  </w:style>
  <w:style w:type="character" w:customStyle="1" w:styleId="TableBullet5Char">
    <w:name w:val="Table Bullet 5 Char"/>
    <w:basedOn w:val="Heading1Char"/>
    <w:link w:val="TableBullet5"/>
    <w:uiPriority w:val="98"/>
    <w:semiHidden/>
    <w:rsid w:val="00F3012E"/>
    <w:rPr>
      <w:rFonts w:ascii="Arial" w:eastAsiaTheme="minorEastAsia" w:hAnsi="Arial"/>
      <w:b w:val="0"/>
      <w:sz w:val="22"/>
      <w:szCs w:val="28"/>
      <w:lang w:val="en-GB" w:eastAsia="zh-CN"/>
    </w:rPr>
  </w:style>
  <w:style w:type="paragraph" w:customStyle="1" w:styleId="TableBullet6">
    <w:name w:val="Table Bullet 6"/>
    <w:basedOn w:val="Normal"/>
    <w:link w:val="TableBullet6Char"/>
    <w:uiPriority w:val="98"/>
    <w:semiHidden/>
    <w:rsid w:val="00F3012E"/>
    <w:pPr>
      <w:numPr>
        <w:ilvl w:val="5"/>
        <w:numId w:val="41"/>
      </w:numPr>
    </w:pPr>
    <w:rPr>
      <w:rFonts w:ascii="Arial" w:eastAsiaTheme="minorEastAsia" w:hAnsi="Arial"/>
      <w:szCs w:val="28"/>
      <w:lang w:val="en-GB" w:eastAsia="zh-CN"/>
    </w:rPr>
  </w:style>
  <w:style w:type="character" w:customStyle="1" w:styleId="TableBullet6Char">
    <w:name w:val="Table Bullet 6 Char"/>
    <w:basedOn w:val="Heading1Char"/>
    <w:link w:val="TableBullet6"/>
    <w:uiPriority w:val="98"/>
    <w:semiHidden/>
    <w:rsid w:val="00F3012E"/>
    <w:rPr>
      <w:rFonts w:ascii="Arial" w:eastAsiaTheme="minorEastAsia" w:hAnsi="Arial"/>
      <w:b w:val="0"/>
      <w:sz w:val="22"/>
      <w:szCs w:val="28"/>
      <w:lang w:val="en-GB" w:eastAsia="zh-CN"/>
    </w:rPr>
  </w:style>
  <w:style w:type="paragraph" w:customStyle="1" w:styleId="TableBullet7">
    <w:name w:val="Table Bullet 7"/>
    <w:basedOn w:val="Normal"/>
    <w:link w:val="TableBullet7Char"/>
    <w:uiPriority w:val="98"/>
    <w:semiHidden/>
    <w:rsid w:val="00F3012E"/>
    <w:pPr>
      <w:numPr>
        <w:ilvl w:val="6"/>
        <w:numId w:val="41"/>
      </w:numPr>
    </w:pPr>
    <w:rPr>
      <w:rFonts w:ascii="Arial" w:eastAsiaTheme="minorEastAsia" w:hAnsi="Arial"/>
      <w:szCs w:val="28"/>
      <w:lang w:val="en-GB" w:eastAsia="zh-CN"/>
    </w:rPr>
  </w:style>
  <w:style w:type="character" w:customStyle="1" w:styleId="TableBullet7Char">
    <w:name w:val="Table Bullet 7 Char"/>
    <w:basedOn w:val="Heading1Char"/>
    <w:link w:val="TableBullet7"/>
    <w:uiPriority w:val="98"/>
    <w:semiHidden/>
    <w:rsid w:val="00F3012E"/>
    <w:rPr>
      <w:rFonts w:ascii="Arial" w:eastAsiaTheme="minorEastAsia" w:hAnsi="Arial"/>
      <w:b w:val="0"/>
      <w:sz w:val="22"/>
      <w:szCs w:val="28"/>
      <w:lang w:val="en-GB" w:eastAsia="zh-CN"/>
    </w:rPr>
  </w:style>
  <w:style w:type="paragraph" w:customStyle="1" w:styleId="TableBullet8">
    <w:name w:val="Table Bullet 8"/>
    <w:basedOn w:val="Normal"/>
    <w:link w:val="TableBullet8Char"/>
    <w:uiPriority w:val="98"/>
    <w:semiHidden/>
    <w:rsid w:val="00F3012E"/>
    <w:pPr>
      <w:numPr>
        <w:ilvl w:val="7"/>
        <w:numId w:val="41"/>
      </w:numPr>
    </w:pPr>
    <w:rPr>
      <w:rFonts w:ascii="Arial" w:eastAsiaTheme="minorEastAsia" w:hAnsi="Arial"/>
      <w:szCs w:val="28"/>
      <w:lang w:val="en-GB" w:eastAsia="zh-CN"/>
    </w:rPr>
  </w:style>
  <w:style w:type="character" w:customStyle="1" w:styleId="TableBullet8Char">
    <w:name w:val="Table Bullet 8 Char"/>
    <w:basedOn w:val="Heading1Char"/>
    <w:link w:val="TableBullet8"/>
    <w:uiPriority w:val="98"/>
    <w:semiHidden/>
    <w:rsid w:val="00F3012E"/>
    <w:rPr>
      <w:rFonts w:ascii="Arial" w:eastAsiaTheme="minorEastAsia" w:hAnsi="Arial"/>
      <w:b w:val="0"/>
      <w:sz w:val="22"/>
      <w:szCs w:val="28"/>
      <w:lang w:val="en-GB" w:eastAsia="zh-CN"/>
    </w:rPr>
  </w:style>
  <w:style w:type="paragraph" w:customStyle="1" w:styleId="TableBullet9">
    <w:name w:val="Table Bullet 9"/>
    <w:basedOn w:val="Normal"/>
    <w:link w:val="TableBullet9Char"/>
    <w:uiPriority w:val="98"/>
    <w:semiHidden/>
    <w:rsid w:val="00F3012E"/>
    <w:pPr>
      <w:numPr>
        <w:ilvl w:val="8"/>
        <w:numId w:val="41"/>
      </w:numPr>
    </w:pPr>
    <w:rPr>
      <w:rFonts w:ascii="Arial" w:eastAsiaTheme="minorEastAsia" w:hAnsi="Arial"/>
      <w:szCs w:val="28"/>
      <w:lang w:val="en-GB" w:eastAsia="zh-CN"/>
    </w:rPr>
  </w:style>
  <w:style w:type="character" w:customStyle="1" w:styleId="TableBullet9Char">
    <w:name w:val="Table Bullet 9 Char"/>
    <w:basedOn w:val="Heading1Char"/>
    <w:link w:val="TableBullet9"/>
    <w:uiPriority w:val="98"/>
    <w:semiHidden/>
    <w:rsid w:val="00F3012E"/>
    <w:rPr>
      <w:rFonts w:ascii="Arial" w:eastAsiaTheme="minorEastAsia" w:hAnsi="Arial"/>
      <w:b w:val="0"/>
      <w:sz w:val="22"/>
      <w:szCs w:val="28"/>
      <w:lang w:val="en-GB" w:eastAsia="zh-CN"/>
    </w:rPr>
  </w:style>
  <w:style w:type="paragraph" w:customStyle="1" w:styleId="TableNumber1">
    <w:name w:val="Table Number 1"/>
    <w:basedOn w:val="Normal"/>
    <w:link w:val="TableNumber1Char"/>
    <w:uiPriority w:val="98"/>
    <w:qFormat/>
    <w:rsid w:val="00F3012E"/>
    <w:pPr>
      <w:numPr>
        <w:numId w:val="40"/>
      </w:numPr>
      <w:spacing w:before="120" w:after="120"/>
      <w:outlineLvl w:val="0"/>
    </w:pPr>
    <w:rPr>
      <w:rFonts w:ascii="Arial" w:eastAsiaTheme="minorEastAsia" w:hAnsi="Arial"/>
      <w:bCs/>
      <w:szCs w:val="28"/>
      <w:lang w:val="en-GB" w:eastAsia="zh-CN"/>
    </w:rPr>
  </w:style>
  <w:style w:type="character" w:customStyle="1" w:styleId="TableNumber1Char">
    <w:name w:val="Table Number 1 Char"/>
    <w:basedOn w:val="Heading1Char"/>
    <w:link w:val="TableNumber1"/>
    <w:uiPriority w:val="98"/>
    <w:rsid w:val="00F3012E"/>
    <w:rPr>
      <w:rFonts w:ascii="Arial" w:eastAsiaTheme="minorEastAsia" w:hAnsi="Arial"/>
      <w:b w:val="0"/>
      <w:bCs/>
      <w:sz w:val="22"/>
      <w:szCs w:val="28"/>
      <w:lang w:val="en-GB" w:eastAsia="zh-CN"/>
    </w:rPr>
  </w:style>
  <w:style w:type="paragraph" w:customStyle="1" w:styleId="TableNumber2">
    <w:name w:val="Table Number 2"/>
    <w:basedOn w:val="TableNumber1"/>
    <w:link w:val="TableNumber2Char"/>
    <w:uiPriority w:val="98"/>
    <w:rsid w:val="00F3012E"/>
    <w:pPr>
      <w:numPr>
        <w:ilvl w:val="1"/>
      </w:numPr>
      <w:outlineLvl w:val="1"/>
    </w:pPr>
  </w:style>
  <w:style w:type="character" w:customStyle="1" w:styleId="TableNumber2Char">
    <w:name w:val="Table Number 2 Char"/>
    <w:basedOn w:val="Heading1Char"/>
    <w:link w:val="TableNumber2"/>
    <w:uiPriority w:val="98"/>
    <w:rsid w:val="00F3012E"/>
    <w:rPr>
      <w:rFonts w:ascii="Arial" w:eastAsiaTheme="minorEastAsia" w:hAnsi="Arial"/>
      <w:b w:val="0"/>
      <w:bCs/>
      <w:sz w:val="22"/>
      <w:szCs w:val="28"/>
      <w:lang w:val="en-GB" w:eastAsia="zh-CN"/>
    </w:rPr>
  </w:style>
  <w:style w:type="paragraph" w:customStyle="1" w:styleId="TableNumber3">
    <w:name w:val="Table Number 3"/>
    <w:basedOn w:val="TableNumber1"/>
    <w:link w:val="TableNumber3Char"/>
    <w:uiPriority w:val="98"/>
    <w:rsid w:val="00F3012E"/>
    <w:pPr>
      <w:numPr>
        <w:ilvl w:val="2"/>
      </w:numPr>
      <w:outlineLvl w:val="2"/>
    </w:pPr>
  </w:style>
  <w:style w:type="character" w:customStyle="1" w:styleId="TableNumber3Char">
    <w:name w:val="Table Number 3 Char"/>
    <w:basedOn w:val="Heading1Char"/>
    <w:link w:val="TableNumber3"/>
    <w:uiPriority w:val="98"/>
    <w:rsid w:val="00F3012E"/>
    <w:rPr>
      <w:rFonts w:ascii="Arial" w:eastAsiaTheme="minorEastAsia" w:hAnsi="Arial"/>
      <w:b w:val="0"/>
      <w:bCs/>
      <w:sz w:val="22"/>
      <w:szCs w:val="28"/>
      <w:lang w:val="en-GB" w:eastAsia="zh-CN"/>
    </w:rPr>
  </w:style>
  <w:style w:type="paragraph" w:customStyle="1" w:styleId="TableNumber4">
    <w:name w:val="Table Number 4"/>
    <w:basedOn w:val="Normal"/>
    <w:next w:val="BodyText"/>
    <w:link w:val="TableNumber4Char"/>
    <w:uiPriority w:val="98"/>
    <w:semiHidden/>
    <w:rsid w:val="00F3012E"/>
    <w:pPr>
      <w:numPr>
        <w:ilvl w:val="3"/>
        <w:numId w:val="40"/>
      </w:numPr>
      <w:jc w:val="both"/>
      <w:outlineLvl w:val="3"/>
    </w:pPr>
    <w:rPr>
      <w:rFonts w:ascii="Arial" w:eastAsiaTheme="minorEastAsia" w:hAnsi="Arial"/>
      <w:szCs w:val="28"/>
      <w:lang w:val="en-GB" w:eastAsia="zh-CN"/>
    </w:rPr>
  </w:style>
  <w:style w:type="character" w:customStyle="1" w:styleId="TableNumber4Char">
    <w:name w:val="Table Number 4 Char"/>
    <w:basedOn w:val="Heading1Char"/>
    <w:link w:val="TableNumber4"/>
    <w:uiPriority w:val="98"/>
    <w:semiHidden/>
    <w:rsid w:val="00F3012E"/>
    <w:rPr>
      <w:rFonts w:ascii="Arial" w:eastAsiaTheme="minorEastAsia" w:hAnsi="Arial"/>
      <w:b w:val="0"/>
      <w:sz w:val="22"/>
      <w:szCs w:val="28"/>
      <w:lang w:val="en-GB" w:eastAsia="zh-CN"/>
    </w:rPr>
  </w:style>
  <w:style w:type="paragraph" w:customStyle="1" w:styleId="TableNumber5">
    <w:name w:val="Table Number 5"/>
    <w:basedOn w:val="Normal"/>
    <w:next w:val="BodyText"/>
    <w:link w:val="TableNumber5Char"/>
    <w:uiPriority w:val="98"/>
    <w:semiHidden/>
    <w:rsid w:val="00F3012E"/>
    <w:pPr>
      <w:numPr>
        <w:ilvl w:val="4"/>
        <w:numId w:val="40"/>
      </w:numPr>
      <w:jc w:val="both"/>
      <w:outlineLvl w:val="4"/>
    </w:pPr>
    <w:rPr>
      <w:rFonts w:ascii="Arial" w:eastAsiaTheme="minorEastAsia" w:hAnsi="Arial"/>
      <w:szCs w:val="28"/>
      <w:lang w:val="en-GB" w:eastAsia="zh-CN"/>
    </w:rPr>
  </w:style>
  <w:style w:type="character" w:customStyle="1" w:styleId="TableNumber5Char">
    <w:name w:val="Table Number 5 Char"/>
    <w:basedOn w:val="Heading1Char"/>
    <w:link w:val="TableNumber5"/>
    <w:uiPriority w:val="98"/>
    <w:semiHidden/>
    <w:rsid w:val="00F3012E"/>
    <w:rPr>
      <w:rFonts w:ascii="Arial" w:eastAsiaTheme="minorEastAsia" w:hAnsi="Arial"/>
      <w:b w:val="0"/>
      <w:sz w:val="22"/>
      <w:szCs w:val="28"/>
      <w:lang w:val="en-GB" w:eastAsia="zh-CN"/>
    </w:rPr>
  </w:style>
  <w:style w:type="paragraph" w:customStyle="1" w:styleId="TableNumber6">
    <w:name w:val="Table Number 6"/>
    <w:basedOn w:val="Normal"/>
    <w:next w:val="BodyText"/>
    <w:link w:val="TableNumber6Char"/>
    <w:uiPriority w:val="98"/>
    <w:semiHidden/>
    <w:rsid w:val="00F3012E"/>
    <w:pPr>
      <w:numPr>
        <w:ilvl w:val="5"/>
        <w:numId w:val="40"/>
      </w:numPr>
      <w:jc w:val="both"/>
      <w:outlineLvl w:val="5"/>
    </w:pPr>
    <w:rPr>
      <w:rFonts w:ascii="Arial" w:eastAsiaTheme="minorEastAsia" w:hAnsi="Arial"/>
      <w:szCs w:val="28"/>
      <w:lang w:val="en-GB" w:eastAsia="zh-CN"/>
    </w:rPr>
  </w:style>
  <w:style w:type="character" w:customStyle="1" w:styleId="TableNumber6Char">
    <w:name w:val="Table Number 6 Char"/>
    <w:basedOn w:val="Heading1Char"/>
    <w:link w:val="TableNumber6"/>
    <w:uiPriority w:val="98"/>
    <w:semiHidden/>
    <w:rsid w:val="00F3012E"/>
    <w:rPr>
      <w:rFonts w:ascii="Arial" w:eastAsiaTheme="minorEastAsia" w:hAnsi="Arial"/>
      <w:b w:val="0"/>
      <w:sz w:val="22"/>
      <w:szCs w:val="28"/>
      <w:lang w:val="en-GB" w:eastAsia="zh-CN"/>
    </w:rPr>
  </w:style>
  <w:style w:type="paragraph" w:customStyle="1" w:styleId="TableNumber7">
    <w:name w:val="Table Number 7"/>
    <w:basedOn w:val="Normal"/>
    <w:next w:val="BodyText"/>
    <w:link w:val="TableNumber7Char"/>
    <w:uiPriority w:val="98"/>
    <w:semiHidden/>
    <w:rsid w:val="00F3012E"/>
    <w:pPr>
      <w:numPr>
        <w:ilvl w:val="6"/>
        <w:numId w:val="40"/>
      </w:numPr>
      <w:jc w:val="both"/>
      <w:outlineLvl w:val="6"/>
    </w:pPr>
    <w:rPr>
      <w:rFonts w:ascii="Arial" w:eastAsiaTheme="minorEastAsia" w:hAnsi="Arial"/>
      <w:szCs w:val="28"/>
      <w:lang w:val="en-GB" w:eastAsia="zh-CN"/>
    </w:rPr>
  </w:style>
  <w:style w:type="character" w:customStyle="1" w:styleId="TableNumber7Char">
    <w:name w:val="Table Number 7 Char"/>
    <w:basedOn w:val="Heading1Char"/>
    <w:link w:val="TableNumber7"/>
    <w:uiPriority w:val="98"/>
    <w:semiHidden/>
    <w:rsid w:val="00F3012E"/>
    <w:rPr>
      <w:rFonts w:ascii="Arial" w:eastAsiaTheme="minorEastAsia" w:hAnsi="Arial"/>
      <w:b w:val="0"/>
      <w:sz w:val="22"/>
      <w:szCs w:val="28"/>
      <w:lang w:val="en-GB" w:eastAsia="zh-CN"/>
    </w:rPr>
  </w:style>
  <w:style w:type="paragraph" w:customStyle="1" w:styleId="TableNumber8">
    <w:name w:val="Table Number 8"/>
    <w:basedOn w:val="Normal"/>
    <w:next w:val="BodyText"/>
    <w:link w:val="TableNumber8Char"/>
    <w:uiPriority w:val="98"/>
    <w:semiHidden/>
    <w:rsid w:val="00F3012E"/>
    <w:pPr>
      <w:numPr>
        <w:ilvl w:val="7"/>
        <w:numId w:val="40"/>
      </w:numPr>
      <w:jc w:val="both"/>
      <w:outlineLvl w:val="7"/>
    </w:pPr>
    <w:rPr>
      <w:rFonts w:ascii="Arial" w:eastAsiaTheme="minorEastAsia" w:hAnsi="Arial"/>
      <w:szCs w:val="28"/>
      <w:lang w:val="en-GB" w:eastAsia="zh-CN"/>
    </w:rPr>
  </w:style>
  <w:style w:type="character" w:customStyle="1" w:styleId="TableNumber8Char">
    <w:name w:val="Table Number 8 Char"/>
    <w:basedOn w:val="Heading1Char"/>
    <w:link w:val="TableNumber8"/>
    <w:uiPriority w:val="98"/>
    <w:semiHidden/>
    <w:rsid w:val="00F3012E"/>
    <w:rPr>
      <w:rFonts w:ascii="Arial" w:eastAsiaTheme="minorEastAsia" w:hAnsi="Arial"/>
      <w:b w:val="0"/>
      <w:sz w:val="22"/>
      <w:szCs w:val="28"/>
      <w:lang w:val="en-GB" w:eastAsia="zh-CN"/>
    </w:rPr>
  </w:style>
  <w:style w:type="paragraph" w:customStyle="1" w:styleId="TableNumber9">
    <w:name w:val="Table Number 9"/>
    <w:basedOn w:val="Normal"/>
    <w:next w:val="BodyText"/>
    <w:link w:val="TableNumber9Char"/>
    <w:uiPriority w:val="98"/>
    <w:semiHidden/>
    <w:rsid w:val="00F3012E"/>
    <w:pPr>
      <w:numPr>
        <w:ilvl w:val="8"/>
        <w:numId w:val="40"/>
      </w:numPr>
      <w:jc w:val="both"/>
      <w:outlineLvl w:val="8"/>
    </w:pPr>
    <w:rPr>
      <w:rFonts w:ascii="Arial" w:eastAsiaTheme="minorEastAsia" w:hAnsi="Arial"/>
      <w:szCs w:val="28"/>
      <w:lang w:val="en-GB" w:eastAsia="zh-CN"/>
    </w:rPr>
  </w:style>
  <w:style w:type="character" w:customStyle="1" w:styleId="TableNumber9Char">
    <w:name w:val="Table Number 9 Char"/>
    <w:basedOn w:val="Heading1Char"/>
    <w:link w:val="TableNumber9"/>
    <w:uiPriority w:val="98"/>
    <w:semiHidden/>
    <w:rsid w:val="00F3012E"/>
    <w:rPr>
      <w:rFonts w:ascii="Arial" w:eastAsiaTheme="minorEastAsia" w:hAnsi="Arial"/>
      <w:b w:val="0"/>
      <w:sz w:val="22"/>
      <w:szCs w:val="28"/>
      <w:lang w:val="en-GB" w:eastAsia="zh-CN"/>
    </w:rPr>
  </w:style>
  <w:style w:type="paragraph" w:customStyle="1" w:styleId="TableSource">
    <w:name w:val="Table Source"/>
    <w:basedOn w:val="Normal"/>
    <w:next w:val="BodyText"/>
    <w:link w:val="TableSourceChar"/>
    <w:uiPriority w:val="8"/>
    <w:rsid w:val="00F3012E"/>
    <w:pPr>
      <w:spacing w:before="120"/>
    </w:pPr>
    <w:rPr>
      <w:rFonts w:eastAsia="Times New Roman"/>
      <w:bCs/>
      <w:sz w:val="16"/>
      <w:szCs w:val="28"/>
      <w:lang w:val="en-GB" w:eastAsia="zh-CN"/>
    </w:rPr>
  </w:style>
  <w:style w:type="character" w:customStyle="1" w:styleId="HighlightBlue">
    <w:name w:val="Highlight Blue"/>
    <w:basedOn w:val="DefaultParagraphFont"/>
    <w:uiPriority w:val="1"/>
    <w:semiHidden/>
    <w:qFormat/>
    <w:rsid w:val="00F3012E"/>
    <w:rPr>
      <w:color w:val="A2AD00" w:themeColor="accent4"/>
      <w:szCs w:val="20"/>
      <w:lang w:val="en-US"/>
    </w:rPr>
  </w:style>
  <w:style w:type="character" w:customStyle="1" w:styleId="HighlightBurgundy">
    <w:name w:val="Highlight Burgundy"/>
    <w:basedOn w:val="DefaultParagraphFont"/>
    <w:uiPriority w:val="1"/>
    <w:semiHidden/>
    <w:qFormat/>
    <w:rsid w:val="00F3012E"/>
    <w:rPr>
      <w:color w:val="6773B6" w:themeColor="accent3"/>
      <w:szCs w:val="20"/>
      <w:lang w:val="en-US"/>
    </w:rPr>
  </w:style>
  <w:style w:type="character" w:customStyle="1" w:styleId="HighlightGreen">
    <w:name w:val="Highlight Green"/>
    <w:basedOn w:val="DefaultParagraphFont"/>
    <w:uiPriority w:val="1"/>
    <w:semiHidden/>
    <w:qFormat/>
    <w:rsid w:val="00F3012E"/>
    <w:rPr>
      <w:color w:val="404143" w:themeColor="accent6"/>
      <w:lang w:val="en-US"/>
    </w:rPr>
  </w:style>
  <w:style w:type="character" w:customStyle="1" w:styleId="HighlightOrange">
    <w:name w:val="Highlight Orange"/>
    <w:basedOn w:val="DefaultParagraphFont"/>
    <w:uiPriority w:val="1"/>
    <w:semiHidden/>
    <w:qFormat/>
    <w:rsid w:val="00F3012E"/>
    <w:rPr>
      <w:color w:val="8B8D8E" w:themeColor="accent5"/>
      <w:lang w:val="en-US"/>
    </w:rPr>
  </w:style>
  <w:style w:type="character" w:customStyle="1" w:styleId="HighlightRed">
    <w:name w:val="Highlight Red"/>
    <w:basedOn w:val="DefaultParagraphFont"/>
    <w:uiPriority w:val="1"/>
    <w:semiHidden/>
    <w:qFormat/>
    <w:rsid w:val="00F3012E"/>
    <w:rPr>
      <w:i w:val="0"/>
      <w:iCs/>
      <w:color w:val="A71930" w:themeColor="accent1"/>
      <w:szCs w:val="20"/>
      <w:lang w:val="en-US"/>
    </w:rPr>
  </w:style>
  <w:style w:type="paragraph" w:customStyle="1" w:styleId="ListNumbering2">
    <w:name w:val="List Numbering 2"/>
    <w:basedOn w:val="Normal"/>
    <w:link w:val="ListNumbering2Char"/>
    <w:uiPriority w:val="98"/>
    <w:qFormat/>
    <w:rsid w:val="00F3012E"/>
    <w:pPr>
      <w:numPr>
        <w:ilvl w:val="1"/>
        <w:numId w:val="42"/>
      </w:numPr>
      <w:outlineLvl w:val="1"/>
    </w:pPr>
    <w:rPr>
      <w:rFonts w:eastAsia="Times New Roman"/>
      <w:bCs/>
      <w:szCs w:val="28"/>
      <w:lang w:val="en-GB" w:eastAsia="zh-CN"/>
    </w:rPr>
  </w:style>
  <w:style w:type="character" w:customStyle="1" w:styleId="ListNumbering2Char">
    <w:name w:val="List Numbering 2 Char"/>
    <w:basedOn w:val="DefaultParagraphFont"/>
    <w:link w:val="ListNumbering2"/>
    <w:uiPriority w:val="98"/>
    <w:rsid w:val="00F3012E"/>
    <w:rPr>
      <w:rFonts w:eastAsia="Times New Roman"/>
      <w:bCs/>
      <w:sz w:val="22"/>
      <w:szCs w:val="28"/>
      <w:lang w:val="en-GB" w:eastAsia="zh-CN"/>
    </w:rPr>
  </w:style>
  <w:style w:type="paragraph" w:customStyle="1" w:styleId="ListNumbering3">
    <w:name w:val="List Numbering 3"/>
    <w:basedOn w:val="Normal"/>
    <w:link w:val="ListNumbering3Char"/>
    <w:uiPriority w:val="98"/>
    <w:qFormat/>
    <w:rsid w:val="00F3012E"/>
    <w:pPr>
      <w:numPr>
        <w:ilvl w:val="2"/>
        <w:numId w:val="42"/>
      </w:numPr>
      <w:outlineLvl w:val="2"/>
    </w:pPr>
    <w:rPr>
      <w:rFonts w:eastAsia="Times New Roman"/>
      <w:bCs/>
      <w:szCs w:val="28"/>
      <w:lang w:val="en-GB" w:eastAsia="zh-CN"/>
    </w:rPr>
  </w:style>
  <w:style w:type="character" w:customStyle="1" w:styleId="ListNumbering3Char">
    <w:name w:val="List Numbering 3 Char"/>
    <w:basedOn w:val="DefaultParagraphFont"/>
    <w:link w:val="ListNumbering3"/>
    <w:uiPriority w:val="98"/>
    <w:rsid w:val="00F3012E"/>
    <w:rPr>
      <w:rFonts w:eastAsia="Times New Roman"/>
      <w:bCs/>
      <w:sz w:val="22"/>
      <w:szCs w:val="28"/>
      <w:lang w:val="en-GB" w:eastAsia="zh-CN"/>
    </w:rPr>
  </w:style>
  <w:style w:type="paragraph" w:customStyle="1" w:styleId="ListNumbering4">
    <w:name w:val="List Numbering 4"/>
    <w:basedOn w:val="Normal"/>
    <w:link w:val="ListNumbering4Char"/>
    <w:uiPriority w:val="98"/>
    <w:qFormat/>
    <w:rsid w:val="00F3012E"/>
    <w:pPr>
      <w:numPr>
        <w:ilvl w:val="3"/>
        <w:numId w:val="42"/>
      </w:numPr>
      <w:outlineLvl w:val="3"/>
    </w:pPr>
    <w:rPr>
      <w:rFonts w:eastAsia="Times New Roman"/>
      <w:bCs/>
      <w:szCs w:val="28"/>
      <w:lang w:val="en-GB" w:eastAsia="zh-CN"/>
    </w:rPr>
  </w:style>
  <w:style w:type="character" w:customStyle="1" w:styleId="ListNumbering4Char">
    <w:name w:val="List Numbering 4 Char"/>
    <w:basedOn w:val="DefaultParagraphFont"/>
    <w:link w:val="ListNumbering4"/>
    <w:uiPriority w:val="98"/>
    <w:rsid w:val="00F3012E"/>
    <w:rPr>
      <w:rFonts w:eastAsia="Times New Roman"/>
      <w:bCs/>
      <w:sz w:val="22"/>
      <w:szCs w:val="28"/>
      <w:lang w:val="en-GB" w:eastAsia="zh-CN"/>
    </w:rPr>
  </w:style>
  <w:style w:type="paragraph" w:customStyle="1" w:styleId="ListNumbering5">
    <w:name w:val="List Numbering 5"/>
    <w:basedOn w:val="Normal"/>
    <w:link w:val="ListNumbering5Char"/>
    <w:uiPriority w:val="98"/>
    <w:semiHidden/>
    <w:rsid w:val="00F3012E"/>
    <w:pPr>
      <w:numPr>
        <w:ilvl w:val="4"/>
        <w:numId w:val="42"/>
      </w:numPr>
    </w:pPr>
    <w:rPr>
      <w:rFonts w:eastAsiaTheme="minorEastAsia" w:cstheme="minorBidi"/>
      <w:bCs/>
      <w:szCs w:val="28"/>
      <w:lang w:val="en-GB" w:eastAsia="zh-CN"/>
    </w:rPr>
  </w:style>
  <w:style w:type="character" w:customStyle="1" w:styleId="ListNumbering5Char">
    <w:name w:val="List Numbering 5 Char"/>
    <w:basedOn w:val="DefaultParagraphFont"/>
    <w:link w:val="ListNumbering5"/>
    <w:uiPriority w:val="98"/>
    <w:semiHidden/>
    <w:rsid w:val="00F3012E"/>
    <w:rPr>
      <w:rFonts w:eastAsiaTheme="minorEastAsia" w:cstheme="minorBidi"/>
      <w:bCs/>
      <w:sz w:val="22"/>
      <w:szCs w:val="28"/>
      <w:lang w:val="en-GB" w:eastAsia="zh-CN"/>
    </w:rPr>
  </w:style>
  <w:style w:type="paragraph" w:customStyle="1" w:styleId="ListNumbering6">
    <w:name w:val="List Numbering 6"/>
    <w:basedOn w:val="Normal"/>
    <w:link w:val="ListNumbering6Char"/>
    <w:uiPriority w:val="98"/>
    <w:semiHidden/>
    <w:rsid w:val="00F3012E"/>
    <w:pPr>
      <w:numPr>
        <w:ilvl w:val="5"/>
        <w:numId w:val="42"/>
      </w:numPr>
    </w:pPr>
    <w:rPr>
      <w:rFonts w:eastAsiaTheme="minorEastAsia" w:cstheme="minorBidi"/>
      <w:bCs/>
      <w:szCs w:val="28"/>
      <w:lang w:val="en-GB" w:eastAsia="zh-CN"/>
    </w:rPr>
  </w:style>
  <w:style w:type="character" w:customStyle="1" w:styleId="ListNumbering6Char">
    <w:name w:val="List Numbering 6 Char"/>
    <w:basedOn w:val="DefaultParagraphFont"/>
    <w:link w:val="ListNumbering6"/>
    <w:uiPriority w:val="98"/>
    <w:semiHidden/>
    <w:rsid w:val="00F3012E"/>
    <w:rPr>
      <w:rFonts w:eastAsiaTheme="minorEastAsia" w:cstheme="minorBidi"/>
      <w:bCs/>
      <w:sz w:val="22"/>
      <w:szCs w:val="28"/>
      <w:lang w:val="en-GB" w:eastAsia="zh-CN"/>
    </w:rPr>
  </w:style>
  <w:style w:type="paragraph" w:customStyle="1" w:styleId="ListNumbering7">
    <w:name w:val="List Numbering 7"/>
    <w:basedOn w:val="Normal"/>
    <w:next w:val="BodyText"/>
    <w:link w:val="ListNumbering7Char"/>
    <w:uiPriority w:val="98"/>
    <w:semiHidden/>
    <w:rsid w:val="00F3012E"/>
    <w:pPr>
      <w:numPr>
        <w:ilvl w:val="6"/>
        <w:numId w:val="42"/>
      </w:numPr>
      <w:jc w:val="both"/>
      <w:outlineLvl w:val="6"/>
    </w:pPr>
    <w:rPr>
      <w:rFonts w:eastAsiaTheme="minorEastAsia"/>
      <w:bCs/>
      <w:szCs w:val="28"/>
      <w:lang w:val="en-GB" w:eastAsia="zh-CN"/>
    </w:rPr>
  </w:style>
  <w:style w:type="character" w:customStyle="1" w:styleId="ListNumbering7Char">
    <w:name w:val="List Numbering 7 Char"/>
    <w:basedOn w:val="DefaultParagraphFont"/>
    <w:link w:val="ListNumbering7"/>
    <w:uiPriority w:val="98"/>
    <w:semiHidden/>
    <w:rsid w:val="00F3012E"/>
    <w:rPr>
      <w:rFonts w:eastAsiaTheme="minorEastAsia"/>
      <w:bCs/>
      <w:sz w:val="22"/>
      <w:szCs w:val="28"/>
      <w:lang w:val="en-GB" w:eastAsia="zh-CN"/>
    </w:rPr>
  </w:style>
  <w:style w:type="paragraph" w:customStyle="1" w:styleId="ListNumbering8">
    <w:name w:val="List Numbering 8"/>
    <w:basedOn w:val="Normal"/>
    <w:next w:val="BodyText"/>
    <w:link w:val="ListNumbering8Char"/>
    <w:uiPriority w:val="98"/>
    <w:semiHidden/>
    <w:rsid w:val="00F3012E"/>
    <w:pPr>
      <w:numPr>
        <w:ilvl w:val="7"/>
        <w:numId w:val="42"/>
      </w:numPr>
      <w:jc w:val="both"/>
      <w:outlineLvl w:val="7"/>
    </w:pPr>
    <w:rPr>
      <w:rFonts w:eastAsiaTheme="minorEastAsia"/>
      <w:bCs/>
      <w:szCs w:val="28"/>
      <w:lang w:val="en-GB" w:eastAsia="zh-CN"/>
    </w:rPr>
  </w:style>
  <w:style w:type="character" w:customStyle="1" w:styleId="ListNumbering8Char">
    <w:name w:val="List Numbering 8 Char"/>
    <w:basedOn w:val="DefaultParagraphFont"/>
    <w:link w:val="ListNumbering8"/>
    <w:uiPriority w:val="98"/>
    <w:semiHidden/>
    <w:rsid w:val="00F3012E"/>
    <w:rPr>
      <w:rFonts w:eastAsiaTheme="minorEastAsia"/>
      <w:bCs/>
      <w:sz w:val="22"/>
      <w:szCs w:val="28"/>
      <w:lang w:val="en-GB" w:eastAsia="zh-CN"/>
    </w:rPr>
  </w:style>
  <w:style w:type="paragraph" w:customStyle="1" w:styleId="ListNumbering9">
    <w:name w:val="List Numbering 9"/>
    <w:basedOn w:val="Normal"/>
    <w:next w:val="BodyText"/>
    <w:link w:val="ListNumbering9Char"/>
    <w:uiPriority w:val="98"/>
    <w:semiHidden/>
    <w:rsid w:val="00F3012E"/>
    <w:pPr>
      <w:numPr>
        <w:ilvl w:val="8"/>
        <w:numId w:val="42"/>
      </w:numPr>
      <w:jc w:val="both"/>
      <w:outlineLvl w:val="8"/>
    </w:pPr>
    <w:rPr>
      <w:rFonts w:eastAsiaTheme="minorEastAsia"/>
      <w:bCs/>
      <w:szCs w:val="28"/>
      <w:lang w:val="en-GB" w:eastAsia="zh-CN"/>
    </w:rPr>
  </w:style>
  <w:style w:type="character" w:customStyle="1" w:styleId="ListNumbering9Char">
    <w:name w:val="List Numbering 9 Char"/>
    <w:basedOn w:val="DefaultParagraphFont"/>
    <w:link w:val="ListNumbering9"/>
    <w:uiPriority w:val="98"/>
    <w:semiHidden/>
    <w:rsid w:val="00F3012E"/>
    <w:rPr>
      <w:rFonts w:eastAsiaTheme="minorEastAsia"/>
      <w:bCs/>
      <w:sz w:val="22"/>
      <w:szCs w:val="28"/>
      <w:lang w:val="en-GB" w:eastAsia="zh-CN"/>
    </w:rPr>
  </w:style>
  <w:style w:type="paragraph" w:customStyle="1" w:styleId="NoLogo">
    <w:name w:val="NoLogo"/>
    <w:basedOn w:val="BodyText"/>
    <w:uiPriority w:val="11"/>
    <w:semiHidden/>
    <w:rsid w:val="00F3012E"/>
    <w:pPr>
      <w:spacing w:after="1800"/>
    </w:pPr>
    <w:rPr>
      <w:rFonts w:asciiTheme="minorHAnsi" w:eastAsiaTheme="minorEastAsia" w:hAnsiTheme="minorHAnsi" w:cstheme="minorBidi"/>
      <w:szCs w:val="28"/>
      <w:lang w:eastAsia="zh-CN"/>
    </w:rPr>
  </w:style>
  <w:style w:type="table" w:customStyle="1" w:styleId="BMTableBW">
    <w:name w:val="BM Table (B&amp;W)"/>
    <w:basedOn w:val="TableNormal"/>
    <w:uiPriority w:val="99"/>
    <w:rsid w:val="00F3012E"/>
    <w:rPr>
      <w:sz w:val="22"/>
      <w:szCs w:val="22"/>
      <w:lang w:eastAsia="zh-CN"/>
    </w:rPr>
    <w:tblPr>
      <w:tblBorders>
        <w:top w:val="single" w:sz="4" w:space="0" w:color="404143" w:themeColor="text1"/>
        <w:left w:val="single" w:sz="4" w:space="0" w:color="404143" w:themeColor="text1"/>
        <w:bottom w:val="single" w:sz="4" w:space="0" w:color="404143" w:themeColor="text1"/>
        <w:right w:val="single" w:sz="4" w:space="0" w:color="404143" w:themeColor="text1"/>
        <w:insideH w:val="single" w:sz="4" w:space="0" w:color="404143" w:themeColor="text1"/>
        <w:insideV w:val="single" w:sz="4" w:space="0" w:color="404143" w:themeColor="text1"/>
      </w:tblBorders>
    </w:tblPr>
    <w:tcPr>
      <w:shd w:val="clear" w:color="auto" w:fill="F2F2F2" w:themeFill="background1" w:themeFillShade="F2"/>
    </w:tcPr>
    <w:tblStylePr w:type="firstRow">
      <w:pPr>
        <w:jc w:val="left"/>
      </w:pPr>
      <w:tblPr/>
      <w:trPr>
        <w:cantSplit/>
        <w:tblHeader/>
      </w:trPr>
      <w:tcPr>
        <w:tcBorders>
          <w:insideH w:val="single" w:sz="4" w:space="0" w:color="FFFFFF" w:themeColor="background1"/>
          <w:insideV w:val="single" w:sz="4" w:space="0" w:color="FFFFFF" w:themeColor="background1"/>
        </w:tcBorders>
        <w:shd w:val="clear" w:color="auto" w:fill="404143" w:themeFill="text1"/>
        <w:vAlign w:val="bottom"/>
      </w:tcPr>
    </w:tblStylePr>
    <w:tblStylePr w:type="lastRow">
      <w:rPr>
        <w:b/>
      </w:rPr>
    </w:tblStylePr>
  </w:style>
  <w:style w:type="table" w:customStyle="1" w:styleId="BMTableBlue">
    <w:name w:val="BM Table Blue"/>
    <w:basedOn w:val="TableNormal"/>
    <w:uiPriority w:val="99"/>
    <w:rsid w:val="00F3012E"/>
    <w:rPr>
      <w:sz w:val="22"/>
      <w:szCs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cPr>
      <w:shd w:val="clear" w:color="auto" w:fill="FFFFFF" w:themeFill="background2" w:themeFillTint="33"/>
    </w:tcPr>
    <w:tblStylePr w:type="firstRow">
      <w:pPr>
        <w:jc w:val="left"/>
      </w:pPr>
      <w:tblPr/>
      <w:trPr>
        <w:cantSplit/>
        <w:tblHeader/>
      </w:trPr>
      <w:tcPr>
        <w:shd w:val="clear" w:color="auto" w:fill="A2AD00" w:themeFill="accent4"/>
        <w:vAlign w:val="bottom"/>
      </w:tcPr>
    </w:tblStylePr>
    <w:tblStylePr w:type="lastRow">
      <w:rPr>
        <w:b/>
      </w:rPr>
    </w:tblStylePr>
  </w:style>
  <w:style w:type="table" w:customStyle="1" w:styleId="BMTableBurgundy">
    <w:name w:val="BM Table Burgundy"/>
    <w:basedOn w:val="TableNormal"/>
    <w:uiPriority w:val="99"/>
    <w:rsid w:val="00F3012E"/>
    <w:rPr>
      <w:sz w:val="22"/>
      <w:szCs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cPr>
      <w:shd w:val="clear" w:color="auto" w:fill="FFFFFF" w:themeFill="background2" w:themeFillTint="33"/>
    </w:tcPr>
    <w:tblStylePr w:type="firstRow">
      <w:pPr>
        <w:jc w:val="left"/>
      </w:pPr>
      <w:rPr>
        <w:color w:val="FFFFFF" w:themeColor="background1"/>
      </w:rPr>
      <w:tblPr/>
      <w:trPr>
        <w:tblHeader/>
      </w:trPr>
      <w:tcPr>
        <w:shd w:val="clear" w:color="auto" w:fill="6773B6" w:themeFill="accent3"/>
        <w:vAlign w:val="bottom"/>
      </w:tcPr>
    </w:tblStylePr>
    <w:tblStylePr w:type="lastRow">
      <w:rPr>
        <w:b/>
      </w:rPr>
      <w:tblPr/>
      <w:tcPr>
        <w:shd w:val="clear" w:color="auto" w:fill="FFFFFF" w:themeFill="background2" w:themeFillTint="33"/>
      </w:tcPr>
    </w:tblStylePr>
  </w:style>
  <w:style w:type="table" w:customStyle="1" w:styleId="BMTableGreen">
    <w:name w:val="BM Table Green"/>
    <w:basedOn w:val="TableNormal"/>
    <w:uiPriority w:val="99"/>
    <w:rsid w:val="00F3012E"/>
    <w:rPr>
      <w:sz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2" w:themeFillTint="33"/>
    </w:tcPr>
    <w:tblStylePr w:type="firstRow">
      <w:pPr>
        <w:jc w:val="left"/>
      </w:pPr>
      <w:rPr>
        <w:color w:val="FFFFFF" w:themeColor="background1"/>
      </w:rPr>
      <w:tblPr/>
      <w:trPr>
        <w:tblHeader/>
      </w:trPr>
      <w:tcPr>
        <w:shd w:val="clear" w:color="auto" w:fill="404143" w:themeFill="accent6"/>
        <w:vAlign w:val="bottom"/>
      </w:tcPr>
    </w:tblStylePr>
    <w:tblStylePr w:type="lastRow">
      <w:rPr>
        <w:b/>
      </w:rPr>
    </w:tblStylePr>
  </w:style>
  <w:style w:type="table" w:customStyle="1" w:styleId="BMTableOrange">
    <w:name w:val="BM Table Orange"/>
    <w:basedOn w:val="TableNormal"/>
    <w:uiPriority w:val="99"/>
    <w:rsid w:val="00F3012E"/>
    <w:rPr>
      <w:sz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2" w:themeFillTint="33"/>
    </w:tcPr>
    <w:tblStylePr w:type="firstRow">
      <w:pPr>
        <w:jc w:val="left"/>
      </w:pPr>
      <w:rPr>
        <w:color w:val="FFFFFF" w:themeColor="background1"/>
      </w:rPr>
      <w:tblPr/>
      <w:trPr>
        <w:tblHeader/>
      </w:trPr>
      <w:tcPr>
        <w:shd w:val="clear" w:color="auto" w:fill="8B8D8E" w:themeFill="accent5"/>
      </w:tcPr>
    </w:tblStylePr>
    <w:tblStylePr w:type="lastRow">
      <w:rPr>
        <w:b/>
      </w:rPr>
    </w:tblStylePr>
  </w:style>
  <w:style w:type="table" w:customStyle="1" w:styleId="BMTableRed">
    <w:name w:val="BM Table Red"/>
    <w:basedOn w:val="TableNormal"/>
    <w:uiPriority w:val="99"/>
    <w:rsid w:val="00F3012E"/>
    <w:rPr>
      <w:sz w:val="22"/>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cPr>
      <w:shd w:val="clear" w:color="auto" w:fill="FFFFFF" w:themeFill="background2" w:themeFillTint="33"/>
    </w:tcPr>
    <w:tblStylePr w:type="firstRow">
      <w:pPr>
        <w:jc w:val="left"/>
      </w:pPr>
      <w:rPr>
        <w:color w:val="FFFFFF" w:themeColor="background1"/>
        <w:sz w:val="22"/>
      </w:rPr>
      <w:tblPr/>
      <w:trPr>
        <w:cantSplit/>
        <w:tblHeader/>
      </w:trPr>
      <w:tcPr>
        <w:shd w:val="clear" w:color="auto" w:fill="A71930" w:themeFill="accent1"/>
        <w:vAlign w:val="bottom"/>
      </w:tcPr>
    </w:tblStylePr>
    <w:tblStylePr w:type="lastRow">
      <w:rPr>
        <w:b/>
      </w:rPr>
    </w:tblStylePr>
  </w:style>
  <w:style w:type="paragraph" w:customStyle="1" w:styleId="CoverTitle">
    <w:name w:val="Cover Title"/>
    <w:basedOn w:val="Normal"/>
    <w:link w:val="CoverTitleChar"/>
    <w:semiHidden/>
    <w:rsid w:val="00F3012E"/>
    <w:pPr>
      <w:pBdr>
        <w:top w:val="single" w:sz="4" w:space="30" w:color="FFFFFF" w:themeColor="background2"/>
        <w:bottom w:val="single" w:sz="4" w:space="30" w:color="FFFFFF" w:themeColor="background2"/>
      </w:pBdr>
      <w:spacing w:before="840" w:after="600"/>
    </w:pPr>
    <w:rPr>
      <w:rFonts w:eastAsia="Times New Roman"/>
      <w:b/>
      <w:color w:val="6773B6" w:themeColor="accent3"/>
      <w:sz w:val="36"/>
      <w:szCs w:val="28"/>
      <w:lang w:val="en-GB" w:eastAsia="zh-CN"/>
    </w:rPr>
  </w:style>
  <w:style w:type="character" w:customStyle="1" w:styleId="CoverTitleChar">
    <w:name w:val="Cover Title Char"/>
    <w:basedOn w:val="DefaultParagraphFont"/>
    <w:link w:val="CoverTitle"/>
    <w:semiHidden/>
    <w:rsid w:val="00F3012E"/>
    <w:rPr>
      <w:rFonts w:eastAsia="Times New Roman"/>
      <w:b/>
      <w:color w:val="6773B6" w:themeColor="accent3"/>
      <w:sz w:val="36"/>
      <w:szCs w:val="28"/>
      <w:lang w:val="en-GB" w:eastAsia="zh-CN"/>
    </w:rPr>
  </w:style>
  <w:style w:type="character" w:customStyle="1" w:styleId="Bullet0ptAfter1Char">
    <w:name w:val="Bullet (0pt After) 1 Char"/>
    <w:basedOn w:val="DefaultParagraphFont"/>
    <w:link w:val="Bullet0ptAfter1"/>
    <w:uiPriority w:val="98"/>
    <w:rsid w:val="00F3012E"/>
    <w:rPr>
      <w:rFonts w:eastAsiaTheme="minorEastAsia" w:cstheme="minorBidi"/>
      <w:bCs/>
      <w:sz w:val="22"/>
      <w:szCs w:val="28"/>
      <w:lang w:val="en-GB" w:eastAsia="zh-CN"/>
    </w:rPr>
  </w:style>
  <w:style w:type="character" w:customStyle="1" w:styleId="Bullet0ptAfter2Char">
    <w:name w:val="Bullet (0pt After) 2 Char"/>
    <w:basedOn w:val="DefaultParagraphFont"/>
    <w:link w:val="Bullet0ptAfter2"/>
    <w:uiPriority w:val="98"/>
    <w:rsid w:val="00F3012E"/>
    <w:rPr>
      <w:rFonts w:eastAsiaTheme="minorEastAsia" w:cstheme="minorBidi"/>
      <w:bCs/>
      <w:sz w:val="22"/>
      <w:szCs w:val="28"/>
      <w:lang w:val="en-GB" w:eastAsia="zh-CN"/>
    </w:rPr>
  </w:style>
  <w:style w:type="character" w:customStyle="1" w:styleId="Bullet0ptAfter3Char">
    <w:name w:val="Bullet (0pt After) 3 Char"/>
    <w:basedOn w:val="DefaultParagraphFont"/>
    <w:link w:val="Bullet0ptAfter3"/>
    <w:uiPriority w:val="98"/>
    <w:rsid w:val="00F3012E"/>
    <w:rPr>
      <w:rFonts w:eastAsiaTheme="minorEastAsia" w:cstheme="minorBidi"/>
      <w:bCs/>
      <w:sz w:val="22"/>
      <w:szCs w:val="28"/>
      <w:lang w:val="en-GB" w:eastAsia="zh-CN"/>
    </w:rPr>
  </w:style>
  <w:style w:type="character" w:customStyle="1" w:styleId="Bullet0ptAfter4Char">
    <w:name w:val="Bullet (0pt After) 4 Char"/>
    <w:basedOn w:val="DefaultParagraphFont"/>
    <w:link w:val="Bullet0ptAfter4"/>
    <w:uiPriority w:val="98"/>
    <w:semiHidden/>
    <w:rsid w:val="00F3012E"/>
    <w:rPr>
      <w:rFonts w:eastAsiaTheme="minorEastAsia" w:cstheme="minorBidi"/>
      <w:bCs/>
      <w:sz w:val="22"/>
      <w:szCs w:val="28"/>
      <w:lang w:val="en-GB" w:eastAsia="zh-CN"/>
    </w:rPr>
  </w:style>
  <w:style w:type="character" w:customStyle="1" w:styleId="Bullet0ptAfter5Char">
    <w:name w:val="Bullet (0pt After) 5 Char"/>
    <w:basedOn w:val="DefaultParagraphFont"/>
    <w:link w:val="Bullet0ptAfter5"/>
    <w:uiPriority w:val="98"/>
    <w:semiHidden/>
    <w:rsid w:val="00F3012E"/>
    <w:rPr>
      <w:rFonts w:eastAsiaTheme="minorEastAsia" w:cstheme="minorBidi"/>
      <w:bCs/>
      <w:sz w:val="22"/>
      <w:szCs w:val="28"/>
      <w:lang w:val="en-GB" w:eastAsia="zh-CN"/>
    </w:rPr>
  </w:style>
  <w:style w:type="character" w:customStyle="1" w:styleId="Bullet0ptAfter6Char">
    <w:name w:val="Bullet (0pt After) 6 Char"/>
    <w:basedOn w:val="DefaultParagraphFont"/>
    <w:link w:val="Bullet0ptAfter6"/>
    <w:uiPriority w:val="98"/>
    <w:semiHidden/>
    <w:rsid w:val="00F3012E"/>
    <w:rPr>
      <w:rFonts w:eastAsiaTheme="minorEastAsia" w:cstheme="minorBidi"/>
      <w:bCs/>
      <w:sz w:val="22"/>
      <w:szCs w:val="28"/>
      <w:lang w:val="en-GB" w:eastAsia="zh-CN"/>
    </w:rPr>
  </w:style>
  <w:style w:type="character" w:customStyle="1" w:styleId="Bullet0ptAfter7Char">
    <w:name w:val="Bullet (0pt After) 7 Char"/>
    <w:basedOn w:val="DefaultParagraphFont"/>
    <w:link w:val="Bullet0ptAfter7"/>
    <w:uiPriority w:val="98"/>
    <w:semiHidden/>
    <w:rsid w:val="00F3012E"/>
    <w:rPr>
      <w:rFonts w:eastAsiaTheme="minorEastAsia"/>
      <w:bCs/>
      <w:sz w:val="22"/>
      <w:szCs w:val="28"/>
      <w:lang w:val="en-GB" w:eastAsia="zh-CN"/>
    </w:rPr>
  </w:style>
  <w:style w:type="character" w:customStyle="1" w:styleId="Bullet0ptAfter8Char">
    <w:name w:val="Bullet (0pt After) 8 Char"/>
    <w:basedOn w:val="DefaultParagraphFont"/>
    <w:link w:val="Bullet0ptAfter8"/>
    <w:uiPriority w:val="98"/>
    <w:semiHidden/>
    <w:rsid w:val="00F3012E"/>
    <w:rPr>
      <w:rFonts w:eastAsiaTheme="minorEastAsia"/>
      <w:bCs/>
      <w:sz w:val="22"/>
      <w:szCs w:val="28"/>
      <w:lang w:val="en-GB" w:eastAsia="zh-CN"/>
    </w:rPr>
  </w:style>
  <w:style w:type="character" w:customStyle="1" w:styleId="Bullet0ptAfter9Char">
    <w:name w:val="Bullet (0pt After) 9 Char"/>
    <w:basedOn w:val="DefaultParagraphFont"/>
    <w:link w:val="Bullet0ptAfter9"/>
    <w:uiPriority w:val="98"/>
    <w:semiHidden/>
    <w:rsid w:val="00F3012E"/>
    <w:rPr>
      <w:rFonts w:eastAsiaTheme="minorEastAsia"/>
      <w:bCs/>
      <w:sz w:val="22"/>
      <w:szCs w:val="28"/>
      <w:lang w:val="en-GB" w:eastAsia="zh-CN"/>
    </w:rPr>
  </w:style>
  <w:style w:type="character" w:customStyle="1" w:styleId="Bullet12ptAfter1Char">
    <w:name w:val="Bullet (12pt After) 1 Char"/>
    <w:basedOn w:val="DefaultParagraphFont"/>
    <w:link w:val="Bullet12ptAfter1"/>
    <w:uiPriority w:val="98"/>
    <w:rsid w:val="00F3012E"/>
    <w:rPr>
      <w:rFonts w:eastAsiaTheme="minorEastAsia" w:cstheme="minorBidi"/>
      <w:bCs/>
      <w:sz w:val="22"/>
      <w:szCs w:val="28"/>
      <w:lang w:val="en-GB" w:eastAsia="zh-CN"/>
    </w:rPr>
  </w:style>
  <w:style w:type="character" w:customStyle="1" w:styleId="Bullet12ptAfter2Char">
    <w:name w:val="Bullet (12pt After) 2 Char"/>
    <w:basedOn w:val="DefaultParagraphFont"/>
    <w:link w:val="Bullet12ptAfter2"/>
    <w:uiPriority w:val="98"/>
    <w:rsid w:val="00F3012E"/>
    <w:rPr>
      <w:rFonts w:eastAsiaTheme="minorEastAsia" w:cstheme="minorBidi"/>
      <w:bCs/>
      <w:sz w:val="22"/>
      <w:szCs w:val="28"/>
      <w:lang w:val="en-GB" w:eastAsia="zh-CN"/>
    </w:rPr>
  </w:style>
  <w:style w:type="character" w:customStyle="1" w:styleId="Bullet12ptAfter3Char">
    <w:name w:val="Bullet (12pt After) 3 Char"/>
    <w:basedOn w:val="DefaultParagraphFont"/>
    <w:link w:val="Bullet12ptAfter3"/>
    <w:uiPriority w:val="98"/>
    <w:rsid w:val="00F3012E"/>
    <w:rPr>
      <w:rFonts w:eastAsiaTheme="minorEastAsia" w:cstheme="minorBidi"/>
      <w:bCs/>
      <w:sz w:val="22"/>
      <w:szCs w:val="28"/>
      <w:lang w:val="en-GB" w:eastAsia="zh-CN"/>
    </w:rPr>
  </w:style>
  <w:style w:type="character" w:customStyle="1" w:styleId="Bullet12ptAfter4Char">
    <w:name w:val="Bullet (12pt After) 4 Char"/>
    <w:basedOn w:val="DefaultParagraphFont"/>
    <w:link w:val="Bullet12ptAfter4"/>
    <w:uiPriority w:val="98"/>
    <w:semiHidden/>
    <w:rsid w:val="00F3012E"/>
    <w:rPr>
      <w:rFonts w:eastAsiaTheme="minorEastAsia" w:cstheme="minorBidi"/>
      <w:bCs/>
      <w:sz w:val="22"/>
      <w:szCs w:val="28"/>
      <w:lang w:val="en-GB" w:eastAsia="zh-CN"/>
    </w:rPr>
  </w:style>
  <w:style w:type="character" w:customStyle="1" w:styleId="Bullet12ptAfter5Char">
    <w:name w:val="Bullet (12pt After) 5 Char"/>
    <w:basedOn w:val="DefaultParagraphFont"/>
    <w:link w:val="Bullet12ptAfter5"/>
    <w:uiPriority w:val="98"/>
    <w:semiHidden/>
    <w:rsid w:val="00F3012E"/>
    <w:rPr>
      <w:rFonts w:eastAsiaTheme="minorEastAsia" w:cstheme="minorBidi"/>
      <w:bCs/>
      <w:sz w:val="22"/>
      <w:szCs w:val="28"/>
      <w:lang w:val="en-GB" w:eastAsia="zh-CN"/>
    </w:rPr>
  </w:style>
  <w:style w:type="character" w:customStyle="1" w:styleId="Bullet12ptAfter6Char">
    <w:name w:val="Bullet (12pt After) 6 Char"/>
    <w:basedOn w:val="DefaultParagraphFont"/>
    <w:link w:val="Bullet12ptAfter6"/>
    <w:uiPriority w:val="98"/>
    <w:semiHidden/>
    <w:rsid w:val="00F3012E"/>
    <w:rPr>
      <w:rFonts w:eastAsiaTheme="minorEastAsia" w:cstheme="minorBidi"/>
      <w:bCs/>
      <w:sz w:val="22"/>
      <w:szCs w:val="28"/>
      <w:lang w:val="en-GB" w:eastAsia="zh-CN"/>
    </w:rPr>
  </w:style>
  <w:style w:type="character" w:customStyle="1" w:styleId="Bullet12ptAfter7Char">
    <w:name w:val="Bullet (12pt After) 7 Char"/>
    <w:basedOn w:val="DefaultParagraphFont"/>
    <w:link w:val="Bullet12ptAfter7"/>
    <w:uiPriority w:val="98"/>
    <w:semiHidden/>
    <w:rsid w:val="00F3012E"/>
    <w:rPr>
      <w:rFonts w:eastAsiaTheme="minorEastAsia"/>
      <w:bCs/>
      <w:sz w:val="22"/>
      <w:szCs w:val="28"/>
      <w:lang w:val="en-GB" w:eastAsia="zh-CN"/>
    </w:rPr>
  </w:style>
  <w:style w:type="character" w:customStyle="1" w:styleId="Bullet12ptAfter8Char">
    <w:name w:val="Bullet (12pt After) 8 Char"/>
    <w:basedOn w:val="DefaultParagraphFont"/>
    <w:link w:val="Bullet12ptAfter8"/>
    <w:uiPriority w:val="98"/>
    <w:semiHidden/>
    <w:rsid w:val="00F3012E"/>
    <w:rPr>
      <w:rFonts w:eastAsiaTheme="minorEastAsia"/>
      <w:bCs/>
      <w:sz w:val="22"/>
      <w:szCs w:val="28"/>
      <w:lang w:val="en-GB" w:eastAsia="zh-CN"/>
    </w:rPr>
  </w:style>
  <w:style w:type="character" w:customStyle="1" w:styleId="Bullet12ptAfter9Char">
    <w:name w:val="Bullet (12pt After) 9 Char"/>
    <w:basedOn w:val="DefaultParagraphFont"/>
    <w:link w:val="Bullet12ptAfter9"/>
    <w:uiPriority w:val="98"/>
    <w:semiHidden/>
    <w:rsid w:val="00F3012E"/>
    <w:rPr>
      <w:rFonts w:eastAsiaTheme="minorEastAsia"/>
      <w:bCs/>
      <w:sz w:val="22"/>
      <w:szCs w:val="28"/>
      <w:lang w:val="en-GB" w:eastAsia="zh-CN"/>
    </w:rPr>
  </w:style>
  <w:style w:type="character" w:customStyle="1" w:styleId="CaptionChar">
    <w:name w:val="Caption Char"/>
    <w:basedOn w:val="DefaultParagraphFont"/>
    <w:link w:val="Caption"/>
    <w:rsid w:val="00F3012E"/>
    <w:rPr>
      <w:rFonts w:ascii="Arial" w:eastAsia="Times New Roman" w:hAnsi="Arial"/>
      <w:b/>
      <w:sz w:val="24"/>
      <w:szCs w:val="24"/>
      <w:lang w:val="sv-SE" w:eastAsia="en-US"/>
    </w:rPr>
  </w:style>
  <w:style w:type="character" w:customStyle="1" w:styleId="TableSourceChar">
    <w:name w:val="Table Source Char"/>
    <w:basedOn w:val="DefaultParagraphFont"/>
    <w:link w:val="TableSource"/>
    <w:uiPriority w:val="8"/>
    <w:rsid w:val="00F3012E"/>
    <w:rPr>
      <w:rFonts w:eastAsia="Times New Roman"/>
      <w:bCs/>
      <w:sz w:val="16"/>
      <w:szCs w:val="28"/>
      <w:lang w:val="en-GB" w:eastAsia="zh-CN"/>
    </w:rPr>
  </w:style>
  <w:style w:type="character" w:customStyle="1" w:styleId="TableTextChar">
    <w:name w:val="Table Text Char"/>
    <w:basedOn w:val="DefaultParagraphFont"/>
    <w:link w:val="TableText"/>
    <w:uiPriority w:val="6"/>
    <w:rsid w:val="00F3012E"/>
    <w:rPr>
      <w:sz w:val="22"/>
      <w:szCs w:val="24"/>
      <w:lang w:val="en-GB" w:eastAsia="en-US"/>
    </w:rPr>
  </w:style>
  <w:style w:type="character" w:customStyle="1" w:styleId="TableTitleChar">
    <w:name w:val="Table Title Char"/>
    <w:basedOn w:val="DefaultParagraphFont"/>
    <w:link w:val="TableTitle"/>
    <w:uiPriority w:val="9"/>
    <w:rsid w:val="00F3012E"/>
    <w:rPr>
      <w:rFonts w:eastAsia="Times New Roman"/>
      <w:b/>
      <w:bCs/>
      <w:caps/>
      <w:sz w:val="22"/>
      <w:szCs w:val="28"/>
      <w:lang w:val="en-GB" w:eastAsia="zh-CN"/>
    </w:rPr>
  </w:style>
  <w:style w:type="character" w:customStyle="1" w:styleId="TOC1Char">
    <w:name w:val="TOC 1 Char"/>
    <w:basedOn w:val="DefaultParagraphFont"/>
    <w:link w:val="TOC1"/>
    <w:uiPriority w:val="39"/>
    <w:rsid w:val="00F3012E"/>
    <w:rPr>
      <w:rFonts w:ascii="Arial" w:hAnsi="Arial"/>
      <w:b/>
      <w:sz w:val="22"/>
      <w:lang w:val="en-GB" w:eastAsia="en-US"/>
    </w:rPr>
  </w:style>
  <w:style w:type="character" w:customStyle="1" w:styleId="TOC2Char">
    <w:name w:val="TOC 2 Char"/>
    <w:basedOn w:val="TOC1Char"/>
    <w:link w:val="TOC2"/>
    <w:uiPriority w:val="39"/>
    <w:rsid w:val="00F3012E"/>
    <w:rPr>
      <w:rFonts w:ascii="Arial" w:hAnsi="Arial"/>
      <w:b/>
      <w:sz w:val="22"/>
      <w:lang w:val="en-GB" w:eastAsia="en-US"/>
    </w:rPr>
  </w:style>
  <w:style w:type="character" w:customStyle="1" w:styleId="TOC3Char">
    <w:name w:val="TOC 3 Char"/>
    <w:basedOn w:val="TOC1Char"/>
    <w:link w:val="TOC3"/>
    <w:uiPriority w:val="39"/>
    <w:rsid w:val="00F3012E"/>
    <w:rPr>
      <w:rFonts w:ascii="Arial" w:hAnsi="Arial"/>
      <w:b/>
      <w:sz w:val="22"/>
      <w:lang w:val="en-US" w:eastAsia="en-US"/>
    </w:rPr>
  </w:style>
  <w:style w:type="character" w:customStyle="1" w:styleId="TableCopyChar">
    <w:name w:val="Table Copy Char"/>
    <w:basedOn w:val="DefaultParagraphFont"/>
    <w:link w:val="TableCopy"/>
    <w:uiPriority w:val="8"/>
    <w:semiHidden/>
    <w:rsid w:val="00F3012E"/>
    <w:rPr>
      <w:rFonts w:ascii="Arial" w:hAnsi="Arial"/>
      <w:color w:val="5F5F5F"/>
      <w:szCs w:val="26"/>
      <w:lang w:val="sv-SE"/>
    </w:rPr>
  </w:style>
  <w:style w:type="character" w:customStyle="1" w:styleId="TableHeadingChar">
    <w:name w:val="Table Heading Char"/>
    <w:basedOn w:val="DefaultParagraphFont"/>
    <w:link w:val="TableHeading"/>
    <w:uiPriority w:val="8"/>
    <w:rsid w:val="00F3012E"/>
    <w:rPr>
      <w:rFonts w:ascii="Arial" w:hAnsi="Arial"/>
      <w:b/>
      <w:szCs w:val="24"/>
      <w:lang w:val="en-GB" w:eastAsia="en-US"/>
    </w:rPr>
  </w:style>
  <w:style w:type="character" w:customStyle="1" w:styleId="TOC4Char">
    <w:name w:val="TOC 4 Char"/>
    <w:basedOn w:val="TOC1Char"/>
    <w:link w:val="TOC4"/>
    <w:rsid w:val="00F3012E"/>
    <w:rPr>
      <w:rFonts w:ascii="Arial" w:hAnsi="Arial"/>
      <w:b w:val="0"/>
      <w:sz w:val="22"/>
      <w:lang w:val="en-GB" w:eastAsia="en-US"/>
    </w:rPr>
  </w:style>
  <w:style w:type="character" w:customStyle="1" w:styleId="BoxNoteHeadingChar">
    <w:name w:val="Box Note Heading Char"/>
    <w:basedOn w:val="BoxNoteChar"/>
    <w:link w:val="BoxNoteHeading"/>
    <w:uiPriority w:val="9"/>
    <w:semiHidden/>
    <w:rsid w:val="00F3012E"/>
    <w:rPr>
      <w:rFonts w:eastAsia="Times New Roman"/>
      <w:b/>
      <w:color w:val="FF0000"/>
      <w:sz w:val="18"/>
      <w:szCs w:val="28"/>
      <w:lang w:val="en-US" w:eastAsia="zh-CN"/>
    </w:rPr>
  </w:style>
  <w:style w:type="table" w:styleId="ColorfulGrid">
    <w:name w:val="Colorful Grid"/>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D8D8DA" w:themeFill="text1" w:themeFillTint="33"/>
    </w:tcPr>
    <w:tblStylePr w:type="firstRow">
      <w:rPr>
        <w:b/>
        <w:bCs/>
      </w:rPr>
      <w:tblPr/>
      <w:tcPr>
        <w:shd w:val="clear" w:color="auto" w:fill="B1B2B5" w:themeFill="text1" w:themeFillTint="66"/>
      </w:tcPr>
    </w:tblStylePr>
    <w:tblStylePr w:type="lastRow">
      <w:rPr>
        <w:b/>
        <w:bCs/>
        <w:color w:val="404143" w:themeColor="text1"/>
      </w:rPr>
      <w:tblPr/>
      <w:tcPr>
        <w:shd w:val="clear" w:color="auto" w:fill="B1B2B5" w:themeFill="text1" w:themeFillTint="66"/>
      </w:tcPr>
    </w:tblStylePr>
    <w:tblStylePr w:type="firstCol">
      <w:rPr>
        <w:color w:val="FFFFFF" w:themeColor="background1"/>
      </w:rPr>
      <w:tblPr/>
      <w:tcPr>
        <w:shd w:val="clear" w:color="auto" w:fill="303032" w:themeFill="text1" w:themeFillShade="BF"/>
      </w:tcPr>
    </w:tblStylePr>
    <w:tblStylePr w:type="lastCol">
      <w:rPr>
        <w:color w:val="FFFFFF" w:themeColor="background1"/>
      </w:rPr>
      <w:tblPr/>
      <w:tcPr>
        <w:shd w:val="clear" w:color="auto" w:fill="303032" w:themeFill="text1" w:themeFillShade="BF"/>
      </w:tcPr>
    </w:tblStylePr>
    <w:tblStylePr w:type="band1Vert">
      <w:tblPr/>
      <w:tcPr>
        <w:shd w:val="clear" w:color="auto" w:fill="9E9FA2" w:themeFill="text1" w:themeFillTint="7F"/>
      </w:tcPr>
    </w:tblStylePr>
    <w:tblStylePr w:type="band1Horz">
      <w:tblPr/>
      <w:tcPr>
        <w:shd w:val="clear" w:color="auto" w:fill="9E9FA2" w:themeFill="text1" w:themeFillTint="7F"/>
      </w:tcPr>
    </w:tblStylePr>
  </w:style>
  <w:style w:type="table" w:styleId="ColorfulGrid-Accent1">
    <w:name w:val="Colorful Grid Accent 1"/>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F6C7CF" w:themeFill="accent1" w:themeFillTint="33"/>
    </w:tcPr>
    <w:tblStylePr w:type="firstRow">
      <w:rPr>
        <w:b/>
        <w:bCs/>
      </w:rPr>
      <w:tblPr/>
      <w:tcPr>
        <w:shd w:val="clear" w:color="auto" w:fill="EE909F" w:themeFill="accent1" w:themeFillTint="66"/>
      </w:tcPr>
    </w:tblStylePr>
    <w:tblStylePr w:type="lastRow">
      <w:rPr>
        <w:b/>
        <w:bCs/>
        <w:color w:val="404143" w:themeColor="text1"/>
      </w:rPr>
      <w:tblPr/>
      <w:tcPr>
        <w:shd w:val="clear" w:color="auto" w:fill="EE909F" w:themeFill="accent1" w:themeFillTint="66"/>
      </w:tcPr>
    </w:tblStylePr>
    <w:tblStylePr w:type="firstCol">
      <w:rPr>
        <w:color w:val="FFFFFF" w:themeColor="background1"/>
      </w:rPr>
      <w:tblPr/>
      <w:tcPr>
        <w:shd w:val="clear" w:color="auto" w:fill="7C1223" w:themeFill="accent1" w:themeFillShade="BF"/>
      </w:tcPr>
    </w:tblStylePr>
    <w:tblStylePr w:type="lastCol">
      <w:rPr>
        <w:color w:val="FFFFFF" w:themeColor="background1"/>
      </w:rPr>
      <w:tblPr/>
      <w:tcPr>
        <w:shd w:val="clear" w:color="auto" w:fill="7C1223" w:themeFill="accent1" w:themeFillShade="BF"/>
      </w:tcPr>
    </w:tblStylePr>
    <w:tblStylePr w:type="band1Vert">
      <w:tblPr/>
      <w:tcPr>
        <w:shd w:val="clear" w:color="auto" w:fill="EA7587" w:themeFill="accent1" w:themeFillTint="7F"/>
      </w:tcPr>
    </w:tblStylePr>
    <w:tblStylePr w:type="band1Horz">
      <w:tblPr/>
      <w:tcPr>
        <w:shd w:val="clear" w:color="auto" w:fill="EA7587" w:themeFill="accent1" w:themeFillTint="7F"/>
      </w:tcPr>
    </w:tblStylePr>
  </w:style>
  <w:style w:type="table" w:styleId="ColorfulGrid-Accent2">
    <w:name w:val="Colorful Grid Accent 2"/>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FFF2C8" w:themeFill="accent2" w:themeFillTint="33"/>
    </w:tcPr>
    <w:tblStylePr w:type="firstRow">
      <w:rPr>
        <w:b/>
        <w:bCs/>
      </w:rPr>
      <w:tblPr/>
      <w:tcPr>
        <w:shd w:val="clear" w:color="auto" w:fill="FFE691" w:themeFill="accent2" w:themeFillTint="66"/>
      </w:tcPr>
    </w:tblStylePr>
    <w:tblStylePr w:type="lastRow">
      <w:rPr>
        <w:b/>
        <w:bCs/>
        <w:color w:val="404143" w:themeColor="text1"/>
      </w:rPr>
      <w:tblPr/>
      <w:tcPr>
        <w:shd w:val="clear" w:color="auto" w:fill="FFE691" w:themeFill="accent2" w:themeFillTint="66"/>
      </w:tcPr>
    </w:tblStylePr>
    <w:tblStylePr w:type="firstCol">
      <w:rPr>
        <w:color w:val="FFFFFF" w:themeColor="background1"/>
      </w:rPr>
      <w:tblPr/>
      <w:tcPr>
        <w:shd w:val="clear" w:color="auto" w:fill="B08800" w:themeFill="accent2" w:themeFillShade="BF"/>
      </w:tcPr>
    </w:tblStylePr>
    <w:tblStylePr w:type="lastCol">
      <w:rPr>
        <w:color w:val="FFFFFF" w:themeColor="background1"/>
      </w:rPr>
      <w:tblPr/>
      <w:tcPr>
        <w:shd w:val="clear" w:color="auto" w:fill="B08800" w:themeFill="accent2" w:themeFillShade="BF"/>
      </w:tcPr>
    </w:tblStylePr>
    <w:tblStylePr w:type="band1Vert">
      <w:tblPr/>
      <w:tcPr>
        <w:shd w:val="clear" w:color="auto" w:fill="FFE076" w:themeFill="accent2" w:themeFillTint="7F"/>
      </w:tcPr>
    </w:tblStylePr>
    <w:tblStylePr w:type="band1Horz">
      <w:tblPr/>
      <w:tcPr>
        <w:shd w:val="clear" w:color="auto" w:fill="FFE076" w:themeFill="accent2" w:themeFillTint="7F"/>
      </w:tcPr>
    </w:tblStylePr>
  </w:style>
  <w:style w:type="table" w:styleId="ColorfulGrid-Accent3">
    <w:name w:val="Colorful Grid Accent 3"/>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E0E2F0" w:themeFill="accent3" w:themeFillTint="33"/>
    </w:tcPr>
    <w:tblStylePr w:type="firstRow">
      <w:rPr>
        <w:b/>
        <w:bCs/>
      </w:rPr>
      <w:tblPr/>
      <w:tcPr>
        <w:shd w:val="clear" w:color="auto" w:fill="C2C6E1" w:themeFill="accent3" w:themeFillTint="66"/>
      </w:tcPr>
    </w:tblStylePr>
    <w:tblStylePr w:type="lastRow">
      <w:rPr>
        <w:b/>
        <w:bCs/>
        <w:color w:val="404143" w:themeColor="text1"/>
      </w:rPr>
      <w:tblPr/>
      <w:tcPr>
        <w:shd w:val="clear" w:color="auto" w:fill="C2C6E1" w:themeFill="accent3" w:themeFillTint="66"/>
      </w:tcPr>
    </w:tblStylePr>
    <w:tblStylePr w:type="firstCol">
      <w:rPr>
        <w:color w:val="FFFFFF" w:themeColor="background1"/>
      </w:rPr>
      <w:tblPr/>
      <w:tcPr>
        <w:shd w:val="clear" w:color="auto" w:fill="455090" w:themeFill="accent3" w:themeFillShade="BF"/>
      </w:tcPr>
    </w:tblStylePr>
    <w:tblStylePr w:type="lastCol">
      <w:rPr>
        <w:color w:val="FFFFFF" w:themeColor="background1"/>
      </w:rPr>
      <w:tblPr/>
      <w:tcPr>
        <w:shd w:val="clear" w:color="auto" w:fill="455090" w:themeFill="accent3" w:themeFillShade="BF"/>
      </w:tcPr>
    </w:tblStylePr>
    <w:tblStylePr w:type="band1Vert">
      <w:tblPr/>
      <w:tcPr>
        <w:shd w:val="clear" w:color="auto" w:fill="B3B8DA" w:themeFill="accent3" w:themeFillTint="7F"/>
      </w:tcPr>
    </w:tblStylePr>
    <w:tblStylePr w:type="band1Horz">
      <w:tblPr/>
      <w:tcPr>
        <w:shd w:val="clear" w:color="auto" w:fill="B3B8DA" w:themeFill="accent3" w:themeFillTint="7F"/>
      </w:tcPr>
    </w:tblStylePr>
  </w:style>
  <w:style w:type="table" w:styleId="ColorfulGrid-Accent4">
    <w:name w:val="Colorful Grid Accent 4"/>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FAFFBB" w:themeFill="accent4" w:themeFillTint="33"/>
    </w:tcPr>
    <w:tblStylePr w:type="firstRow">
      <w:rPr>
        <w:b/>
        <w:bCs/>
      </w:rPr>
      <w:tblPr/>
      <w:tcPr>
        <w:shd w:val="clear" w:color="auto" w:fill="F6FF78" w:themeFill="accent4" w:themeFillTint="66"/>
      </w:tcPr>
    </w:tblStylePr>
    <w:tblStylePr w:type="lastRow">
      <w:rPr>
        <w:b/>
        <w:bCs/>
        <w:color w:val="404143" w:themeColor="text1"/>
      </w:rPr>
      <w:tblPr/>
      <w:tcPr>
        <w:shd w:val="clear" w:color="auto" w:fill="F6FF78" w:themeFill="accent4" w:themeFillTint="66"/>
      </w:tcPr>
    </w:tblStylePr>
    <w:tblStylePr w:type="firstCol">
      <w:rPr>
        <w:color w:val="FFFFFF" w:themeColor="background1"/>
      </w:rPr>
      <w:tblPr/>
      <w:tcPr>
        <w:shd w:val="clear" w:color="auto" w:fill="788100" w:themeFill="accent4" w:themeFillShade="BF"/>
      </w:tcPr>
    </w:tblStylePr>
    <w:tblStylePr w:type="lastCol">
      <w:rPr>
        <w:color w:val="FFFFFF" w:themeColor="background1"/>
      </w:rPr>
      <w:tblPr/>
      <w:tcPr>
        <w:shd w:val="clear" w:color="auto" w:fill="788100" w:themeFill="accent4" w:themeFillShade="BF"/>
      </w:tcPr>
    </w:tblStylePr>
    <w:tblStylePr w:type="band1Vert">
      <w:tblPr/>
      <w:tcPr>
        <w:shd w:val="clear" w:color="auto" w:fill="F3FF57" w:themeFill="accent4" w:themeFillTint="7F"/>
      </w:tcPr>
    </w:tblStylePr>
    <w:tblStylePr w:type="band1Horz">
      <w:tblPr/>
      <w:tcPr>
        <w:shd w:val="clear" w:color="auto" w:fill="F3FF57" w:themeFill="accent4" w:themeFillTint="7F"/>
      </w:tcPr>
    </w:tblStylePr>
  </w:style>
  <w:style w:type="table" w:styleId="ColorfulGrid-Accent5">
    <w:name w:val="Colorful Grid Accent 5"/>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E7E8E8" w:themeFill="accent5" w:themeFillTint="33"/>
    </w:tcPr>
    <w:tblStylePr w:type="firstRow">
      <w:rPr>
        <w:b/>
        <w:bCs/>
      </w:rPr>
      <w:tblPr/>
      <w:tcPr>
        <w:shd w:val="clear" w:color="auto" w:fill="D0D1D1" w:themeFill="accent5" w:themeFillTint="66"/>
      </w:tcPr>
    </w:tblStylePr>
    <w:tblStylePr w:type="lastRow">
      <w:rPr>
        <w:b/>
        <w:bCs/>
        <w:color w:val="404143" w:themeColor="text1"/>
      </w:rPr>
      <w:tblPr/>
      <w:tcPr>
        <w:shd w:val="clear" w:color="auto" w:fill="D0D1D1" w:themeFill="accent5" w:themeFillTint="66"/>
      </w:tcPr>
    </w:tblStylePr>
    <w:tblStylePr w:type="firstCol">
      <w:rPr>
        <w:color w:val="FFFFFF" w:themeColor="background1"/>
      </w:rPr>
      <w:tblPr/>
      <w:tcPr>
        <w:shd w:val="clear" w:color="auto" w:fill="67696A" w:themeFill="accent5" w:themeFillShade="BF"/>
      </w:tcPr>
    </w:tblStylePr>
    <w:tblStylePr w:type="lastCol">
      <w:rPr>
        <w:color w:val="FFFFFF" w:themeColor="background1"/>
      </w:rPr>
      <w:tblPr/>
      <w:tcPr>
        <w:shd w:val="clear" w:color="auto" w:fill="67696A" w:themeFill="accent5" w:themeFillShade="BF"/>
      </w:tcPr>
    </w:tblStylePr>
    <w:tblStylePr w:type="band1Vert">
      <w:tblPr/>
      <w:tcPr>
        <w:shd w:val="clear" w:color="auto" w:fill="C5C6C6" w:themeFill="accent5" w:themeFillTint="7F"/>
      </w:tcPr>
    </w:tblStylePr>
    <w:tblStylePr w:type="band1Horz">
      <w:tblPr/>
      <w:tcPr>
        <w:shd w:val="clear" w:color="auto" w:fill="C5C6C6" w:themeFill="accent5" w:themeFillTint="7F"/>
      </w:tcPr>
    </w:tblStylePr>
  </w:style>
  <w:style w:type="table" w:styleId="ColorfulGrid-Accent6">
    <w:name w:val="Colorful Grid Accent 6"/>
    <w:basedOn w:val="TableNormal"/>
    <w:uiPriority w:val="73"/>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insideH w:val="single" w:sz="4" w:space="0" w:color="FFFFFF" w:themeColor="background1"/>
      </w:tblBorders>
    </w:tblPr>
    <w:tcPr>
      <w:shd w:val="clear" w:color="auto" w:fill="D8D8DA" w:themeFill="accent6" w:themeFillTint="33"/>
    </w:tcPr>
    <w:tblStylePr w:type="firstRow">
      <w:rPr>
        <w:b/>
        <w:bCs/>
      </w:rPr>
      <w:tblPr/>
      <w:tcPr>
        <w:shd w:val="clear" w:color="auto" w:fill="B1B2B5" w:themeFill="accent6" w:themeFillTint="66"/>
      </w:tcPr>
    </w:tblStylePr>
    <w:tblStylePr w:type="lastRow">
      <w:rPr>
        <w:b/>
        <w:bCs/>
        <w:color w:val="404143" w:themeColor="text1"/>
      </w:rPr>
      <w:tblPr/>
      <w:tcPr>
        <w:shd w:val="clear" w:color="auto" w:fill="B1B2B5" w:themeFill="accent6" w:themeFillTint="66"/>
      </w:tcPr>
    </w:tblStylePr>
    <w:tblStylePr w:type="firstCol">
      <w:rPr>
        <w:color w:val="FFFFFF" w:themeColor="background1"/>
      </w:rPr>
      <w:tblPr/>
      <w:tcPr>
        <w:shd w:val="clear" w:color="auto" w:fill="303032" w:themeFill="accent6" w:themeFillShade="BF"/>
      </w:tcPr>
    </w:tblStylePr>
    <w:tblStylePr w:type="lastCol">
      <w:rPr>
        <w:color w:val="FFFFFF" w:themeColor="background1"/>
      </w:rPr>
      <w:tblPr/>
      <w:tcPr>
        <w:shd w:val="clear" w:color="auto" w:fill="303032" w:themeFill="accent6" w:themeFillShade="BF"/>
      </w:tcPr>
    </w:tblStylePr>
    <w:tblStylePr w:type="band1Vert">
      <w:tblPr/>
      <w:tcPr>
        <w:shd w:val="clear" w:color="auto" w:fill="9E9FA2" w:themeFill="accent6" w:themeFillTint="7F"/>
      </w:tcPr>
    </w:tblStylePr>
    <w:tblStylePr w:type="band1Horz">
      <w:tblPr/>
      <w:tcPr>
        <w:shd w:val="clear" w:color="auto" w:fill="9E9FA2" w:themeFill="accent6" w:themeFillTint="7F"/>
      </w:tcPr>
    </w:tblStylePr>
  </w:style>
  <w:style w:type="table" w:styleId="ColorfulList">
    <w:name w:val="Colorful List"/>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EBECEC" w:themeFill="text1" w:themeFillTint="19"/>
    </w:tcPr>
    <w:tblStylePr w:type="firstRow">
      <w:rPr>
        <w:b/>
        <w:bCs/>
        <w:color w:val="FFFFFF" w:themeColor="background1"/>
      </w:rPr>
      <w:tblPr/>
      <w:tcPr>
        <w:tcBorders>
          <w:bottom w:val="single" w:sz="12" w:space="0" w:color="FFFFFF" w:themeColor="background1"/>
        </w:tcBorders>
        <w:shd w:val="clear" w:color="auto" w:fill="BC9100" w:themeFill="accent2" w:themeFillShade="CC"/>
      </w:tcPr>
    </w:tblStylePr>
    <w:tblStylePr w:type="lastRow">
      <w:rPr>
        <w:b/>
        <w:bCs/>
        <w:color w:val="BC9100" w:themeColor="accent2"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1" w:themeFill="text1" w:themeFillTint="3F"/>
      </w:tcPr>
    </w:tblStylePr>
    <w:tblStylePr w:type="band1Horz">
      <w:tblPr/>
      <w:tcPr>
        <w:shd w:val="clear" w:color="auto" w:fill="D8D8DA" w:themeFill="text1" w:themeFillTint="33"/>
      </w:tcPr>
    </w:tblStylePr>
  </w:style>
  <w:style w:type="table" w:styleId="ColorfulList-Accent1">
    <w:name w:val="Colorful List Accent 1"/>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BE3E7" w:themeFill="accent1" w:themeFillTint="19"/>
    </w:tcPr>
    <w:tblStylePr w:type="firstRow">
      <w:rPr>
        <w:b/>
        <w:bCs/>
        <w:color w:val="FFFFFF" w:themeColor="background1"/>
      </w:rPr>
      <w:tblPr/>
      <w:tcPr>
        <w:tcBorders>
          <w:bottom w:val="single" w:sz="12" w:space="0" w:color="FFFFFF" w:themeColor="background1"/>
        </w:tcBorders>
        <w:shd w:val="clear" w:color="auto" w:fill="BC9100" w:themeFill="accent2" w:themeFillShade="CC"/>
      </w:tcPr>
    </w:tblStylePr>
    <w:tblStylePr w:type="lastRow">
      <w:rPr>
        <w:b/>
        <w:bCs/>
        <w:color w:val="BC9100" w:themeColor="accent2"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AC3" w:themeFill="accent1" w:themeFillTint="3F"/>
      </w:tcPr>
    </w:tblStylePr>
    <w:tblStylePr w:type="band1Horz">
      <w:tblPr/>
      <w:tcPr>
        <w:shd w:val="clear" w:color="auto" w:fill="F6C7CF" w:themeFill="accent1" w:themeFillTint="33"/>
      </w:tcPr>
    </w:tblStylePr>
  </w:style>
  <w:style w:type="table" w:styleId="ColorfulList-Accent2">
    <w:name w:val="Colorful List Accent 2"/>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FF8E4" w:themeFill="accent2" w:themeFillTint="19"/>
    </w:tcPr>
    <w:tblStylePr w:type="firstRow">
      <w:rPr>
        <w:b/>
        <w:bCs/>
        <w:color w:val="FFFFFF" w:themeColor="background1"/>
      </w:rPr>
      <w:tblPr/>
      <w:tcPr>
        <w:tcBorders>
          <w:bottom w:val="single" w:sz="12" w:space="0" w:color="FFFFFF" w:themeColor="background1"/>
        </w:tcBorders>
        <w:shd w:val="clear" w:color="auto" w:fill="BC9100" w:themeFill="accent2" w:themeFillShade="CC"/>
      </w:tcPr>
    </w:tblStylePr>
    <w:tblStylePr w:type="lastRow">
      <w:rPr>
        <w:b/>
        <w:bCs/>
        <w:color w:val="BC9100" w:themeColor="accent2"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B" w:themeFill="accent2" w:themeFillTint="3F"/>
      </w:tcPr>
    </w:tblStylePr>
    <w:tblStylePr w:type="band1Horz">
      <w:tblPr/>
      <w:tcPr>
        <w:shd w:val="clear" w:color="auto" w:fill="FFF2C8" w:themeFill="accent2" w:themeFillTint="33"/>
      </w:tcPr>
    </w:tblStylePr>
  </w:style>
  <w:style w:type="table" w:styleId="ColorfulList-Accent3">
    <w:name w:val="Colorful List Accent 3"/>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EFF1F7" w:themeFill="accent3" w:themeFillTint="19"/>
    </w:tcPr>
    <w:tblStylePr w:type="firstRow">
      <w:rPr>
        <w:b/>
        <w:bCs/>
        <w:color w:val="FFFFFF" w:themeColor="background1"/>
      </w:rPr>
      <w:tblPr/>
      <w:tcPr>
        <w:tcBorders>
          <w:bottom w:val="single" w:sz="12" w:space="0" w:color="FFFFFF" w:themeColor="background1"/>
        </w:tcBorders>
        <w:shd w:val="clear" w:color="auto" w:fill="818A00" w:themeFill="accent4" w:themeFillShade="CC"/>
      </w:tcPr>
    </w:tblStylePr>
    <w:tblStylePr w:type="lastRow">
      <w:rPr>
        <w:b/>
        <w:bCs/>
        <w:color w:val="818A00" w:themeColor="accent4"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CED" w:themeFill="accent3" w:themeFillTint="3F"/>
      </w:tcPr>
    </w:tblStylePr>
    <w:tblStylePr w:type="band1Horz">
      <w:tblPr/>
      <w:tcPr>
        <w:shd w:val="clear" w:color="auto" w:fill="E0E2F0" w:themeFill="accent3" w:themeFillTint="33"/>
      </w:tcPr>
    </w:tblStylePr>
  </w:style>
  <w:style w:type="table" w:styleId="ColorfulList-Accent4">
    <w:name w:val="Colorful List Accent 4"/>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CFFDD" w:themeFill="accent4" w:themeFillTint="19"/>
    </w:tcPr>
    <w:tblStylePr w:type="firstRow">
      <w:rPr>
        <w:b/>
        <w:bCs/>
        <w:color w:val="FFFFFF" w:themeColor="background1"/>
      </w:rPr>
      <w:tblPr/>
      <w:tcPr>
        <w:tcBorders>
          <w:bottom w:val="single" w:sz="12" w:space="0" w:color="FFFFFF" w:themeColor="background1"/>
        </w:tcBorders>
        <w:shd w:val="clear" w:color="auto" w:fill="4A559A" w:themeFill="accent3" w:themeFillShade="CC"/>
      </w:tcPr>
    </w:tblStylePr>
    <w:tblStylePr w:type="lastRow">
      <w:rPr>
        <w:b/>
        <w:bCs/>
        <w:color w:val="4A559A" w:themeColor="accent3"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FAB" w:themeFill="accent4" w:themeFillTint="3F"/>
      </w:tcPr>
    </w:tblStylePr>
    <w:tblStylePr w:type="band1Horz">
      <w:tblPr/>
      <w:tcPr>
        <w:shd w:val="clear" w:color="auto" w:fill="FAFFBB" w:themeFill="accent4" w:themeFillTint="33"/>
      </w:tcPr>
    </w:tblStylePr>
  </w:style>
  <w:style w:type="table" w:styleId="ColorfulList-Accent5">
    <w:name w:val="Colorful List Accent 5"/>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F3F3F3" w:themeFill="accent5" w:themeFillTint="19"/>
    </w:tcPr>
    <w:tblStylePr w:type="firstRow">
      <w:rPr>
        <w:b/>
        <w:bCs/>
        <w:color w:val="FFFFFF" w:themeColor="background1"/>
      </w:rPr>
      <w:tblPr/>
      <w:tcPr>
        <w:tcBorders>
          <w:bottom w:val="single" w:sz="12" w:space="0" w:color="FFFFFF" w:themeColor="background1"/>
        </w:tcBorders>
        <w:shd w:val="clear" w:color="auto" w:fill="333335" w:themeFill="accent6" w:themeFillShade="CC"/>
      </w:tcPr>
    </w:tblStylePr>
    <w:tblStylePr w:type="lastRow">
      <w:rPr>
        <w:b/>
        <w:bCs/>
        <w:color w:val="333335" w:themeColor="accent6"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2E3" w:themeFill="accent5" w:themeFillTint="3F"/>
      </w:tcPr>
    </w:tblStylePr>
    <w:tblStylePr w:type="band1Horz">
      <w:tblPr/>
      <w:tcPr>
        <w:shd w:val="clear" w:color="auto" w:fill="E7E8E8" w:themeFill="accent5" w:themeFillTint="33"/>
      </w:tcPr>
    </w:tblStylePr>
  </w:style>
  <w:style w:type="table" w:styleId="ColorfulList-Accent6">
    <w:name w:val="Colorful List Accent 6"/>
    <w:basedOn w:val="TableNormal"/>
    <w:uiPriority w:val="72"/>
    <w:semiHidden/>
    <w:unhideWhenUsed/>
    <w:rsid w:val="00F3012E"/>
    <w:rPr>
      <w:rFonts w:asciiTheme="minorHAnsi" w:hAnsiTheme="minorHAnsi" w:cstheme="minorBidi"/>
      <w:color w:val="404143" w:themeColor="text1"/>
      <w:sz w:val="22"/>
      <w:szCs w:val="22"/>
      <w:lang w:eastAsia="zh-CN"/>
    </w:rPr>
    <w:tblPr>
      <w:tblStyleRowBandSize w:val="1"/>
      <w:tblStyleColBandSize w:val="1"/>
    </w:tblPr>
    <w:tcPr>
      <w:shd w:val="clear" w:color="auto" w:fill="EBECEC" w:themeFill="accent6" w:themeFillTint="19"/>
    </w:tcPr>
    <w:tblStylePr w:type="firstRow">
      <w:rPr>
        <w:b/>
        <w:bCs/>
        <w:color w:val="FFFFFF" w:themeColor="background1"/>
      </w:rPr>
      <w:tblPr/>
      <w:tcPr>
        <w:tcBorders>
          <w:bottom w:val="single" w:sz="12" w:space="0" w:color="FFFFFF" w:themeColor="background1"/>
        </w:tcBorders>
        <w:shd w:val="clear" w:color="auto" w:fill="6F7071" w:themeFill="accent5" w:themeFillShade="CC"/>
      </w:tcPr>
    </w:tblStylePr>
    <w:tblStylePr w:type="lastRow">
      <w:rPr>
        <w:b/>
        <w:bCs/>
        <w:color w:val="6F7071" w:themeColor="accent5" w:themeShade="CC"/>
      </w:rPr>
      <w:tblPr/>
      <w:tcPr>
        <w:tcBorders>
          <w:top w:val="single" w:sz="12" w:space="0" w:color="40414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1" w:themeFill="accent6" w:themeFillTint="3F"/>
      </w:tcPr>
    </w:tblStylePr>
    <w:tblStylePr w:type="band1Horz">
      <w:tblPr/>
      <w:tcPr>
        <w:shd w:val="clear" w:color="auto" w:fill="D8D8DA" w:themeFill="accent6" w:themeFillTint="33"/>
      </w:tcPr>
    </w:tblStylePr>
  </w:style>
  <w:style w:type="table" w:styleId="ColorfulShading">
    <w:name w:val="Colorful Shading"/>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EBB700" w:themeColor="accent2"/>
        <w:left w:val="single" w:sz="4" w:space="0" w:color="404143" w:themeColor="text1"/>
        <w:bottom w:val="single" w:sz="4" w:space="0" w:color="404143" w:themeColor="text1"/>
        <w:right w:val="single" w:sz="4" w:space="0" w:color="404143" w:themeColor="text1"/>
        <w:insideH w:val="single" w:sz="4" w:space="0" w:color="FFFFFF" w:themeColor="background1"/>
        <w:insideV w:val="single" w:sz="4" w:space="0" w:color="FFFFFF" w:themeColor="background1"/>
      </w:tblBorders>
    </w:tblPr>
    <w:tcPr>
      <w:shd w:val="clear" w:color="auto" w:fill="EBECEC" w:themeFill="text1" w:themeFillTint="19"/>
    </w:tcPr>
    <w:tblStylePr w:type="firstRow">
      <w:rPr>
        <w:b/>
        <w:bCs/>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8" w:themeFill="text1" w:themeFillShade="99"/>
      </w:tcPr>
    </w:tblStylePr>
    <w:tblStylePr w:type="firstCol">
      <w:rPr>
        <w:color w:val="FFFFFF" w:themeColor="background1"/>
      </w:rPr>
      <w:tblPr/>
      <w:tcPr>
        <w:tcBorders>
          <w:top w:val="nil"/>
          <w:left w:val="nil"/>
          <w:bottom w:val="nil"/>
          <w:right w:val="nil"/>
          <w:insideH w:val="single" w:sz="4" w:space="0" w:color="262628" w:themeColor="text1" w:themeShade="99"/>
          <w:insideV w:val="nil"/>
        </w:tcBorders>
        <w:shd w:val="clear" w:color="auto" w:fill="2626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2" w:themeFill="text1" w:themeFillShade="BF"/>
      </w:tcPr>
    </w:tblStylePr>
    <w:tblStylePr w:type="band1Vert">
      <w:tblPr/>
      <w:tcPr>
        <w:shd w:val="clear" w:color="auto" w:fill="B1B2B5" w:themeFill="text1" w:themeFillTint="66"/>
      </w:tcPr>
    </w:tblStylePr>
    <w:tblStylePr w:type="band1Horz">
      <w:tblPr/>
      <w:tcPr>
        <w:shd w:val="clear" w:color="auto" w:fill="9E9FA2" w:themeFill="text1" w:themeFillTint="7F"/>
      </w:tcPr>
    </w:tblStylePr>
    <w:tblStylePr w:type="neCell">
      <w:rPr>
        <w:color w:val="404143" w:themeColor="text1"/>
      </w:rPr>
    </w:tblStylePr>
    <w:tblStylePr w:type="nwCell">
      <w:rPr>
        <w:color w:val="404143" w:themeColor="text1"/>
      </w:rPr>
    </w:tblStylePr>
  </w:style>
  <w:style w:type="table" w:styleId="ColorfulShading-Accent1">
    <w:name w:val="Colorful Shading Accent 1"/>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EBB700" w:themeColor="accent2"/>
        <w:left w:val="single" w:sz="4" w:space="0" w:color="A71930" w:themeColor="accent1"/>
        <w:bottom w:val="single" w:sz="4" w:space="0" w:color="A71930" w:themeColor="accent1"/>
        <w:right w:val="single" w:sz="4" w:space="0" w:color="A71930" w:themeColor="accent1"/>
        <w:insideH w:val="single" w:sz="4" w:space="0" w:color="FFFFFF" w:themeColor="background1"/>
        <w:insideV w:val="single" w:sz="4" w:space="0" w:color="FFFFFF" w:themeColor="background1"/>
      </w:tblBorders>
    </w:tblPr>
    <w:tcPr>
      <w:shd w:val="clear" w:color="auto" w:fill="FBE3E7" w:themeFill="accent1" w:themeFillTint="19"/>
    </w:tcPr>
    <w:tblStylePr w:type="firstRow">
      <w:rPr>
        <w:b/>
        <w:bCs/>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0F1C" w:themeFill="accent1" w:themeFillShade="99"/>
      </w:tcPr>
    </w:tblStylePr>
    <w:tblStylePr w:type="firstCol">
      <w:rPr>
        <w:color w:val="FFFFFF" w:themeColor="background1"/>
      </w:rPr>
      <w:tblPr/>
      <w:tcPr>
        <w:tcBorders>
          <w:top w:val="nil"/>
          <w:left w:val="nil"/>
          <w:bottom w:val="nil"/>
          <w:right w:val="nil"/>
          <w:insideH w:val="single" w:sz="4" w:space="0" w:color="640F1C" w:themeColor="accent1" w:themeShade="99"/>
          <w:insideV w:val="nil"/>
        </w:tcBorders>
        <w:shd w:val="clear" w:color="auto" w:fill="640F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40F1C" w:themeFill="accent1" w:themeFillShade="99"/>
      </w:tcPr>
    </w:tblStylePr>
    <w:tblStylePr w:type="band1Vert">
      <w:tblPr/>
      <w:tcPr>
        <w:shd w:val="clear" w:color="auto" w:fill="EE909F" w:themeFill="accent1" w:themeFillTint="66"/>
      </w:tcPr>
    </w:tblStylePr>
    <w:tblStylePr w:type="band1Horz">
      <w:tblPr/>
      <w:tcPr>
        <w:shd w:val="clear" w:color="auto" w:fill="EA7587" w:themeFill="accent1" w:themeFillTint="7F"/>
      </w:tcPr>
    </w:tblStylePr>
    <w:tblStylePr w:type="neCell">
      <w:rPr>
        <w:color w:val="404143" w:themeColor="text1"/>
      </w:rPr>
    </w:tblStylePr>
    <w:tblStylePr w:type="nwCell">
      <w:rPr>
        <w:color w:val="404143" w:themeColor="text1"/>
      </w:rPr>
    </w:tblStylePr>
  </w:style>
  <w:style w:type="table" w:styleId="ColorfulShading-Accent2">
    <w:name w:val="Colorful Shading Accent 2"/>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EBB700" w:themeColor="accent2"/>
        <w:left w:val="single" w:sz="4" w:space="0" w:color="EBB700" w:themeColor="accent2"/>
        <w:bottom w:val="single" w:sz="4" w:space="0" w:color="EBB700" w:themeColor="accent2"/>
        <w:right w:val="single" w:sz="4" w:space="0" w:color="EBB700" w:themeColor="accent2"/>
        <w:insideH w:val="single" w:sz="4" w:space="0" w:color="FFFFFF" w:themeColor="background1"/>
        <w:insideV w:val="single" w:sz="4" w:space="0" w:color="FFFFFF" w:themeColor="background1"/>
      </w:tblBorders>
    </w:tblPr>
    <w:tcPr>
      <w:shd w:val="clear" w:color="auto" w:fill="FFF8E4" w:themeFill="accent2" w:themeFillTint="19"/>
    </w:tcPr>
    <w:tblStylePr w:type="firstRow">
      <w:rPr>
        <w:b/>
        <w:bCs/>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6D00" w:themeFill="accent2" w:themeFillShade="99"/>
      </w:tcPr>
    </w:tblStylePr>
    <w:tblStylePr w:type="firstCol">
      <w:rPr>
        <w:color w:val="FFFFFF" w:themeColor="background1"/>
      </w:rPr>
      <w:tblPr/>
      <w:tcPr>
        <w:tcBorders>
          <w:top w:val="nil"/>
          <w:left w:val="nil"/>
          <w:bottom w:val="nil"/>
          <w:right w:val="nil"/>
          <w:insideH w:val="single" w:sz="4" w:space="0" w:color="8D6D00" w:themeColor="accent2" w:themeShade="99"/>
          <w:insideV w:val="nil"/>
        </w:tcBorders>
        <w:shd w:val="clear" w:color="auto" w:fill="8D6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D6D00" w:themeFill="accent2" w:themeFillShade="99"/>
      </w:tcPr>
    </w:tblStylePr>
    <w:tblStylePr w:type="band1Vert">
      <w:tblPr/>
      <w:tcPr>
        <w:shd w:val="clear" w:color="auto" w:fill="FFE691" w:themeFill="accent2" w:themeFillTint="66"/>
      </w:tcPr>
    </w:tblStylePr>
    <w:tblStylePr w:type="band1Horz">
      <w:tblPr/>
      <w:tcPr>
        <w:shd w:val="clear" w:color="auto" w:fill="FFE076" w:themeFill="accent2" w:themeFillTint="7F"/>
      </w:tcPr>
    </w:tblStylePr>
    <w:tblStylePr w:type="neCell">
      <w:rPr>
        <w:color w:val="404143" w:themeColor="text1"/>
      </w:rPr>
    </w:tblStylePr>
    <w:tblStylePr w:type="nwCell">
      <w:rPr>
        <w:color w:val="404143" w:themeColor="text1"/>
      </w:rPr>
    </w:tblStylePr>
  </w:style>
  <w:style w:type="table" w:styleId="ColorfulShading-Accent3">
    <w:name w:val="Colorful Shading Accent 3"/>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A2AD00" w:themeColor="accent4"/>
        <w:left w:val="single" w:sz="4" w:space="0" w:color="6773B6" w:themeColor="accent3"/>
        <w:bottom w:val="single" w:sz="4" w:space="0" w:color="6773B6" w:themeColor="accent3"/>
        <w:right w:val="single" w:sz="4" w:space="0" w:color="6773B6" w:themeColor="accent3"/>
        <w:insideH w:val="single" w:sz="4" w:space="0" w:color="FFFFFF" w:themeColor="background1"/>
        <w:insideV w:val="single" w:sz="4" w:space="0" w:color="FFFFFF" w:themeColor="background1"/>
      </w:tblBorders>
    </w:tblPr>
    <w:tcPr>
      <w:shd w:val="clear" w:color="auto" w:fill="EFF1F7" w:themeFill="accent3" w:themeFillTint="19"/>
    </w:tcPr>
    <w:tblStylePr w:type="firstRow">
      <w:rPr>
        <w:b/>
        <w:bCs/>
      </w:rPr>
      <w:tblPr/>
      <w:tcPr>
        <w:tcBorders>
          <w:top w:val="nil"/>
          <w:left w:val="nil"/>
          <w:bottom w:val="single" w:sz="24" w:space="0" w:color="A2AD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4073" w:themeFill="accent3" w:themeFillShade="99"/>
      </w:tcPr>
    </w:tblStylePr>
    <w:tblStylePr w:type="firstCol">
      <w:rPr>
        <w:color w:val="FFFFFF" w:themeColor="background1"/>
      </w:rPr>
      <w:tblPr/>
      <w:tcPr>
        <w:tcBorders>
          <w:top w:val="nil"/>
          <w:left w:val="nil"/>
          <w:bottom w:val="nil"/>
          <w:right w:val="nil"/>
          <w:insideH w:val="single" w:sz="4" w:space="0" w:color="374073" w:themeColor="accent3" w:themeShade="99"/>
          <w:insideV w:val="nil"/>
        </w:tcBorders>
        <w:shd w:val="clear" w:color="auto" w:fill="37407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74073" w:themeFill="accent3" w:themeFillShade="99"/>
      </w:tcPr>
    </w:tblStylePr>
    <w:tblStylePr w:type="band1Vert">
      <w:tblPr/>
      <w:tcPr>
        <w:shd w:val="clear" w:color="auto" w:fill="C2C6E1" w:themeFill="accent3" w:themeFillTint="66"/>
      </w:tcPr>
    </w:tblStylePr>
    <w:tblStylePr w:type="band1Horz">
      <w:tblPr/>
      <w:tcPr>
        <w:shd w:val="clear" w:color="auto" w:fill="B3B8DA" w:themeFill="accent3" w:themeFillTint="7F"/>
      </w:tcPr>
    </w:tblStylePr>
  </w:style>
  <w:style w:type="table" w:styleId="ColorfulShading-Accent4">
    <w:name w:val="Colorful Shading Accent 4"/>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6773B6" w:themeColor="accent3"/>
        <w:left w:val="single" w:sz="4" w:space="0" w:color="A2AD00" w:themeColor="accent4"/>
        <w:bottom w:val="single" w:sz="4" w:space="0" w:color="A2AD00" w:themeColor="accent4"/>
        <w:right w:val="single" w:sz="4" w:space="0" w:color="A2AD00" w:themeColor="accent4"/>
        <w:insideH w:val="single" w:sz="4" w:space="0" w:color="FFFFFF" w:themeColor="background1"/>
        <w:insideV w:val="single" w:sz="4" w:space="0" w:color="FFFFFF" w:themeColor="background1"/>
      </w:tblBorders>
    </w:tblPr>
    <w:tcPr>
      <w:shd w:val="clear" w:color="auto" w:fill="FCFFDD" w:themeFill="accent4" w:themeFillTint="19"/>
    </w:tcPr>
    <w:tblStylePr w:type="firstRow">
      <w:rPr>
        <w:b/>
        <w:bCs/>
      </w:rPr>
      <w:tblPr/>
      <w:tcPr>
        <w:tcBorders>
          <w:top w:val="nil"/>
          <w:left w:val="nil"/>
          <w:bottom w:val="single" w:sz="24" w:space="0" w:color="6773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6700" w:themeFill="accent4" w:themeFillShade="99"/>
      </w:tcPr>
    </w:tblStylePr>
    <w:tblStylePr w:type="firstCol">
      <w:rPr>
        <w:color w:val="FFFFFF" w:themeColor="background1"/>
      </w:rPr>
      <w:tblPr/>
      <w:tcPr>
        <w:tcBorders>
          <w:top w:val="nil"/>
          <w:left w:val="nil"/>
          <w:bottom w:val="nil"/>
          <w:right w:val="nil"/>
          <w:insideH w:val="single" w:sz="4" w:space="0" w:color="606700" w:themeColor="accent4" w:themeShade="99"/>
          <w:insideV w:val="nil"/>
        </w:tcBorders>
        <w:shd w:val="clear" w:color="auto" w:fill="606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6700" w:themeFill="accent4" w:themeFillShade="99"/>
      </w:tcPr>
    </w:tblStylePr>
    <w:tblStylePr w:type="band1Vert">
      <w:tblPr/>
      <w:tcPr>
        <w:shd w:val="clear" w:color="auto" w:fill="F6FF78" w:themeFill="accent4" w:themeFillTint="66"/>
      </w:tcPr>
    </w:tblStylePr>
    <w:tblStylePr w:type="band1Horz">
      <w:tblPr/>
      <w:tcPr>
        <w:shd w:val="clear" w:color="auto" w:fill="F3FF57" w:themeFill="accent4" w:themeFillTint="7F"/>
      </w:tcPr>
    </w:tblStylePr>
    <w:tblStylePr w:type="neCell">
      <w:rPr>
        <w:color w:val="404143" w:themeColor="text1"/>
      </w:rPr>
    </w:tblStylePr>
    <w:tblStylePr w:type="nwCell">
      <w:rPr>
        <w:color w:val="404143" w:themeColor="text1"/>
      </w:rPr>
    </w:tblStylePr>
  </w:style>
  <w:style w:type="table" w:styleId="ColorfulShading-Accent5">
    <w:name w:val="Colorful Shading Accent 5"/>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404143" w:themeColor="accent6"/>
        <w:left w:val="single" w:sz="4" w:space="0" w:color="8B8D8E" w:themeColor="accent5"/>
        <w:bottom w:val="single" w:sz="4" w:space="0" w:color="8B8D8E" w:themeColor="accent5"/>
        <w:right w:val="single" w:sz="4" w:space="0" w:color="8B8D8E" w:themeColor="accent5"/>
        <w:insideH w:val="single" w:sz="4" w:space="0" w:color="FFFFFF" w:themeColor="background1"/>
        <w:insideV w:val="single" w:sz="4" w:space="0" w:color="FFFFFF" w:themeColor="background1"/>
      </w:tblBorders>
    </w:tblPr>
    <w:tcPr>
      <w:shd w:val="clear" w:color="auto" w:fill="F3F3F3" w:themeFill="accent5" w:themeFillTint="19"/>
    </w:tcPr>
    <w:tblStylePr w:type="firstRow">
      <w:rPr>
        <w:b/>
        <w:bCs/>
      </w:rPr>
      <w:tblPr/>
      <w:tcPr>
        <w:tcBorders>
          <w:top w:val="nil"/>
          <w:left w:val="nil"/>
          <w:bottom w:val="single" w:sz="24" w:space="0" w:color="40414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5455" w:themeFill="accent5" w:themeFillShade="99"/>
      </w:tcPr>
    </w:tblStylePr>
    <w:tblStylePr w:type="firstCol">
      <w:rPr>
        <w:color w:val="FFFFFF" w:themeColor="background1"/>
      </w:rPr>
      <w:tblPr/>
      <w:tcPr>
        <w:tcBorders>
          <w:top w:val="nil"/>
          <w:left w:val="nil"/>
          <w:bottom w:val="nil"/>
          <w:right w:val="nil"/>
          <w:insideH w:val="single" w:sz="4" w:space="0" w:color="535455" w:themeColor="accent5" w:themeShade="99"/>
          <w:insideV w:val="nil"/>
        </w:tcBorders>
        <w:shd w:val="clear" w:color="auto" w:fill="5354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35455" w:themeFill="accent5" w:themeFillShade="99"/>
      </w:tcPr>
    </w:tblStylePr>
    <w:tblStylePr w:type="band1Vert">
      <w:tblPr/>
      <w:tcPr>
        <w:shd w:val="clear" w:color="auto" w:fill="D0D1D1" w:themeFill="accent5" w:themeFillTint="66"/>
      </w:tcPr>
    </w:tblStylePr>
    <w:tblStylePr w:type="band1Horz">
      <w:tblPr/>
      <w:tcPr>
        <w:shd w:val="clear" w:color="auto" w:fill="C5C6C6" w:themeFill="accent5" w:themeFillTint="7F"/>
      </w:tcPr>
    </w:tblStylePr>
    <w:tblStylePr w:type="neCell">
      <w:rPr>
        <w:color w:val="404143" w:themeColor="text1"/>
      </w:rPr>
    </w:tblStylePr>
    <w:tblStylePr w:type="nwCell">
      <w:rPr>
        <w:color w:val="404143" w:themeColor="text1"/>
      </w:rPr>
    </w:tblStylePr>
  </w:style>
  <w:style w:type="table" w:styleId="ColorfulShading-Accent6">
    <w:name w:val="Colorful Shading Accent 6"/>
    <w:basedOn w:val="TableNormal"/>
    <w:uiPriority w:val="71"/>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24" w:space="0" w:color="8B8D8E" w:themeColor="accent5"/>
        <w:left w:val="single" w:sz="4" w:space="0" w:color="404143" w:themeColor="accent6"/>
        <w:bottom w:val="single" w:sz="4" w:space="0" w:color="404143" w:themeColor="accent6"/>
        <w:right w:val="single" w:sz="4" w:space="0" w:color="404143" w:themeColor="accent6"/>
        <w:insideH w:val="single" w:sz="4" w:space="0" w:color="FFFFFF" w:themeColor="background1"/>
        <w:insideV w:val="single" w:sz="4" w:space="0" w:color="FFFFFF" w:themeColor="background1"/>
      </w:tblBorders>
    </w:tblPr>
    <w:tcPr>
      <w:shd w:val="clear" w:color="auto" w:fill="EBECEC" w:themeFill="accent6" w:themeFillTint="19"/>
    </w:tcPr>
    <w:tblStylePr w:type="firstRow">
      <w:rPr>
        <w:b/>
        <w:bCs/>
      </w:rPr>
      <w:tblPr/>
      <w:tcPr>
        <w:tcBorders>
          <w:top w:val="nil"/>
          <w:left w:val="nil"/>
          <w:bottom w:val="single" w:sz="24" w:space="0" w:color="8B8D8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8" w:themeFill="accent6" w:themeFillShade="99"/>
      </w:tcPr>
    </w:tblStylePr>
    <w:tblStylePr w:type="firstCol">
      <w:rPr>
        <w:color w:val="FFFFFF" w:themeColor="background1"/>
      </w:rPr>
      <w:tblPr/>
      <w:tcPr>
        <w:tcBorders>
          <w:top w:val="nil"/>
          <w:left w:val="nil"/>
          <w:bottom w:val="nil"/>
          <w:right w:val="nil"/>
          <w:insideH w:val="single" w:sz="4" w:space="0" w:color="262628" w:themeColor="accent6" w:themeShade="99"/>
          <w:insideV w:val="nil"/>
        </w:tcBorders>
        <w:shd w:val="clear" w:color="auto" w:fill="2626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62628" w:themeFill="accent6" w:themeFillShade="99"/>
      </w:tcPr>
    </w:tblStylePr>
    <w:tblStylePr w:type="band1Vert">
      <w:tblPr/>
      <w:tcPr>
        <w:shd w:val="clear" w:color="auto" w:fill="B1B2B5" w:themeFill="accent6" w:themeFillTint="66"/>
      </w:tcPr>
    </w:tblStylePr>
    <w:tblStylePr w:type="band1Horz">
      <w:tblPr/>
      <w:tcPr>
        <w:shd w:val="clear" w:color="auto" w:fill="9E9FA2" w:themeFill="accent6" w:themeFillTint="7F"/>
      </w:tcPr>
    </w:tblStylePr>
    <w:tblStylePr w:type="neCell">
      <w:rPr>
        <w:color w:val="404143" w:themeColor="text1"/>
      </w:rPr>
    </w:tblStylePr>
    <w:tblStylePr w:type="nwCell">
      <w:rPr>
        <w:color w:val="404143" w:themeColor="text1"/>
      </w:rPr>
    </w:tblStylePr>
  </w:style>
  <w:style w:type="table" w:styleId="DarkList">
    <w:name w:val="Dark List"/>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404143"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1F20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2" w:themeFill="text1" w:themeFillShade="BF"/>
      </w:tcPr>
    </w:tblStylePr>
    <w:tblStylePr w:type="band1Vert">
      <w:tblPr/>
      <w:tcPr>
        <w:tcBorders>
          <w:top w:val="nil"/>
          <w:left w:val="nil"/>
          <w:bottom w:val="nil"/>
          <w:right w:val="nil"/>
          <w:insideH w:val="nil"/>
          <w:insideV w:val="nil"/>
        </w:tcBorders>
        <w:shd w:val="clear" w:color="auto" w:fill="303032" w:themeFill="text1" w:themeFillShade="BF"/>
      </w:tcPr>
    </w:tblStylePr>
    <w:tblStylePr w:type="band1Horz">
      <w:tblPr/>
      <w:tcPr>
        <w:tcBorders>
          <w:top w:val="nil"/>
          <w:left w:val="nil"/>
          <w:bottom w:val="nil"/>
          <w:right w:val="nil"/>
          <w:insideH w:val="nil"/>
          <w:insideV w:val="nil"/>
        </w:tcBorders>
        <w:shd w:val="clear" w:color="auto" w:fill="303032" w:themeFill="text1" w:themeFillShade="BF"/>
      </w:tcPr>
    </w:tblStylePr>
  </w:style>
  <w:style w:type="table" w:styleId="DarkList-Accent1">
    <w:name w:val="Dark List Accent 1"/>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A7193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520C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12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1223" w:themeFill="accent1" w:themeFillShade="BF"/>
      </w:tcPr>
    </w:tblStylePr>
    <w:tblStylePr w:type="band1Vert">
      <w:tblPr/>
      <w:tcPr>
        <w:tcBorders>
          <w:top w:val="nil"/>
          <w:left w:val="nil"/>
          <w:bottom w:val="nil"/>
          <w:right w:val="nil"/>
          <w:insideH w:val="nil"/>
          <w:insideV w:val="nil"/>
        </w:tcBorders>
        <w:shd w:val="clear" w:color="auto" w:fill="7C1223" w:themeFill="accent1" w:themeFillShade="BF"/>
      </w:tcPr>
    </w:tblStylePr>
    <w:tblStylePr w:type="band1Horz">
      <w:tblPr/>
      <w:tcPr>
        <w:tcBorders>
          <w:top w:val="nil"/>
          <w:left w:val="nil"/>
          <w:bottom w:val="nil"/>
          <w:right w:val="nil"/>
          <w:insideH w:val="nil"/>
          <w:insideV w:val="nil"/>
        </w:tcBorders>
        <w:shd w:val="clear" w:color="auto" w:fill="7C1223" w:themeFill="accent1" w:themeFillShade="BF"/>
      </w:tcPr>
    </w:tblStylePr>
  </w:style>
  <w:style w:type="table" w:styleId="DarkList-Accent2">
    <w:name w:val="Dark List Accent 2"/>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EBB7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755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088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08800" w:themeFill="accent2" w:themeFillShade="BF"/>
      </w:tcPr>
    </w:tblStylePr>
    <w:tblStylePr w:type="band1Vert">
      <w:tblPr/>
      <w:tcPr>
        <w:tcBorders>
          <w:top w:val="nil"/>
          <w:left w:val="nil"/>
          <w:bottom w:val="nil"/>
          <w:right w:val="nil"/>
          <w:insideH w:val="nil"/>
          <w:insideV w:val="nil"/>
        </w:tcBorders>
        <w:shd w:val="clear" w:color="auto" w:fill="B08800" w:themeFill="accent2" w:themeFillShade="BF"/>
      </w:tcPr>
    </w:tblStylePr>
    <w:tblStylePr w:type="band1Horz">
      <w:tblPr/>
      <w:tcPr>
        <w:tcBorders>
          <w:top w:val="nil"/>
          <w:left w:val="nil"/>
          <w:bottom w:val="nil"/>
          <w:right w:val="nil"/>
          <w:insideH w:val="nil"/>
          <w:insideV w:val="nil"/>
        </w:tcBorders>
        <w:shd w:val="clear" w:color="auto" w:fill="B08800" w:themeFill="accent2" w:themeFillShade="BF"/>
      </w:tcPr>
    </w:tblStylePr>
  </w:style>
  <w:style w:type="table" w:styleId="DarkList-Accent3">
    <w:name w:val="Dark List Accent 3"/>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6773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2E35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5509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55090" w:themeFill="accent3" w:themeFillShade="BF"/>
      </w:tcPr>
    </w:tblStylePr>
    <w:tblStylePr w:type="band1Vert">
      <w:tblPr/>
      <w:tcPr>
        <w:tcBorders>
          <w:top w:val="nil"/>
          <w:left w:val="nil"/>
          <w:bottom w:val="nil"/>
          <w:right w:val="nil"/>
          <w:insideH w:val="nil"/>
          <w:insideV w:val="nil"/>
        </w:tcBorders>
        <w:shd w:val="clear" w:color="auto" w:fill="455090" w:themeFill="accent3" w:themeFillShade="BF"/>
      </w:tcPr>
    </w:tblStylePr>
    <w:tblStylePr w:type="band1Horz">
      <w:tblPr/>
      <w:tcPr>
        <w:tcBorders>
          <w:top w:val="nil"/>
          <w:left w:val="nil"/>
          <w:bottom w:val="nil"/>
          <w:right w:val="nil"/>
          <w:insideH w:val="nil"/>
          <w:insideV w:val="nil"/>
        </w:tcBorders>
        <w:shd w:val="clear" w:color="auto" w:fill="455090" w:themeFill="accent3" w:themeFillShade="BF"/>
      </w:tcPr>
    </w:tblStylePr>
  </w:style>
  <w:style w:type="table" w:styleId="DarkList-Accent4">
    <w:name w:val="Dark List Accent 4"/>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A2AD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50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81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8100" w:themeFill="accent4" w:themeFillShade="BF"/>
      </w:tcPr>
    </w:tblStylePr>
    <w:tblStylePr w:type="band1Vert">
      <w:tblPr/>
      <w:tcPr>
        <w:tcBorders>
          <w:top w:val="nil"/>
          <w:left w:val="nil"/>
          <w:bottom w:val="nil"/>
          <w:right w:val="nil"/>
          <w:insideH w:val="nil"/>
          <w:insideV w:val="nil"/>
        </w:tcBorders>
        <w:shd w:val="clear" w:color="auto" w:fill="788100" w:themeFill="accent4" w:themeFillShade="BF"/>
      </w:tcPr>
    </w:tblStylePr>
    <w:tblStylePr w:type="band1Horz">
      <w:tblPr/>
      <w:tcPr>
        <w:tcBorders>
          <w:top w:val="nil"/>
          <w:left w:val="nil"/>
          <w:bottom w:val="nil"/>
          <w:right w:val="nil"/>
          <w:insideH w:val="nil"/>
          <w:insideV w:val="nil"/>
        </w:tcBorders>
        <w:shd w:val="clear" w:color="auto" w:fill="788100" w:themeFill="accent4" w:themeFillShade="BF"/>
      </w:tcPr>
    </w:tblStylePr>
  </w:style>
  <w:style w:type="table" w:styleId="DarkList-Accent5">
    <w:name w:val="Dark List Accent 5"/>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8B8D8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4546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769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7696A" w:themeFill="accent5" w:themeFillShade="BF"/>
      </w:tcPr>
    </w:tblStylePr>
    <w:tblStylePr w:type="band1Vert">
      <w:tblPr/>
      <w:tcPr>
        <w:tcBorders>
          <w:top w:val="nil"/>
          <w:left w:val="nil"/>
          <w:bottom w:val="nil"/>
          <w:right w:val="nil"/>
          <w:insideH w:val="nil"/>
          <w:insideV w:val="nil"/>
        </w:tcBorders>
        <w:shd w:val="clear" w:color="auto" w:fill="67696A" w:themeFill="accent5" w:themeFillShade="BF"/>
      </w:tcPr>
    </w:tblStylePr>
    <w:tblStylePr w:type="band1Horz">
      <w:tblPr/>
      <w:tcPr>
        <w:tcBorders>
          <w:top w:val="nil"/>
          <w:left w:val="nil"/>
          <w:bottom w:val="nil"/>
          <w:right w:val="nil"/>
          <w:insideH w:val="nil"/>
          <w:insideV w:val="nil"/>
        </w:tcBorders>
        <w:shd w:val="clear" w:color="auto" w:fill="67696A" w:themeFill="accent5" w:themeFillShade="BF"/>
      </w:tcPr>
    </w:tblStylePr>
  </w:style>
  <w:style w:type="table" w:styleId="DarkList-Accent6">
    <w:name w:val="Dark List Accent 6"/>
    <w:basedOn w:val="TableNormal"/>
    <w:uiPriority w:val="70"/>
    <w:semiHidden/>
    <w:unhideWhenUsed/>
    <w:rsid w:val="00F3012E"/>
    <w:rPr>
      <w:rFonts w:asciiTheme="minorHAnsi" w:hAnsiTheme="minorHAnsi" w:cstheme="minorBidi"/>
      <w:color w:val="FFFFFF" w:themeColor="background1"/>
      <w:sz w:val="22"/>
      <w:szCs w:val="22"/>
      <w:lang w:eastAsia="zh-CN"/>
    </w:rPr>
    <w:tblPr>
      <w:tblStyleRowBandSize w:val="1"/>
      <w:tblStyleColBandSize w:val="1"/>
    </w:tblPr>
    <w:tcPr>
      <w:shd w:val="clear" w:color="auto" w:fill="40414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143" w:themeFill="text1"/>
      </w:tcPr>
    </w:tblStylePr>
    <w:tblStylePr w:type="lastRow">
      <w:tblPr/>
      <w:tcPr>
        <w:tcBorders>
          <w:top w:val="single" w:sz="18" w:space="0" w:color="FFFFFF" w:themeColor="background1"/>
          <w:left w:val="nil"/>
          <w:bottom w:val="nil"/>
          <w:right w:val="nil"/>
          <w:insideH w:val="nil"/>
          <w:insideV w:val="nil"/>
        </w:tcBorders>
        <w:shd w:val="clear" w:color="auto" w:fill="1F20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030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03032" w:themeFill="accent6" w:themeFillShade="BF"/>
      </w:tcPr>
    </w:tblStylePr>
    <w:tblStylePr w:type="band1Vert">
      <w:tblPr/>
      <w:tcPr>
        <w:tcBorders>
          <w:top w:val="nil"/>
          <w:left w:val="nil"/>
          <w:bottom w:val="nil"/>
          <w:right w:val="nil"/>
          <w:insideH w:val="nil"/>
          <w:insideV w:val="nil"/>
        </w:tcBorders>
        <w:shd w:val="clear" w:color="auto" w:fill="303032" w:themeFill="accent6" w:themeFillShade="BF"/>
      </w:tcPr>
    </w:tblStylePr>
    <w:tblStylePr w:type="band1Horz">
      <w:tblPr/>
      <w:tcPr>
        <w:tcBorders>
          <w:top w:val="nil"/>
          <w:left w:val="nil"/>
          <w:bottom w:val="nil"/>
          <w:right w:val="nil"/>
          <w:insideH w:val="nil"/>
          <w:insideV w:val="nil"/>
        </w:tcBorders>
        <w:shd w:val="clear" w:color="auto" w:fill="303032" w:themeFill="accent6" w:themeFillShade="BF"/>
      </w:tcPr>
    </w:tblStylePr>
  </w:style>
  <w:style w:type="table" w:styleId="GridTable1Light">
    <w:name w:val="Grid Table 1 Light"/>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B1B2B5" w:themeColor="text1" w:themeTint="66"/>
        <w:left w:val="single" w:sz="4" w:space="0" w:color="B1B2B5" w:themeColor="text1" w:themeTint="66"/>
        <w:bottom w:val="single" w:sz="4" w:space="0" w:color="B1B2B5" w:themeColor="text1" w:themeTint="66"/>
        <w:right w:val="single" w:sz="4" w:space="0" w:color="B1B2B5" w:themeColor="text1" w:themeTint="66"/>
        <w:insideH w:val="single" w:sz="4" w:space="0" w:color="B1B2B5" w:themeColor="text1" w:themeTint="66"/>
        <w:insideV w:val="single" w:sz="4" w:space="0" w:color="B1B2B5" w:themeColor="text1" w:themeTint="66"/>
      </w:tblBorders>
    </w:tblPr>
    <w:tblStylePr w:type="firstRow">
      <w:rPr>
        <w:b/>
        <w:bCs/>
      </w:rPr>
      <w:tblPr/>
      <w:tcPr>
        <w:tcBorders>
          <w:bottom w:val="single" w:sz="12" w:space="0" w:color="8A8C8F" w:themeColor="text1" w:themeTint="99"/>
        </w:tcBorders>
      </w:tcPr>
    </w:tblStylePr>
    <w:tblStylePr w:type="lastRow">
      <w:rPr>
        <w:b/>
        <w:bCs/>
      </w:rPr>
      <w:tblPr/>
      <w:tcPr>
        <w:tcBorders>
          <w:top w:val="double" w:sz="2" w:space="0" w:color="8A8C8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EE909F" w:themeColor="accent1" w:themeTint="66"/>
        <w:left w:val="single" w:sz="4" w:space="0" w:color="EE909F" w:themeColor="accent1" w:themeTint="66"/>
        <w:bottom w:val="single" w:sz="4" w:space="0" w:color="EE909F" w:themeColor="accent1" w:themeTint="66"/>
        <w:right w:val="single" w:sz="4" w:space="0" w:color="EE909F" w:themeColor="accent1" w:themeTint="66"/>
        <w:insideH w:val="single" w:sz="4" w:space="0" w:color="EE909F" w:themeColor="accent1" w:themeTint="66"/>
        <w:insideV w:val="single" w:sz="4" w:space="0" w:color="EE909F" w:themeColor="accent1" w:themeTint="66"/>
      </w:tblBorders>
    </w:tblPr>
    <w:tblStylePr w:type="firstRow">
      <w:rPr>
        <w:b/>
        <w:bCs/>
      </w:rPr>
      <w:tblPr/>
      <w:tcPr>
        <w:tcBorders>
          <w:bottom w:val="single" w:sz="12" w:space="0" w:color="E6586F" w:themeColor="accent1" w:themeTint="99"/>
        </w:tcBorders>
      </w:tcPr>
    </w:tblStylePr>
    <w:tblStylePr w:type="lastRow">
      <w:rPr>
        <w:b/>
        <w:bCs/>
      </w:rPr>
      <w:tblPr/>
      <w:tcPr>
        <w:tcBorders>
          <w:top w:val="double" w:sz="2" w:space="0" w:color="E6586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FFE691" w:themeColor="accent2" w:themeTint="66"/>
        <w:left w:val="single" w:sz="4" w:space="0" w:color="FFE691" w:themeColor="accent2" w:themeTint="66"/>
        <w:bottom w:val="single" w:sz="4" w:space="0" w:color="FFE691" w:themeColor="accent2" w:themeTint="66"/>
        <w:right w:val="single" w:sz="4" w:space="0" w:color="FFE691" w:themeColor="accent2" w:themeTint="66"/>
        <w:insideH w:val="single" w:sz="4" w:space="0" w:color="FFE691" w:themeColor="accent2" w:themeTint="66"/>
        <w:insideV w:val="single" w:sz="4" w:space="0" w:color="FFE691" w:themeColor="accent2" w:themeTint="66"/>
      </w:tblBorders>
    </w:tblPr>
    <w:tblStylePr w:type="firstRow">
      <w:rPr>
        <w:b/>
        <w:bCs/>
      </w:rPr>
      <w:tblPr/>
      <w:tcPr>
        <w:tcBorders>
          <w:bottom w:val="single" w:sz="12" w:space="0" w:color="FFDA5A" w:themeColor="accent2" w:themeTint="99"/>
        </w:tcBorders>
      </w:tcPr>
    </w:tblStylePr>
    <w:tblStylePr w:type="lastRow">
      <w:rPr>
        <w:b/>
        <w:bCs/>
      </w:rPr>
      <w:tblPr/>
      <w:tcPr>
        <w:tcBorders>
          <w:top w:val="double" w:sz="2" w:space="0" w:color="FFDA5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C2C6E1" w:themeColor="accent3" w:themeTint="66"/>
        <w:left w:val="single" w:sz="4" w:space="0" w:color="C2C6E1" w:themeColor="accent3" w:themeTint="66"/>
        <w:bottom w:val="single" w:sz="4" w:space="0" w:color="C2C6E1" w:themeColor="accent3" w:themeTint="66"/>
        <w:right w:val="single" w:sz="4" w:space="0" w:color="C2C6E1" w:themeColor="accent3" w:themeTint="66"/>
        <w:insideH w:val="single" w:sz="4" w:space="0" w:color="C2C6E1" w:themeColor="accent3" w:themeTint="66"/>
        <w:insideV w:val="single" w:sz="4" w:space="0" w:color="C2C6E1" w:themeColor="accent3" w:themeTint="66"/>
      </w:tblBorders>
    </w:tblPr>
    <w:tblStylePr w:type="firstRow">
      <w:rPr>
        <w:b/>
        <w:bCs/>
      </w:rPr>
      <w:tblPr/>
      <w:tcPr>
        <w:tcBorders>
          <w:bottom w:val="single" w:sz="12" w:space="0" w:color="A3AAD3" w:themeColor="accent3" w:themeTint="99"/>
        </w:tcBorders>
      </w:tcPr>
    </w:tblStylePr>
    <w:tblStylePr w:type="lastRow">
      <w:rPr>
        <w:b/>
        <w:bCs/>
      </w:rPr>
      <w:tblPr/>
      <w:tcPr>
        <w:tcBorders>
          <w:top w:val="double" w:sz="2" w:space="0" w:color="A3AA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F6FF78" w:themeColor="accent4" w:themeTint="66"/>
        <w:left w:val="single" w:sz="4" w:space="0" w:color="F6FF78" w:themeColor="accent4" w:themeTint="66"/>
        <w:bottom w:val="single" w:sz="4" w:space="0" w:color="F6FF78" w:themeColor="accent4" w:themeTint="66"/>
        <w:right w:val="single" w:sz="4" w:space="0" w:color="F6FF78" w:themeColor="accent4" w:themeTint="66"/>
        <w:insideH w:val="single" w:sz="4" w:space="0" w:color="F6FF78" w:themeColor="accent4" w:themeTint="66"/>
        <w:insideV w:val="single" w:sz="4" w:space="0" w:color="F6FF78" w:themeColor="accent4" w:themeTint="66"/>
      </w:tblBorders>
    </w:tblPr>
    <w:tblStylePr w:type="firstRow">
      <w:rPr>
        <w:b/>
        <w:bCs/>
      </w:rPr>
      <w:tblPr/>
      <w:tcPr>
        <w:tcBorders>
          <w:bottom w:val="single" w:sz="12" w:space="0" w:color="F1FF34" w:themeColor="accent4" w:themeTint="99"/>
        </w:tcBorders>
      </w:tcPr>
    </w:tblStylePr>
    <w:tblStylePr w:type="lastRow">
      <w:rPr>
        <w:b/>
        <w:bCs/>
      </w:rPr>
      <w:tblPr/>
      <w:tcPr>
        <w:tcBorders>
          <w:top w:val="double" w:sz="2" w:space="0" w:color="F1FF3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D0D1D1" w:themeColor="accent5" w:themeTint="66"/>
        <w:left w:val="single" w:sz="4" w:space="0" w:color="D0D1D1" w:themeColor="accent5" w:themeTint="66"/>
        <w:bottom w:val="single" w:sz="4" w:space="0" w:color="D0D1D1" w:themeColor="accent5" w:themeTint="66"/>
        <w:right w:val="single" w:sz="4" w:space="0" w:color="D0D1D1" w:themeColor="accent5" w:themeTint="66"/>
        <w:insideH w:val="single" w:sz="4" w:space="0" w:color="D0D1D1" w:themeColor="accent5" w:themeTint="66"/>
        <w:insideV w:val="single" w:sz="4" w:space="0" w:color="D0D1D1" w:themeColor="accent5" w:themeTint="66"/>
      </w:tblBorders>
    </w:tblPr>
    <w:tblStylePr w:type="firstRow">
      <w:rPr>
        <w:b/>
        <w:bCs/>
      </w:rPr>
      <w:tblPr/>
      <w:tcPr>
        <w:tcBorders>
          <w:bottom w:val="single" w:sz="12" w:space="0" w:color="B9BABB" w:themeColor="accent5" w:themeTint="99"/>
        </w:tcBorders>
      </w:tcPr>
    </w:tblStylePr>
    <w:tblStylePr w:type="lastRow">
      <w:rPr>
        <w:b/>
        <w:bCs/>
      </w:rPr>
      <w:tblPr/>
      <w:tcPr>
        <w:tcBorders>
          <w:top w:val="double" w:sz="2" w:space="0" w:color="B9BA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3012E"/>
    <w:rPr>
      <w:rFonts w:asciiTheme="minorHAnsi" w:hAnsiTheme="minorHAnsi" w:cstheme="minorBidi"/>
      <w:sz w:val="22"/>
      <w:szCs w:val="22"/>
      <w:lang w:eastAsia="zh-CN"/>
    </w:rPr>
    <w:tblPr>
      <w:tblStyleRowBandSize w:val="1"/>
      <w:tblStyleColBandSize w:val="1"/>
      <w:tblBorders>
        <w:top w:val="single" w:sz="4" w:space="0" w:color="B1B2B5" w:themeColor="accent6" w:themeTint="66"/>
        <w:left w:val="single" w:sz="4" w:space="0" w:color="B1B2B5" w:themeColor="accent6" w:themeTint="66"/>
        <w:bottom w:val="single" w:sz="4" w:space="0" w:color="B1B2B5" w:themeColor="accent6" w:themeTint="66"/>
        <w:right w:val="single" w:sz="4" w:space="0" w:color="B1B2B5" w:themeColor="accent6" w:themeTint="66"/>
        <w:insideH w:val="single" w:sz="4" w:space="0" w:color="B1B2B5" w:themeColor="accent6" w:themeTint="66"/>
        <w:insideV w:val="single" w:sz="4" w:space="0" w:color="B1B2B5" w:themeColor="accent6" w:themeTint="66"/>
      </w:tblBorders>
    </w:tblPr>
    <w:tblStylePr w:type="firstRow">
      <w:rPr>
        <w:b/>
        <w:bCs/>
      </w:rPr>
      <w:tblPr/>
      <w:tcPr>
        <w:tcBorders>
          <w:bottom w:val="single" w:sz="12" w:space="0" w:color="8A8C8F" w:themeColor="accent6" w:themeTint="99"/>
        </w:tcBorders>
      </w:tcPr>
    </w:tblStylePr>
    <w:tblStylePr w:type="lastRow">
      <w:rPr>
        <w:b/>
        <w:bCs/>
      </w:rPr>
      <w:tblPr/>
      <w:tcPr>
        <w:tcBorders>
          <w:top w:val="double" w:sz="2" w:space="0" w:color="8A8C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8A8C8F" w:themeColor="text1" w:themeTint="99"/>
        <w:bottom w:val="single" w:sz="2" w:space="0" w:color="8A8C8F" w:themeColor="text1" w:themeTint="99"/>
        <w:insideH w:val="single" w:sz="2" w:space="0" w:color="8A8C8F" w:themeColor="text1" w:themeTint="99"/>
        <w:insideV w:val="single" w:sz="2" w:space="0" w:color="8A8C8F" w:themeColor="text1" w:themeTint="99"/>
      </w:tblBorders>
    </w:tblPr>
    <w:tblStylePr w:type="firstRow">
      <w:rPr>
        <w:b/>
        <w:bCs/>
      </w:rPr>
      <w:tblPr/>
      <w:tcPr>
        <w:tcBorders>
          <w:top w:val="nil"/>
          <w:bottom w:val="single" w:sz="12" w:space="0" w:color="8A8C8F" w:themeColor="text1" w:themeTint="99"/>
          <w:insideH w:val="nil"/>
          <w:insideV w:val="nil"/>
        </w:tcBorders>
        <w:shd w:val="clear" w:color="auto" w:fill="FFFFFF" w:themeFill="background1"/>
      </w:tcPr>
    </w:tblStylePr>
    <w:tblStylePr w:type="lastRow">
      <w:rPr>
        <w:b/>
        <w:bCs/>
      </w:rPr>
      <w:tblPr/>
      <w:tcPr>
        <w:tcBorders>
          <w:top w:val="double" w:sz="2" w:space="0" w:color="8A8C8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GridTable2-Accent1">
    <w:name w:val="Grid Table 2 Accent 1"/>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E6586F" w:themeColor="accent1" w:themeTint="99"/>
        <w:bottom w:val="single" w:sz="2" w:space="0" w:color="E6586F" w:themeColor="accent1" w:themeTint="99"/>
        <w:insideH w:val="single" w:sz="2" w:space="0" w:color="E6586F" w:themeColor="accent1" w:themeTint="99"/>
        <w:insideV w:val="single" w:sz="2" w:space="0" w:color="E6586F" w:themeColor="accent1" w:themeTint="99"/>
      </w:tblBorders>
    </w:tblPr>
    <w:tblStylePr w:type="firstRow">
      <w:rPr>
        <w:b/>
        <w:bCs/>
      </w:rPr>
      <w:tblPr/>
      <w:tcPr>
        <w:tcBorders>
          <w:top w:val="nil"/>
          <w:bottom w:val="single" w:sz="12" w:space="0" w:color="E6586F" w:themeColor="accent1" w:themeTint="99"/>
          <w:insideH w:val="nil"/>
          <w:insideV w:val="nil"/>
        </w:tcBorders>
        <w:shd w:val="clear" w:color="auto" w:fill="FFFFFF" w:themeFill="background1"/>
      </w:tcPr>
    </w:tblStylePr>
    <w:tblStylePr w:type="lastRow">
      <w:rPr>
        <w:b/>
        <w:bCs/>
      </w:rPr>
      <w:tblPr/>
      <w:tcPr>
        <w:tcBorders>
          <w:top w:val="double" w:sz="2" w:space="0" w:color="E6586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GridTable2-Accent2">
    <w:name w:val="Grid Table 2 Accent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FFDA5A" w:themeColor="accent2" w:themeTint="99"/>
        <w:bottom w:val="single" w:sz="2" w:space="0" w:color="FFDA5A" w:themeColor="accent2" w:themeTint="99"/>
        <w:insideH w:val="single" w:sz="2" w:space="0" w:color="FFDA5A" w:themeColor="accent2" w:themeTint="99"/>
        <w:insideV w:val="single" w:sz="2" w:space="0" w:color="FFDA5A" w:themeColor="accent2" w:themeTint="99"/>
      </w:tblBorders>
    </w:tblPr>
    <w:tblStylePr w:type="firstRow">
      <w:rPr>
        <w:b/>
        <w:bCs/>
      </w:rPr>
      <w:tblPr/>
      <w:tcPr>
        <w:tcBorders>
          <w:top w:val="nil"/>
          <w:bottom w:val="single" w:sz="12" w:space="0" w:color="FFDA5A" w:themeColor="accent2" w:themeTint="99"/>
          <w:insideH w:val="nil"/>
          <w:insideV w:val="nil"/>
        </w:tcBorders>
        <w:shd w:val="clear" w:color="auto" w:fill="FFFFFF" w:themeFill="background1"/>
      </w:tcPr>
    </w:tblStylePr>
    <w:tblStylePr w:type="lastRow">
      <w:rPr>
        <w:b/>
        <w:bCs/>
      </w:rPr>
      <w:tblPr/>
      <w:tcPr>
        <w:tcBorders>
          <w:top w:val="double" w:sz="2" w:space="0" w:color="FFDA5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GridTable2-Accent3">
    <w:name w:val="Grid Table 2 Accent 3"/>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A3AAD3" w:themeColor="accent3" w:themeTint="99"/>
        <w:bottom w:val="single" w:sz="2" w:space="0" w:color="A3AAD3" w:themeColor="accent3" w:themeTint="99"/>
        <w:insideH w:val="single" w:sz="2" w:space="0" w:color="A3AAD3" w:themeColor="accent3" w:themeTint="99"/>
        <w:insideV w:val="single" w:sz="2" w:space="0" w:color="A3AAD3" w:themeColor="accent3" w:themeTint="99"/>
      </w:tblBorders>
    </w:tblPr>
    <w:tblStylePr w:type="firstRow">
      <w:rPr>
        <w:b/>
        <w:bCs/>
      </w:rPr>
      <w:tblPr/>
      <w:tcPr>
        <w:tcBorders>
          <w:top w:val="nil"/>
          <w:bottom w:val="single" w:sz="12" w:space="0" w:color="A3AAD3" w:themeColor="accent3" w:themeTint="99"/>
          <w:insideH w:val="nil"/>
          <w:insideV w:val="nil"/>
        </w:tcBorders>
        <w:shd w:val="clear" w:color="auto" w:fill="FFFFFF" w:themeFill="background1"/>
      </w:tcPr>
    </w:tblStylePr>
    <w:tblStylePr w:type="lastRow">
      <w:rPr>
        <w:b/>
        <w:bCs/>
      </w:rPr>
      <w:tblPr/>
      <w:tcPr>
        <w:tcBorders>
          <w:top w:val="double" w:sz="2" w:space="0" w:color="A3AA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GridTable2-Accent4">
    <w:name w:val="Grid Table 2 Accent 4"/>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F1FF34" w:themeColor="accent4" w:themeTint="99"/>
        <w:bottom w:val="single" w:sz="2" w:space="0" w:color="F1FF34" w:themeColor="accent4" w:themeTint="99"/>
        <w:insideH w:val="single" w:sz="2" w:space="0" w:color="F1FF34" w:themeColor="accent4" w:themeTint="99"/>
        <w:insideV w:val="single" w:sz="2" w:space="0" w:color="F1FF34" w:themeColor="accent4" w:themeTint="99"/>
      </w:tblBorders>
    </w:tblPr>
    <w:tblStylePr w:type="firstRow">
      <w:rPr>
        <w:b/>
        <w:bCs/>
      </w:rPr>
      <w:tblPr/>
      <w:tcPr>
        <w:tcBorders>
          <w:top w:val="nil"/>
          <w:bottom w:val="single" w:sz="12" w:space="0" w:color="F1FF34" w:themeColor="accent4" w:themeTint="99"/>
          <w:insideH w:val="nil"/>
          <w:insideV w:val="nil"/>
        </w:tcBorders>
        <w:shd w:val="clear" w:color="auto" w:fill="FFFFFF" w:themeFill="background1"/>
      </w:tcPr>
    </w:tblStylePr>
    <w:tblStylePr w:type="lastRow">
      <w:rPr>
        <w:b/>
        <w:bCs/>
      </w:rPr>
      <w:tblPr/>
      <w:tcPr>
        <w:tcBorders>
          <w:top w:val="double" w:sz="2" w:space="0" w:color="F1FF3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GridTable2-Accent5">
    <w:name w:val="Grid Table 2 Accent 5"/>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B9BABB" w:themeColor="accent5" w:themeTint="99"/>
        <w:bottom w:val="single" w:sz="2" w:space="0" w:color="B9BABB" w:themeColor="accent5" w:themeTint="99"/>
        <w:insideH w:val="single" w:sz="2" w:space="0" w:color="B9BABB" w:themeColor="accent5" w:themeTint="99"/>
        <w:insideV w:val="single" w:sz="2" w:space="0" w:color="B9BABB" w:themeColor="accent5" w:themeTint="99"/>
      </w:tblBorders>
    </w:tblPr>
    <w:tblStylePr w:type="firstRow">
      <w:rPr>
        <w:b/>
        <w:bCs/>
      </w:rPr>
      <w:tblPr/>
      <w:tcPr>
        <w:tcBorders>
          <w:top w:val="nil"/>
          <w:bottom w:val="single" w:sz="12" w:space="0" w:color="B9BABB" w:themeColor="accent5" w:themeTint="99"/>
          <w:insideH w:val="nil"/>
          <w:insideV w:val="nil"/>
        </w:tcBorders>
        <w:shd w:val="clear" w:color="auto" w:fill="FFFFFF" w:themeFill="background1"/>
      </w:tcPr>
    </w:tblStylePr>
    <w:tblStylePr w:type="lastRow">
      <w:rPr>
        <w:b/>
        <w:bCs/>
      </w:rPr>
      <w:tblPr/>
      <w:tcPr>
        <w:tcBorders>
          <w:top w:val="double" w:sz="2" w:space="0" w:color="B9BA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GridTable2-Accent6">
    <w:name w:val="Grid Table 2 Accent 6"/>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2" w:space="0" w:color="8A8C8F" w:themeColor="accent6" w:themeTint="99"/>
        <w:bottom w:val="single" w:sz="2" w:space="0" w:color="8A8C8F" w:themeColor="accent6" w:themeTint="99"/>
        <w:insideH w:val="single" w:sz="2" w:space="0" w:color="8A8C8F" w:themeColor="accent6" w:themeTint="99"/>
        <w:insideV w:val="single" w:sz="2" w:space="0" w:color="8A8C8F" w:themeColor="accent6" w:themeTint="99"/>
      </w:tblBorders>
    </w:tblPr>
    <w:tblStylePr w:type="firstRow">
      <w:rPr>
        <w:b/>
        <w:bCs/>
      </w:rPr>
      <w:tblPr/>
      <w:tcPr>
        <w:tcBorders>
          <w:top w:val="nil"/>
          <w:bottom w:val="single" w:sz="12" w:space="0" w:color="8A8C8F" w:themeColor="accent6" w:themeTint="99"/>
          <w:insideH w:val="nil"/>
          <w:insideV w:val="nil"/>
        </w:tcBorders>
        <w:shd w:val="clear" w:color="auto" w:fill="FFFFFF" w:themeFill="background1"/>
      </w:tcPr>
    </w:tblStylePr>
    <w:tblStylePr w:type="lastRow">
      <w:rPr>
        <w:b/>
        <w:bCs/>
      </w:rPr>
      <w:tblPr/>
      <w:tcPr>
        <w:tcBorders>
          <w:top w:val="double" w:sz="2" w:space="0" w:color="8A8C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GridTable3">
    <w:name w:val="Grid Table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text1" w:themeFillTint="33"/>
      </w:tcPr>
    </w:tblStylePr>
    <w:tblStylePr w:type="band1Horz">
      <w:tblPr/>
      <w:tcPr>
        <w:shd w:val="clear" w:color="auto" w:fill="D8D8DA" w:themeFill="text1" w:themeFillTint="33"/>
      </w:tcPr>
    </w:tblStylePr>
    <w:tblStylePr w:type="neCell">
      <w:tblPr/>
      <w:tcPr>
        <w:tcBorders>
          <w:bottom w:val="single" w:sz="4" w:space="0" w:color="8A8C8F" w:themeColor="text1" w:themeTint="99"/>
        </w:tcBorders>
      </w:tcPr>
    </w:tblStylePr>
    <w:tblStylePr w:type="nwCell">
      <w:tblPr/>
      <w:tcPr>
        <w:tcBorders>
          <w:bottom w:val="single" w:sz="4" w:space="0" w:color="8A8C8F" w:themeColor="text1" w:themeTint="99"/>
        </w:tcBorders>
      </w:tcPr>
    </w:tblStylePr>
    <w:tblStylePr w:type="seCell">
      <w:tblPr/>
      <w:tcPr>
        <w:tcBorders>
          <w:top w:val="single" w:sz="4" w:space="0" w:color="8A8C8F" w:themeColor="text1" w:themeTint="99"/>
        </w:tcBorders>
      </w:tcPr>
    </w:tblStylePr>
    <w:tblStylePr w:type="swCell">
      <w:tblPr/>
      <w:tcPr>
        <w:tcBorders>
          <w:top w:val="single" w:sz="4" w:space="0" w:color="8A8C8F" w:themeColor="text1" w:themeTint="99"/>
        </w:tcBorders>
      </w:tcPr>
    </w:tblStylePr>
  </w:style>
  <w:style w:type="table" w:styleId="GridTable3-Accent1">
    <w:name w:val="Grid Table 3 Accent 1"/>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F" w:themeFill="accent1" w:themeFillTint="33"/>
      </w:tcPr>
    </w:tblStylePr>
    <w:tblStylePr w:type="band1Horz">
      <w:tblPr/>
      <w:tcPr>
        <w:shd w:val="clear" w:color="auto" w:fill="F6C7CF" w:themeFill="accent1" w:themeFillTint="33"/>
      </w:tcPr>
    </w:tblStylePr>
    <w:tblStylePr w:type="neCell">
      <w:tblPr/>
      <w:tcPr>
        <w:tcBorders>
          <w:bottom w:val="single" w:sz="4" w:space="0" w:color="E6586F" w:themeColor="accent1" w:themeTint="99"/>
        </w:tcBorders>
      </w:tcPr>
    </w:tblStylePr>
    <w:tblStylePr w:type="nwCell">
      <w:tblPr/>
      <w:tcPr>
        <w:tcBorders>
          <w:bottom w:val="single" w:sz="4" w:space="0" w:color="E6586F" w:themeColor="accent1" w:themeTint="99"/>
        </w:tcBorders>
      </w:tcPr>
    </w:tblStylePr>
    <w:tblStylePr w:type="seCell">
      <w:tblPr/>
      <w:tcPr>
        <w:tcBorders>
          <w:top w:val="single" w:sz="4" w:space="0" w:color="E6586F" w:themeColor="accent1" w:themeTint="99"/>
        </w:tcBorders>
      </w:tcPr>
    </w:tblStylePr>
    <w:tblStylePr w:type="swCell">
      <w:tblPr/>
      <w:tcPr>
        <w:tcBorders>
          <w:top w:val="single" w:sz="4" w:space="0" w:color="E6586F" w:themeColor="accent1" w:themeTint="99"/>
        </w:tcBorders>
      </w:tcPr>
    </w:tblStylePr>
  </w:style>
  <w:style w:type="table" w:styleId="GridTable3-Accent2">
    <w:name w:val="Grid Table 3 Accent 2"/>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8" w:themeFill="accent2" w:themeFillTint="33"/>
      </w:tcPr>
    </w:tblStylePr>
    <w:tblStylePr w:type="band1Horz">
      <w:tblPr/>
      <w:tcPr>
        <w:shd w:val="clear" w:color="auto" w:fill="FFF2C8" w:themeFill="accent2" w:themeFillTint="33"/>
      </w:tcPr>
    </w:tblStylePr>
    <w:tblStylePr w:type="neCell">
      <w:tblPr/>
      <w:tcPr>
        <w:tcBorders>
          <w:bottom w:val="single" w:sz="4" w:space="0" w:color="FFDA5A" w:themeColor="accent2" w:themeTint="99"/>
        </w:tcBorders>
      </w:tcPr>
    </w:tblStylePr>
    <w:tblStylePr w:type="nwCell">
      <w:tblPr/>
      <w:tcPr>
        <w:tcBorders>
          <w:bottom w:val="single" w:sz="4" w:space="0" w:color="FFDA5A" w:themeColor="accent2" w:themeTint="99"/>
        </w:tcBorders>
      </w:tcPr>
    </w:tblStylePr>
    <w:tblStylePr w:type="seCell">
      <w:tblPr/>
      <w:tcPr>
        <w:tcBorders>
          <w:top w:val="single" w:sz="4" w:space="0" w:color="FFDA5A" w:themeColor="accent2" w:themeTint="99"/>
        </w:tcBorders>
      </w:tcPr>
    </w:tblStylePr>
    <w:tblStylePr w:type="swCell">
      <w:tblPr/>
      <w:tcPr>
        <w:tcBorders>
          <w:top w:val="single" w:sz="4" w:space="0" w:color="FFDA5A" w:themeColor="accent2" w:themeTint="99"/>
        </w:tcBorders>
      </w:tcPr>
    </w:tblStylePr>
  </w:style>
  <w:style w:type="table" w:styleId="GridTable3-Accent3">
    <w:name w:val="Grid Table 3 Accent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2F0" w:themeFill="accent3" w:themeFillTint="33"/>
      </w:tcPr>
    </w:tblStylePr>
    <w:tblStylePr w:type="band1Horz">
      <w:tblPr/>
      <w:tcPr>
        <w:shd w:val="clear" w:color="auto" w:fill="E0E2F0" w:themeFill="accent3" w:themeFillTint="33"/>
      </w:tcPr>
    </w:tblStylePr>
    <w:tblStylePr w:type="neCell">
      <w:tblPr/>
      <w:tcPr>
        <w:tcBorders>
          <w:bottom w:val="single" w:sz="4" w:space="0" w:color="A3AAD3" w:themeColor="accent3" w:themeTint="99"/>
        </w:tcBorders>
      </w:tcPr>
    </w:tblStylePr>
    <w:tblStylePr w:type="nwCell">
      <w:tblPr/>
      <w:tcPr>
        <w:tcBorders>
          <w:bottom w:val="single" w:sz="4" w:space="0" w:color="A3AAD3" w:themeColor="accent3" w:themeTint="99"/>
        </w:tcBorders>
      </w:tcPr>
    </w:tblStylePr>
    <w:tblStylePr w:type="seCell">
      <w:tblPr/>
      <w:tcPr>
        <w:tcBorders>
          <w:top w:val="single" w:sz="4" w:space="0" w:color="A3AAD3" w:themeColor="accent3" w:themeTint="99"/>
        </w:tcBorders>
      </w:tcPr>
    </w:tblStylePr>
    <w:tblStylePr w:type="swCell">
      <w:tblPr/>
      <w:tcPr>
        <w:tcBorders>
          <w:top w:val="single" w:sz="4" w:space="0" w:color="A3AAD3" w:themeColor="accent3" w:themeTint="99"/>
        </w:tcBorders>
      </w:tcPr>
    </w:tblStylePr>
  </w:style>
  <w:style w:type="table" w:styleId="GridTable3-Accent4">
    <w:name w:val="Grid Table 3 Accent 4"/>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BB" w:themeFill="accent4" w:themeFillTint="33"/>
      </w:tcPr>
    </w:tblStylePr>
    <w:tblStylePr w:type="band1Horz">
      <w:tblPr/>
      <w:tcPr>
        <w:shd w:val="clear" w:color="auto" w:fill="FAFFBB" w:themeFill="accent4" w:themeFillTint="33"/>
      </w:tcPr>
    </w:tblStylePr>
    <w:tblStylePr w:type="neCell">
      <w:tblPr/>
      <w:tcPr>
        <w:tcBorders>
          <w:bottom w:val="single" w:sz="4" w:space="0" w:color="F1FF34" w:themeColor="accent4" w:themeTint="99"/>
        </w:tcBorders>
      </w:tcPr>
    </w:tblStylePr>
    <w:tblStylePr w:type="nwCell">
      <w:tblPr/>
      <w:tcPr>
        <w:tcBorders>
          <w:bottom w:val="single" w:sz="4" w:space="0" w:color="F1FF34" w:themeColor="accent4" w:themeTint="99"/>
        </w:tcBorders>
      </w:tcPr>
    </w:tblStylePr>
    <w:tblStylePr w:type="seCell">
      <w:tblPr/>
      <w:tcPr>
        <w:tcBorders>
          <w:top w:val="single" w:sz="4" w:space="0" w:color="F1FF34" w:themeColor="accent4" w:themeTint="99"/>
        </w:tcBorders>
      </w:tcPr>
    </w:tblStylePr>
    <w:tblStylePr w:type="swCell">
      <w:tblPr/>
      <w:tcPr>
        <w:tcBorders>
          <w:top w:val="single" w:sz="4" w:space="0" w:color="F1FF34" w:themeColor="accent4" w:themeTint="99"/>
        </w:tcBorders>
      </w:tcPr>
    </w:tblStylePr>
  </w:style>
  <w:style w:type="table" w:styleId="GridTable3-Accent5">
    <w:name w:val="Grid Table 3 Accent 5"/>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8E8" w:themeFill="accent5" w:themeFillTint="33"/>
      </w:tcPr>
    </w:tblStylePr>
    <w:tblStylePr w:type="band1Horz">
      <w:tblPr/>
      <w:tcPr>
        <w:shd w:val="clear" w:color="auto" w:fill="E7E8E8" w:themeFill="accent5" w:themeFillTint="33"/>
      </w:tcPr>
    </w:tblStylePr>
    <w:tblStylePr w:type="neCell">
      <w:tblPr/>
      <w:tcPr>
        <w:tcBorders>
          <w:bottom w:val="single" w:sz="4" w:space="0" w:color="B9BABB" w:themeColor="accent5" w:themeTint="99"/>
        </w:tcBorders>
      </w:tcPr>
    </w:tblStylePr>
    <w:tblStylePr w:type="nwCell">
      <w:tblPr/>
      <w:tcPr>
        <w:tcBorders>
          <w:bottom w:val="single" w:sz="4" w:space="0" w:color="B9BABB" w:themeColor="accent5" w:themeTint="99"/>
        </w:tcBorders>
      </w:tcPr>
    </w:tblStylePr>
    <w:tblStylePr w:type="seCell">
      <w:tblPr/>
      <w:tcPr>
        <w:tcBorders>
          <w:top w:val="single" w:sz="4" w:space="0" w:color="B9BABB" w:themeColor="accent5" w:themeTint="99"/>
        </w:tcBorders>
      </w:tcPr>
    </w:tblStylePr>
    <w:tblStylePr w:type="swCell">
      <w:tblPr/>
      <w:tcPr>
        <w:tcBorders>
          <w:top w:val="single" w:sz="4" w:space="0" w:color="B9BABB" w:themeColor="accent5" w:themeTint="99"/>
        </w:tcBorders>
      </w:tcPr>
    </w:tblStylePr>
  </w:style>
  <w:style w:type="table" w:styleId="GridTable3-Accent6">
    <w:name w:val="Grid Table 3 Accent 6"/>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accent6" w:themeFillTint="33"/>
      </w:tcPr>
    </w:tblStylePr>
    <w:tblStylePr w:type="band1Horz">
      <w:tblPr/>
      <w:tcPr>
        <w:shd w:val="clear" w:color="auto" w:fill="D8D8DA" w:themeFill="accent6" w:themeFillTint="33"/>
      </w:tcPr>
    </w:tblStylePr>
    <w:tblStylePr w:type="neCell">
      <w:tblPr/>
      <w:tcPr>
        <w:tcBorders>
          <w:bottom w:val="single" w:sz="4" w:space="0" w:color="8A8C8F" w:themeColor="accent6" w:themeTint="99"/>
        </w:tcBorders>
      </w:tcPr>
    </w:tblStylePr>
    <w:tblStylePr w:type="nwCell">
      <w:tblPr/>
      <w:tcPr>
        <w:tcBorders>
          <w:bottom w:val="single" w:sz="4" w:space="0" w:color="8A8C8F" w:themeColor="accent6" w:themeTint="99"/>
        </w:tcBorders>
      </w:tcPr>
    </w:tblStylePr>
    <w:tblStylePr w:type="seCell">
      <w:tblPr/>
      <w:tcPr>
        <w:tcBorders>
          <w:top w:val="single" w:sz="4" w:space="0" w:color="8A8C8F" w:themeColor="accent6" w:themeTint="99"/>
        </w:tcBorders>
      </w:tcPr>
    </w:tblStylePr>
    <w:tblStylePr w:type="swCell">
      <w:tblPr/>
      <w:tcPr>
        <w:tcBorders>
          <w:top w:val="single" w:sz="4" w:space="0" w:color="8A8C8F" w:themeColor="accent6" w:themeTint="99"/>
        </w:tcBorders>
      </w:tcPr>
    </w:tblStylePr>
  </w:style>
  <w:style w:type="table" w:styleId="GridTable4">
    <w:name w:val="Grid Table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color w:val="FFFFFF" w:themeColor="background1"/>
      </w:rPr>
      <w:tblPr/>
      <w:tcPr>
        <w:tcBorders>
          <w:top w:val="single" w:sz="4" w:space="0" w:color="404143" w:themeColor="text1"/>
          <w:left w:val="single" w:sz="4" w:space="0" w:color="404143" w:themeColor="text1"/>
          <w:bottom w:val="single" w:sz="4" w:space="0" w:color="404143" w:themeColor="text1"/>
          <w:right w:val="single" w:sz="4" w:space="0" w:color="404143" w:themeColor="text1"/>
          <w:insideH w:val="nil"/>
          <w:insideV w:val="nil"/>
        </w:tcBorders>
        <w:shd w:val="clear" w:color="auto" w:fill="404143" w:themeFill="text1"/>
      </w:tcPr>
    </w:tblStylePr>
    <w:tblStylePr w:type="lastRow">
      <w:rPr>
        <w:b/>
        <w:bCs/>
      </w:rPr>
      <w:tblPr/>
      <w:tcPr>
        <w:tcBorders>
          <w:top w:val="double" w:sz="4" w:space="0" w:color="404143" w:themeColor="text1"/>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GridTable4-Accent1">
    <w:name w:val="Grid Table 4 Accent 1"/>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color w:val="FFFFFF" w:themeColor="background1"/>
      </w:rPr>
      <w:tblPr/>
      <w:tcPr>
        <w:tcBorders>
          <w:top w:val="single" w:sz="4" w:space="0" w:color="A71930" w:themeColor="accent1"/>
          <w:left w:val="single" w:sz="4" w:space="0" w:color="A71930" w:themeColor="accent1"/>
          <w:bottom w:val="single" w:sz="4" w:space="0" w:color="A71930" w:themeColor="accent1"/>
          <w:right w:val="single" w:sz="4" w:space="0" w:color="A71930" w:themeColor="accent1"/>
          <w:insideH w:val="nil"/>
          <w:insideV w:val="nil"/>
        </w:tcBorders>
        <w:shd w:val="clear" w:color="auto" w:fill="A71930" w:themeFill="accent1"/>
      </w:tcPr>
    </w:tblStylePr>
    <w:tblStylePr w:type="lastRow">
      <w:rPr>
        <w:b/>
        <w:bCs/>
      </w:rPr>
      <w:tblPr/>
      <w:tcPr>
        <w:tcBorders>
          <w:top w:val="double" w:sz="4" w:space="0" w:color="A71930" w:themeColor="accent1"/>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GridTable4-Accent2">
    <w:name w:val="Grid Table 4 Accent 2"/>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color w:val="FFFFFF" w:themeColor="background1"/>
      </w:rPr>
      <w:tblPr/>
      <w:tcPr>
        <w:tcBorders>
          <w:top w:val="single" w:sz="4" w:space="0" w:color="EBB700" w:themeColor="accent2"/>
          <w:left w:val="single" w:sz="4" w:space="0" w:color="EBB700" w:themeColor="accent2"/>
          <w:bottom w:val="single" w:sz="4" w:space="0" w:color="EBB700" w:themeColor="accent2"/>
          <w:right w:val="single" w:sz="4" w:space="0" w:color="EBB700" w:themeColor="accent2"/>
          <w:insideH w:val="nil"/>
          <w:insideV w:val="nil"/>
        </w:tcBorders>
        <w:shd w:val="clear" w:color="auto" w:fill="EBB700" w:themeFill="accent2"/>
      </w:tcPr>
    </w:tblStylePr>
    <w:tblStylePr w:type="lastRow">
      <w:rPr>
        <w:b/>
        <w:bCs/>
      </w:rPr>
      <w:tblPr/>
      <w:tcPr>
        <w:tcBorders>
          <w:top w:val="double" w:sz="4" w:space="0" w:color="EBB700" w:themeColor="accent2"/>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GridTable4-Accent3">
    <w:name w:val="Grid Table 4 Accent 3"/>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color w:val="FFFFFF" w:themeColor="background1"/>
      </w:rPr>
      <w:tblPr/>
      <w:tcPr>
        <w:tcBorders>
          <w:top w:val="single" w:sz="4" w:space="0" w:color="6773B6" w:themeColor="accent3"/>
          <w:left w:val="single" w:sz="4" w:space="0" w:color="6773B6" w:themeColor="accent3"/>
          <w:bottom w:val="single" w:sz="4" w:space="0" w:color="6773B6" w:themeColor="accent3"/>
          <w:right w:val="single" w:sz="4" w:space="0" w:color="6773B6" w:themeColor="accent3"/>
          <w:insideH w:val="nil"/>
          <w:insideV w:val="nil"/>
        </w:tcBorders>
        <w:shd w:val="clear" w:color="auto" w:fill="6773B6" w:themeFill="accent3"/>
      </w:tcPr>
    </w:tblStylePr>
    <w:tblStylePr w:type="lastRow">
      <w:rPr>
        <w:b/>
        <w:bCs/>
      </w:rPr>
      <w:tblPr/>
      <w:tcPr>
        <w:tcBorders>
          <w:top w:val="double" w:sz="4" w:space="0" w:color="6773B6" w:themeColor="accent3"/>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GridTable4-Accent4">
    <w:name w:val="Grid Table 4 Accent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color w:val="FFFFFF" w:themeColor="background1"/>
      </w:rPr>
      <w:tblPr/>
      <w:tcPr>
        <w:tcBorders>
          <w:top w:val="single" w:sz="4" w:space="0" w:color="A2AD00" w:themeColor="accent4"/>
          <w:left w:val="single" w:sz="4" w:space="0" w:color="A2AD00" w:themeColor="accent4"/>
          <w:bottom w:val="single" w:sz="4" w:space="0" w:color="A2AD00" w:themeColor="accent4"/>
          <w:right w:val="single" w:sz="4" w:space="0" w:color="A2AD00" w:themeColor="accent4"/>
          <w:insideH w:val="nil"/>
          <w:insideV w:val="nil"/>
        </w:tcBorders>
        <w:shd w:val="clear" w:color="auto" w:fill="A2AD00" w:themeFill="accent4"/>
      </w:tcPr>
    </w:tblStylePr>
    <w:tblStylePr w:type="lastRow">
      <w:rPr>
        <w:b/>
        <w:bCs/>
      </w:rPr>
      <w:tblPr/>
      <w:tcPr>
        <w:tcBorders>
          <w:top w:val="double" w:sz="4" w:space="0" w:color="A2AD00" w:themeColor="accent4"/>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GridTable4-Accent5">
    <w:name w:val="Grid Table 4 Accent 5"/>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color w:val="FFFFFF" w:themeColor="background1"/>
      </w:rPr>
      <w:tblPr/>
      <w:tcPr>
        <w:tcBorders>
          <w:top w:val="single" w:sz="4" w:space="0" w:color="8B8D8E" w:themeColor="accent5"/>
          <w:left w:val="single" w:sz="4" w:space="0" w:color="8B8D8E" w:themeColor="accent5"/>
          <w:bottom w:val="single" w:sz="4" w:space="0" w:color="8B8D8E" w:themeColor="accent5"/>
          <w:right w:val="single" w:sz="4" w:space="0" w:color="8B8D8E" w:themeColor="accent5"/>
          <w:insideH w:val="nil"/>
          <w:insideV w:val="nil"/>
        </w:tcBorders>
        <w:shd w:val="clear" w:color="auto" w:fill="8B8D8E" w:themeFill="accent5"/>
      </w:tcPr>
    </w:tblStylePr>
    <w:tblStylePr w:type="lastRow">
      <w:rPr>
        <w:b/>
        <w:bCs/>
      </w:rPr>
      <w:tblPr/>
      <w:tcPr>
        <w:tcBorders>
          <w:top w:val="double" w:sz="4" w:space="0" w:color="8B8D8E" w:themeColor="accent5"/>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GridTable4-Accent6">
    <w:name w:val="Grid Table 4 Accent 6"/>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color w:val="FFFFFF" w:themeColor="background1"/>
      </w:rPr>
      <w:tblPr/>
      <w:tcPr>
        <w:tcBorders>
          <w:top w:val="single" w:sz="4" w:space="0" w:color="404143" w:themeColor="accent6"/>
          <w:left w:val="single" w:sz="4" w:space="0" w:color="404143" w:themeColor="accent6"/>
          <w:bottom w:val="single" w:sz="4" w:space="0" w:color="404143" w:themeColor="accent6"/>
          <w:right w:val="single" w:sz="4" w:space="0" w:color="404143" w:themeColor="accent6"/>
          <w:insideH w:val="nil"/>
          <w:insideV w:val="nil"/>
        </w:tcBorders>
        <w:shd w:val="clear" w:color="auto" w:fill="404143" w:themeFill="accent6"/>
      </w:tcPr>
    </w:tblStylePr>
    <w:tblStylePr w:type="lastRow">
      <w:rPr>
        <w:b/>
        <w:bCs/>
      </w:rPr>
      <w:tblPr/>
      <w:tcPr>
        <w:tcBorders>
          <w:top w:val="double" w:sz="4" w:space="0" w:color="404143" w:themeColor="accent6"/>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GridTable5Dark">
    <w:name w:val="Grid Table 5 Dark"/>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14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14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14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143" w:themeFill="text1"/>
      </w:tcPr>
    </w:tblStylePr>
    <w:tblStylePr w:type="band1Vert">
      <w:tblPr/>
      <w:tcPr>
        <w:shd w:val="clear" w:color="auto" w:fill="B1B2B5" w:themeFill="text1" w:themeFillTint="66"/>
      </w:tcPr>
    </w:tblStylePr>
    <w:tblStylePr w:type="band1Horz">
      <w:tblPr/>
      <w:tcPr>
        <w:shd w:val="clear" w:color="auto" w:fill="B1B2B5" w:themeFill="text1" w:themeFillTint="66"/>
      </w:tcPr>
    </w:tblStylePr>
  </w:style>
  <w:style w:type="table" w:styleId="GridTable5Dark-Accent1">
    <w:name w:val="Grid Table 5 Dark Accent 1"/>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193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193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193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1930" w:themeFill="accent1"/>
      </w:tcPr>
    </w:tblStylePr>
    <w:tblStylePr w:type="band1Vert">
      <w:tblPr/>
      <w:tcPr>
        <w:shd w:val="clear" w:color="auto" w:fill="EE909F" w:themeFill="accent1" w:themeFillTint="66"/>
      </w:tcPr>
    </w:tblStylePr>
    <w:tblStylePr w:type="band1Horz">
      <w:tblPr/>
      <w:tcPr>
        <w:shd w:val="clear" w:color="auto" w:fill="EE909F" w:themeFill="accent1" w:themeFillTint="66"/>
      </w:tcPr>
    </w:tblStylePr>
  </w:style>
  <w:style w:type="table" w:styleId="GridTable5Dark-Accent2">
    <w:name w:val="Grid Table 5 Dark Accent 2"/>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B7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B7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B7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B700" w:themeFill="accent2"/>
      </w:tcPr>
    </w:tblStylePr>
    <w:tblStylePr w:type="band1Vert">
      <w:tblPr/>
      <w:tcPr>
        <w:shd w:val="clear" w:color="auto" w:fill="FFE691" w:themeFill="accent2" w:themeFillTint="66"/>
      </w:tcPr>
    </w:tblStylePr>
    <w:tblStylePr w:type="band1Horz">
      <w:tblPr/>
      <w:tcPr>
        <w:shd w:val="clear" w:color="auto" w:fill="FFE691" w:themeFill="accent2" w:themeFillTint="66"/>
      </w:tcPr>
    </w:tblStylePr>
  </w:style>
  <w:style w:type="table" w:styleId="GridTable5Dark-Accent3">
    <w:name w:val="Grid Table 5 Dark Accent 3"/>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2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773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773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773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773B6" w:themeFill="accent3"/>
      </w:tcPr>
    </w:tblStylePr>
    <w:tblStylePr w:type="band1Vert">
      <w:tblPr/>
      <w:tcPr>
        <w:shd w:val="clear" w:color="auto" w:fill="C2C6E1" w:themeFill="accent3" w:themeFillTint="66"/>
      </w:tcPr>
    </w:tblStylePr>
    <w:tblStylePr w:type="band1Horz">
      <w:tblPr/>
      <w:tcPr>
        <w:shd w:val="clear" w:color="auto" w:fill="C2C6E1" w:themeFill="accent3" w:themeFillTint="66"/>
      </w:tcPr>
    </w:tblStylePr>
  </w:style>
  <w:style w:type="table" w:styleId="GridTable5Dark-Accent4">
    <w:name w:val="Grid Table 5 Dark Accent 4"/>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B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AD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AD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AD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AD00" w:themeFill="accent4"/>
      </w:tcPr>
    </w:tblStylePr>
    <w:tblStylePr w:type="band1Vert">
      <w:tblPr/>
      <w:tcPr>
        <w:shd w:val="clear" w:color="auto" w:fill="F6FF78" w:themeFill="accent4" w:themeFillTint="66"/>
      </w:tcPr>
    </w:tblStylePr>
    <w:tblStylePr w:type="band1Horz">
      <w:tblPr/>
      <w:tcPr>
        <w:shd w:val="clear" w:color="auto" w:fill="F6FF78" w:themeFill="accent4" w:themeFillTint="66"/>
      </w:tcPr>
    </w:tblStylePr>
  </w:style>
  <w:style w:type="table" w:styleId="GridTable5Dark-Accent5">
    <w:name w:val="Grid Table 5 Dark Accent 5"/>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8D8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8D8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8D8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8D8E" w:themeFill="accent5"/>
      </w:tcPr>
    </w:tblStylePr>
    <w:tblStylePr w:type="band1Vert">
      <w:tblPr/>
      <w:tcPr>
        <w:shd w:val="clear" w:color="auto" w:fill="D0D1D1" w:themeFill="accent5" w:themeFillTint="66"/>
      </w:tcPr>
    </w:tblStylePr>
    <w:tblStylePr w:type="band1Horz">
      <w:tblPr/>
      <w:tcPr>
        <w:shd w:val="clear" w:color="auto" w:fill="D0D1D1" w:themeFill="accent5" w:themeFillTint="66"/>
      </w:tcPr>
    </w:tblStylePr>
  </w:style>
  <w:style w:type="table" w:styleId="GridTable5Dark-Accent6">
    <w:name w:val="Grid Table 5 Dark Accent 6"/>
    <w:basedOn w:val="TableNormal"/>
    <w:uiPriority w:val="50"/>
    <w:rsid w:val="00F3012E"/>
    <w:rPr>
      <w:rFonts w:asciiTheme="minorHAnsi"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14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14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14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143" w:themeFill="accent6"/>
      </w:tcPr>
    </w:tblStylePr>
    <w:tblStylePr w:type="band1Vert">
      <w:tblPr/>
      <w:tcPr>
        <w:shd w:val="clear" w:color="auto" w:fill="B1B2B5" w:themeFill="accent6" w:themeFillTint="66"/>
      </w:tcPr>
    </w:tblStylePr>
    <w:tblStylePr w:type="band1Horz">
      <w:tblPr/>
      <w:tcPr>
        <w:shd w:val="clear" w:color="auto" w:fill="B1B2B5" w:themeFill="accent6" w:themeFillTint="66"/>
      </w:tcPr>
    </w:tblStylePr>
  </w:style>
  <w:style w:type="table" w:styleId="GridTable6Colorful">
    <w:name w:val="Grid Table 6 Colorful"/>
    <w:basedOn w:val="TableNormal"/>
    <w:uiPriority w:val="51"/>
    <w:rsid w:val="00F3012E"/>
    <w:rPr>
      <w:rFonts w:asciiTheme="minorHAnsi" w:hAnsiTheme="minorHAnsi" w:cstheme="minorBidi"/>
      <w:color w:val="404143" w:themeColor="text1"/>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rPr>
      <w:tblPr/>
      <w:tcPr>
        <w:tcBorders>
          <w:bottom w:val="single" w:sz="12" w:space="0" w:color="8A8C8F" w:themeColor="text1" w:themeTint="99"/>
        </w:tcBorders>
      </w:tcPr>
    </w:tblStylePr>
    <w:tblStylePr w:type="lastRow">
      <w:rPr>
        <w:b/>
        <w:bCs/>
      </w:rPr>
      <w:tblPr/>
      <w:tcPr>
        <w:tcBorders>
          <w:top w:val="double" w:sz="4" w:space="0" w:color="8A8C8F" w:themeColor="text1" w:themeTint="99"/>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GridTable6Colorful-Accent1">
    <w:name w:val="Grid Table 6 Colorful Accent 1"/>
    <w:basedOn w:val="TableNormal"/>
    <w:uiPriority w:val="51"/>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rPr>
      <w:tblPr/>
      <w:tcPr>
        <w:tcBorders>
          <w:bottom w:val="single" w:sz="12" w:space="0" w:color="E6586F" w:themeColor="accent1" w:themeTint="99"/>
        </w:tcBorders>
      </w:tcPr>
    </w:tblStylePr>
    <w:tblStylePr w:type="lastRow">
      <w:rPr>
        <w:b/>
        <w:bCs/>
      </w:rPr>
      <w:tblPr/>
      <w:tcPr>
        <w:tcBorders>
          <w:top w:val="double" w:sz="4" w:space="0" w:color="E6586F" w:themeColor="accent1" w:themeTint="99"/>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GridTable6Colorful-Accent2">
    <w:name w:val="Grid Table 6 Colorful Accent 2"/>
    <w:basedOn w:val="TableNormal"/>
    <w:uiPriority w:val="51"/>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rPr>
      <w:tblPr/>
      <w:tcPr>
        <w:tcBorders>
          <w:bottom w:val="single" w:sz="12" w:space="0" w:color="FFDA5A" w:themeColor="accent2" w:themeTint="99"/>
        </w:tcBorders>
      </w:tcPr>
    </w:tblStylePr>
    <w:tblStylePr w:type="lastRow">
      <w:rPr>
        <w:b/>
        <w:bCs/>
      </w:rPr>
      <w:tblPr/>
      <w:tcPr>
        <w:tcBorders>
          <w:top w:val="double" w:sz="4" w:space="0" w:color="FFDA5A" w:themeColor="accent2" w:themeTint="99"/>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GridTable6Colorful-Accent3">
    <w:name w:val="Grid Table 6 Colorful Accent 3"/>
    <w:basedOn w:val="TableNormal"/>
    <w:uiPriority w:val="51"/>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rPr>
      <w:tblPr/>
      <w:tcPr>
        <w:tcBorders>
          <w:bottom w:val="single" w:sz="12" w:space="0" w:color="A3AAD3" w:themeColor="accent3" w:themeTint="99"/>
        </w:tcBorders>
      </w:tcPr>
    </w:tblStylePr>
    <w:tblStylePr w:type="lastRow">
      <w:rPr>
        <w:b/>
        <w:bCs/>
      </w:rPr>
      <w:tblPr/>
      <w:tcPr>
        <w:tcBorders>
          <w:top w:val="double" w:sz="4" w:space="0" w:color="A3AAD3" w:themeColor="accent3" w:themeTint="99"/>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GridTable6Colorful-Accent4">
    <w:name w:val="Grid Table 6 Colorful Accent 4"/>
    <w:basedOn w:val="TableNormal"/>
    <w:uiPriority w:val="51"/>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rPr>
      <w:tblPr/>
      <w:tcPr>
        <w:tcBorders>
          <w:bottom w:val="single" w:sz="12" w:space="0" w:color="F1FF34" w:themeColor="accent4" w:themeTint="99"/>
        </w:tcBorders>
      </w:tcPr>
    </w:tblStylePr>
    <w:tblStylePr w:type="lastRow">
      <w:rPr>
        <w:b/>
        <w:bCs/>
      </w:rPr>
      <w:tblPr/>
      <w:tcPr>
        <w:tcBorders>
          <w:top w:val="double" w:sz="4" w:space="0" w:color="F1FF34" w:themeColor="accent4" w:themeTint="99"/>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GridTable6Colorful-Accent5">
    <w:name w:val="Grid Table 6 Colorful Accent 5"/>
    <w:basedOn w:val="TableNormal"/>
    <w:uiPriority w:val="51"/>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rPr>
      <w:tblPr/>
      <w:tcPr>
        <w:tcBorders>
          <w:bottom w:val="single" w:sz="12" w:space="0" w:color="B9BABB" w:themeColor="accent5" w:themeTint="99"/>
        </w:tcBorders>
      </w:tcPr>
    </w:tblStylePr>
    <w:tblStylePr w:type="lastRow">
      <w:rPr>
        <w:b/>
        <w:bCs/>
      </w:rPr>
      <w:tblPr/>
      <w:tcPr>
        <w:tcBorders>
          <w:top w:val="double" w:sz="4" w:space="0" w:color="B9BABB" w:themeColor="accent5" w:themeTint="99"/>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GridTable6Colorful-Accent6">
    <w:name w:val="Grid Table 6 Colorful Accent 6"/>
    <w:basedOn w:val="TableNormal"/>
    <w:uiPriority w:val="51"/>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rPr>
      <w:tblPr/>
      <w:tcPr>
        <w:tcBorders>
          <w:bottom w:val="single" w:sz="12" w:space="0" w:color="8A8C8F" w:themeColor="accent6" w:themeTint="99"/>
        </w:tcBorders>
      </w:tcPr>
    </w:tblStylePr>
    <w:tblStylePr w:type="lastRow">
      <w:rPr>
        <w:b/>
        <w:bCs/>
      </w:rPr>
      <w:tblPr/>
      <w:tcPr>
        <w:tcBorders>
          <w:top w:val="double" w:sz="4" w:space="0" w:color="8A8C8F" w:themeColor="accent6" w:themeTint="99"/>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GridTable7Colorful">
    <w:name w:val="Grid Table 7 Colorful"/>
    <w:basedOn w:val="TableNormal"/>
    <w:uiPriority w:val="52"/>
    <w:rsid w:val="00F3012E"/>
    <w:rPr>
      <w:rFonts w:asciiTheme="minorHAnsi" w:hAnsiTheme="minorHAnsi" w:cstheme="minorBidi"/>
      <w:color w:val="404143" w:themeColor="text1"/>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insideV w:val="single" w:sz="4" w:space="0" w:color="8A8C8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text1" w:themeFillTint="33"/>
      </w:tcPr>
    </w:tblStylePr>
    <w:tblStylePr w:type="band1Horz">
      <w:tblPr/>
      <w:tcPr>
        <w:shd w:val="clear" w:color="auto" w:fill="D8D8DA" w:themeFill="text1" w:themeFillTint="33"/>
      </w:tcPr>
    </w:tblStylePr>
    <w:tblStylePr w:type="neCell">
      <w:tblPr/>
      <w:tcPr>
        <w:tcBorders>
          <w:bottom w:val="single" w:sz="4" w:space="0" w:color="8A8C8F" w:themeColor="text1" w:themeTint="99"/>
        </w:tcBorders>
      </w:tcPr>
    </w:tblStylePr>
    <w:tblStylePr w:type="nwCell">
      <w:tblPr/>
      <w:tcPr>
        <w:tcBorders>
          <w:bottom w:val="single" w:sz="4" w:space="0" w:color="8A8C8F" w:themeColor="text1" w:themeTint="99"/>
        </w:tcBorders>
      </w:tcPr>
    </w:tblStylePr>
    <w:tblStylePr w:type="seCell">
      <w:tblPr/>
      <w:tcPr>
        <w:tcBorders>
          <w:top w:val="single" w:sz="4" w:space="0" w:color="8A8C8F" w:themeColor="text1" w:themeTint="99"/>
        </w:tcBorders>
      </w:tcPr>
    </w:tblStylePr>
    <w:tblStylePr w:type="swCell">
      <w:tblPr/>
      <w:tcPr>
        <w:tcBorders>
          <w:top w:val="single" w:sz="4" w:space="0" w:color="8A8C8F" w:themeColor="text1" w:themeTint="99"/>
        </w:tcBorders>
      </w:tcPr>
    </w:tblStylePr>
  </w:style>
  <w:style w:type="table" w:styleId="GridTable7Colorful-Accent1">
    <w:name w:val="Grid Table 7 Colorful Accent 1"/>
    <w:basedOn w:val="TableNormal"/>
    <w:uiPriority w:val="52"/>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insideV w:val="single" w:sz="4" w:space="0" w:color="E6586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F" w:themeFill="accent1" w:themeFillTint="33"/>
      </w:tcPr>
    </w:tblStylePr>
    <w:tblStylePr w:type="band1Horz">
      <w:tblPr/>
      <w:tcPr>
        <w:shd w:val="clear" w:color="auto" w:fill="F6C7CF" w:themeFill="accent1" w:themeFillTint="33"/>
      </w:tcPr>
    </w:tblStylePr>
    <w:tblStylePr w:type="neCell">
      <w:tblPr/>
      <w:tcPr>
        <w:tcBorders>
          <w:bottom w:val="single" w:sz="4" w:space="0" w:color="E6586F" w:themeColor="accent1" w:themeTint="99"/>
        </w:tcBorders>
      </w:tcPr>
    </w:tblStylePr>
    <w:tblStylePr w:type="nwCell">
      <w:tblPr/>
      <w:tcPr>
        <w:tcBorders>
          <w:bottom w:val="single" w:sz="4" w:space="0" w:color="E6586F" w:themeColor="accent1" w:themeTint="99"/>
        </w:tcBorders>
      </w:tcPr>
    </w:tblStylePr>
    <w:tblStylePr w:type="seCell">
      <w:tblPr/>
      <w:tcPr>
        <w:tcBorders>
          <w:top w:val="single" w:sz="4" w:space="0" w:color="E6586F" w:themeColor="accent1" w:themeTint="99"/>
        </w:tcBorders>
      </w:tcPr>
    </w:tblStylePr>
    <w:tblStylePr w:type="swCell">
      <w:tblPr/>
      <w:tcPr>
        <w:tcBorders>
          <w:top w:val="single" w:sz="4" w:space="0" w:color="E6586F" w:themeColor="accent1" w:themeTint="99"/>
        </w:tcBorders>
      </w:tcPr>
    </w:tblStylePr>
  </w:style>
  <w:style w:type="table" w:styleId="GridTable7Colorful-Accent2">
    <w:name w:val="Grid Table 7 Colorful Accent 2"/>
    <w:basedOn w:val="TableNormal"/>
    <w:uiPriority w:val="52"/>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insideV w:val="single" w:sz="4" w:space="0" w:color="FFDA5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8" w:themeFill="accent2" w:themeFillTint="33"/>
      </w:tcPr>
    </w:tblStylePr>
    <w:tblStylePr w:type="band1Horz">
      <w:tblPr/>
      <w:tcPr>
        <w:shd w:val="clear" w:color="auto" w:fill="FFF2C8" w:themeFill="accent2" w:themeFillTint="33"/>
      </w:tcPr>
    </w:tblStylePr>
    <w:tblStylePr w:type="neCell">
      <w:tblPr/>
      <w:tcPr>
        <w:tcBorders>
          <w:bottom w:val="single" w:sz="4" w:space="0" w:color="FFDA5A" w:themeColor="accent2" w:themeTint="99"/>
        </w:tcBorders>
      </w:tcPr>
    </w:tblStylePr>
    <w:tblStylePr w:type="nwCell">
      <w:tblPr/>
      <w:tcPr>
        <w:tcBorders>
          <w:bottom w:val="single" w:sz="4" w:space="0" w:color="FFDA5A" w:themeColor="accent2" w:themeTint="99"/>
        </w:tcBorders>
      </w:tcPr>
    </w:tblStylePr>
    <w:tblStylePr w:type="seCell">
      <w:tblPr/>
      <w:tcPr>
        <w:tcBorders>
          <w:top w:val="single" w:sz="4" w:space="0" w:color="FFDA5A" w:themeColor="accent2" w:themeTint="99"/>
        </w:tcBorders>
      </w:tcPr>
    </w:tblStylePr>
    <w:tblStylePr w:type="swCell">
      <w:tblPr/>
      <w:tcPr>
        <w:tcBorders>
          <w:top w:val="single" w:sz="4" w:space="0" w:color="FFDA5A" w:themeColor="accent2" w:themeTint="99"/>
        </w:tcBorders>
      </w:tcPr>
    </w:tblStylePr>
  </w:style>
  <w:style w:type="table" w:styleId="GridTable7Colorful-Accent3">
    <w:name w:val="Grid Table 7 Colorful Accent 3"/>
    <w:basedOn w:val="TableNormal"/>
    <w:uiPriority w:val="52"/>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insideV w:val="single" w:sz="4" w:space="0" w:color="A3AA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2F0" w:themeFill="accent3" w:themeFillTint="33"/>
      </w:tcPr>
    </w:tblStylePr>
    <w:tblStylePr w:type="band1Horz">
      <w:tblPr/>
      <w:tcPr>
        <w:shd w:val="clear" w:color="auto" w:fill="E0E2F0" w:themeFill="accent3" w:themeFillTint="33"/>
      </w:tcPr>
    </w:tblStylePr>
    <w:tblStylePr w:type="neCell">
      <w:tblPr/>
      <w:tcPr>
        <w:tcBorders>
          <w:bottom w:val="single" w:sz="4" w:space="0" w:color="A3AAD3" w:themeColor="accent3" w:themeTint="99"/>
        </w:tcBorders>
      </w:tcPr>
    </w:tblStylePr>
    <w:tblStylePr w:type="nwCell">
      <w:tblPr/>
      <w:tcPr>
        <w:tcBorders>
          <w:bottom w:val="single" w:sz="4" w:space="0" w:color="A3AAD3" w:themeColor="accent3" w:themeTint="99"/>
        </w:tcBorders>
      </w:tcPr>
    </w:tblStylePr>
    <w:tblStylePr w:type="seCell">
      <w:tblPr/>
      <w:tcPr>
        <w:tcBorders>
          <w:top w:val="single" w:sz="4" w:space="0" w:color="A3AAD3" w:themeColor="accent3" w:themeTint="99"/>
        </w:tcBorders>
      </w:tcPr>
    </w:tblStylePr>
    <w:tblStylePr w:type="swCell">
      <w:tblPr/>
      <w:tcPr>
        <w:tcBorders>
          <w:top w:val="single" w:sz="4" w:space="0" w:color="A3AAD3" w:themeColor="accent3" w:themeTint="99"/>
        </w:tcBorders>
      </w:tcPr>
    </w:tblStylePr>
  </w:style>
  <w:style w:type="table" w:styleId="GridTable7Colorful-Accent4">
    <w:name w:val="Grid Table 7 Colorful Accent 4"/>
    <w:basedOn w:val="TableNormal"/>
    <w:uiPriority w:val="52"/>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insideV w:val="single" w:sz="4" w:space="0" w:color="F1FF3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BB" w:themeFill="accent4" w:themeFillTint="33"/>
      </w:tcPr>
    </w:tblStylePr>
    <w:tblStylePr w:type="band1Horz">
      <w:tblPr/>
      <w:tcPr>
        <w:shd w:val="clear" w:color="auto" w:fill="FAFFBB" w:themeFill="accent4" w:themeFillTint="33"/>
      </w:tcPr>
    </w:tblStylePr>
    <w:tblStylePr w:type="neCell">
      <w:tblPr/>
      <w:tcPr>
        <w:tcBorders>
          <w:bottom w:val="single" w:sz="4" w:space="0" w:color="F1FF34" w:themeColor="accent4" w:themeTint="99"/>
        </w:tcBorders>
      </w:tcPr>
    </w:tblStylePr>
    <w:tblStylePr w:type="nwCell">
      <w:tblPr/>
      <w:tcPr>
        <w:tcBorders>
          <w:bottom w:val="single" w:sz="4" w:space="0" w:color="F1FF34" w:themeColor="accent4" w:themeTint="99"/>
        </w:tcBorders>
      </w:tcPr>
    </w:tblStylePr>
    <w:tblStylePr w:type="seCell">
      <w:tblPr/>
      <w:tcPr>
        <w:tcBorders>
          <w:top w:val="single" w:sz="4" w:space="0" w:color="F1FF34" w:themeColor="accent4" w:themeTint="99"/>
        </w:tcBorders>
      </w:tcPr>
    </w:tblStylePr>
    <w:tblStylePr w:type="swCell">
      <w:tblPr/>
      <w:tcPr>
        <w:tcBorders>
          <w:top w:val="single" w:sz="4" w:space="0" w:color="F1FF34" w:themeColor="accent4" w:themeTint="99"/>
        </w:tcBorders>
      </w:tcPr>
    </w:tblStylePr>
  </w:style>
  <w:style w:type="table" w:styleId="GridTable7Colorful-Accent5">
    <w:name w:val="Grid Table 7 Colorful Accent 5"/>
    <w:basedOn w:val="TableNormal"/>
    <w:uiPriority w:val="52"/>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insideV w:val="single" w:sz="4" w:space="0" w:color="B9B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8E8" w:themeFill="accent5" w:themeFillTint="33"/>
      </w:tcPr>
    </w:tblStylePr>
    <w:tblStylePr w:type="band1Horz">
      <w:tblPr/>
      <w:tcPr>
        <w:shd w:val="clear" w:color="auto" w:fill="E7E8E8" w:themeFill="accent5" w:themeFillTint="33"/>
      </w:tcPr>
    </w:tblStylePr>
    <w:tblStylePr w:type="neCell">
      <w:tblPr/>
      <w:tcPr>
        <w:tcBorders>
          <w:bottom w:val="single" w:sz="4" w:space="0" w:color="B9BABB" w:themeColor="accent5" w:themeTint="99"/>
        </w:tcBorders>
      </w:tcPr>
    </w:tblStylePr>
    <w:tblStylePr w:type="nwCell">
      <w:tblPr/>
      <w:tcPr>
        <w:tcBorders>
          <w:bottom w:val="single" w:sz="4" w:space="0" w:color="B9BABB" w:themeColor="accent5" w:themeTint="99"/>
        </w:tcBorders>
      </w:tcPr>
    </w:tblStylePr>
    <w:tblStylePr w:type="seCell">
      <w:tblPr/>
      <w:tcPr>
        <w:tcBorders>
          <w:top w:val="single" w:sz="4" w:space="0" w:color="B9BABB" w:themeColor="accent5" w:themeTint="99"/>
        </w:tcBorders>
      </w:tcPr>
    </w:tblStylePr>
    <w:tblStylePr w:type="swCell">
      <w:tblPr/>
      <w:tcPr>
        <w:tcBorders>
          <w:top w:val="single" w:sz="4" w:space="0" w:color="B9BABB" w:themeColor="accent5" w:themeTint="99"/>
        </w:tcBorders>
      </w:tcPr>
    </w:tblStylePr>
  </w:style>
  <w:style w:type="table" w:styleId="GridTable7Colorful-Accent6">
    <w:name w:val="Grid Table 7 Colorful Accent 6"/>
    <w:basedOn w:val="TableNormal"/>
    <w:uiPriority w:val="52"/>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insideV w:val="single" w:sz="4" w:space="0" w:color="8A8C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A" w:themeFill="accent6" w:themeFillTint="33"/>
      </w:tcPr>
    </w:tblStylePr>
    <w:tblStylePr w:type="band1Horz">
      <w:tblPr/>
      <w:tcPr>
        <w:shd w:val="clear" w:color="auto" w:fill="D8D8DA" w:themeFill="accent6" w:themeFillTint="33"/>
      </w:tcPr>
    </w:tblStylePr>
    <w:tblStylePr w:type="neCell">
      <w:tblPr/>
      <w:tcPr>
        <w:tcBorders>
          <w:bottom w:val="single" w:sz="4" w:space="0" w:color="8A8C8F" w:themeColor="accent6" w:themeTint="99"/>
        </w:tcBorders>
      </w:tcPr>
    </w:tblStylePr>
    <w:tblStylePr w:type="nwCell">
      <w:tblPr/>
      <w:tcPr>
        <w:tcBorders>
          <w:bottom w:val="single" w:sz="4" w:space="0" w:color="8A8C8F" w:themeColor="accent6" w:themeTint="99"/>
        </w:tcBorders>
      </w:tcPr>
    </w:tblStylePr>
    <w:tblStylePr w:type="seCell">
      <w:tblPr/>
      <w:tcPr>
        <w:tcBorders>
          <w:top w:val="single" w:sz="4" w:space="0" w:color="8A8C8F" w:themeColor="accent6" w:themeTint="99"/>
        </w:tcBorders>
      </w:tcPr>
    </w:tblStylePr>
    <w:tblStylePr w:type="swCell">
      <w:tblPr/>
      <w:tcPr>
        <w:tcBorders>
          <w:top w:val="single" w:sz="4" w:space="0" w:color="8A8C8F" w:themeColor="accent6" w:themeTint="99"/>
        </w:tcBorders>
      </w:tcPr>
    </w:tblStylePr>
  </w:style>
  <w:style w:type="table" w:styleId="LightGrid">
    <w:name w:val="Light Grid"/>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insideH w:val="single" w:sz="8" w:space="0" w:color="404143" w:themeColor="text1"/>
        <w:insideV w:val="single" w:sz="8" w:space="0" w:color="40414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143" w:themeColor="text1"/>
          <w:left w:val="single" w:sz="8" w:space="0" w:color="404143" w:themeColor="text1"/>
          <w:bottom w:val="single" w:sz="18" w:space="0" w:color="404143" w:themeColor="text1"/>
          <w:right w:val="single" w:sz="8" w:space="0" w:color="404143" w:themeColor="text1"/>
          <w:insideH w:val="nil"/>
          <w:insideV w:val="single" w:sz="8" w:space="0" w:color="40414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143" w:themeColor="text1"/>
          <w:left w:val="single" w:sz="8" w:space="0" w:color="404143" w:themeColor="text1"/>
          <w:bottom w:val="single" w:sz="8" w:space="0" w:color="404143" w:themeColor="text1"/>
          <w:right w:val="single" w:sz="8" w:space="0" w:color="404143" w:themeColor="text1"/>
          <w:insideH w:val="nil"/>
          <w:insideV w:val="single" w:sz="8" w:space="0" w:color="40414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143" w:themeColor="text1"/>
          <w:left w:val="single" w:sz="8" w:space="0" w:color="404143" w:themeColor="text1"/>
          <w:bottom w:val="single" w:sz="8" w:space="0" w:color="404143" w:themeColor="text1"/>
          <w:right w:val="single" w:sz="8" w:space="0" w:color="404143" w:themeColor="text1"/>
        </w:tcBorders>
      </w:tcPr>
    </w:tblStylePr>
    <w:tblStylePr w:type="band1Vert">
      <w:tblPr/>
      <w:tcPr>
        <w:tcBorders>
          <w:top w:val="single" w:sz="8" w:space="0" w:color="404143" w:themeColor="text1"/>
          <w:left w:val="single" w:sz="8" w:space="0" w:color="404143" w:themeColor="text1"/>
          <w:bottom w:val="single" w:sz="8" w:space="0" w:color="404143" w:themeColor="text1"/>
          <w:right w:val="single" w:sz="8" w:space="0" w:color="404143" w:themeColor="text1"/>
        </w:tcBorders>
        <w:shd w:val="clear" w:color="auto" w:fill="CFCFD1" w:themeFill="text1" w:themeFillTint="3F"/>
      </w:tcPr>
    </w:tblStylePr>
    <w:tblStylePr w:type="band1Horz">
      <w:tblPr/>
      <w:tcPr>
        <w:tcBorders>
          <w:top w:val="single" w:sz="8" w:space="0" w:color="404143" w:themeColor="text1"/>
          <w:left w:val="single" w:sz="8" w:space="0" w:color="404143" w:themeColor="text1"/>
          <w:bottom w:val="single" w:sz="8" w:space="0" w:color="404143" w:themeColor="text1"/>
          <w:right w:val="single" w:sz="8" w:space="0" w:color="404143" w:themeColor="text1"/>
          <w:insideV w:val="single" w:sz="8" w:space="0" w:color="404143" w:themeColor="text1"/>
        </w:tcBorders>
        <w:shd w:val="clear" w:color="auto" w:fill="CFCFD1" w:themeFill="text1" w:themeFillTint="3F"/>
      </w:tcPr>
    </w:tblStylePr>
    <w:tblStylePr w:type="band2Horz">
      <w:tblPr/>
      <w:tcPr>
        <w:tcBorders>
          <w:top w:val="single" w:sz="8" w:space="0" w:color="404143" w:themeColor="text1"/>
          <w:left w:val="single" w:sz="8" w:space="0" w:color="404143" w:themeColor="text1"/>
          <w:bottom w:val="single" w:sz="8" w:space="0" w:color="404143" w:themeColor="text1"/>
          <w:right w:val="single" w:sz="8" w:space="0" w:color="404143" w:themeColor="text1"/>
          <w:insideV w:val="single" w:sz="8" w:space="0" w:color="404143" w:themeColor="text1"/>
        </w:tcBorders>
      </w:tcPr>
    </w:tblStylePr>
  </w:style>
  <w:style w:type="table" w:styleId="LightGrid-Accent1">
    <w:name w:val="Light Grid Accent 1"/>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insideH w:val="single" w:sz="8" w:space="0" w:color="A71930" w:themeColor="accent1"/>
        <w:insideV w:val="single" w:sz="8" w:space="0" w:color="A7193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1930" w:themeColor="accent1"/>
          <w:left w:val="single" w:sz="8" w:space="0" w:color="A71930" w:themeColor="accent1"/>
          <w:bottom w:val="single" w:sz="18" w:space="0" w:color="A71930" w:themeColor="accent1"/>
          <w:right w:val="single" w:sz="8" w:space="0" w:color="A71930" w:themeColor="accent1"/>
          <w:insideH w:val="nil"/>
          <w:insideV w:val="single" w:sz="8" w:space="0" w:color="A7193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1930" w:themeColor="accent1"/>
          <w:left w:val="single" w:sz="8" w:space="0" w:color="A71930" w:themeColor="accent1"/>
          <w:bottom w:val="single" w:sz="8" w:space="0" w:color="A71930" w:themeColor="accent1"/>
          <w:right w:val="single" w:sz="8" w:space="0" w:color="A71930" w:themeColor="accent1"/>
          <w:insideH w:val="nil"/>
          <w:insideV w:val="single" w:sz="8" w:space="0" w:color="A7193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tcPr>
    </w:tblStylePr>
    <w:tblStylePr w:type="band1Vert">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shd w:val="clear" w:color="auto" w:fill="F4BAC3" w:themeFill="accent1" w:themeFillTint="3F"/>
      </w:tcPr>
    </w:tblStylePr>
    <w:tblStylePr w:type="band1Horz">
      <w:tblPr/>
      <w:tcPr>
        <w:tcBorders>
          <w:top w:val="single" w:sz="8" w:space="0" w:color="A71930" w:themeColor="accent1"/>
          <w:left w:val="single" w:sz="8" w:space="0" w:color="A71930" w:themeColor="accent1"/>
          <w:bottom w:val="single" w:sz="8" w:space="0" w:color="A71930" w:themeColor="accent1"/>
          <w:right w:val="single" w:sz="8" w:space="0" w:color="A71930" w:themeColor="accent1"/>
          <w:insideV w:val="single" w:sz="8" w:space="0" w:color="A71930" w:themeColor="accent1"/>
        </w:tcBorders>
        <w:shd w:val="clear" w:color="auto" w:fill="F4BAC3" w:themeFill="accent1" w:themeFillTint="3F"/>
      </w:tcPr>
    </w:tblStylePr>
    <w:tblStylePr w:type="band2Horz">
      <w:tblPr/>
      <w:tcPr>
        <w:tcBorders>
          <w:top w:val="single" w:sz="8" w:space="0" w:color="A71930" w:themeColor="accent1"/>
          <w:left w:val="single" w:sz="8" w:space="0" w:color="A71930" w:themeColor="accent1"/>
          <w:bottom w:val="single" w:sz="8" w:space="0" w:color="A71930" w:themeColor="accent1"/>
          <w:right w:val="single" w:sz="8" w:space="0" w:color="A71930" w:themeColor="accent1"/>
          <w:insideV w:val="single" w:sz="8" w:space="0" w:color="A71930" w:themeColor="accent1"/>
        </w:tcBorders>
      </w:tcPr>
    </w:tblStylePr>
  </w:style>
  <w:style w:type="table" w:styleId="LightGrid-Accent2">
    <w:name w:val="Light Grid Accent 2"/>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insideH w:val="single" w:sz="8" w:space="0" w:color="EBB700" w:themeColor="accent2"/>
        <w:insideV w:val="single" w:sz="8" w:space="0" w:color="EBB7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B700" w:themeColor="accent2"/>
          <w:left w:val="single" w:sz="8" w:space="0" w:color="EBB700" w:themeColor="accent2"/>
          <w:bottom w:val="single" w:sz="18" w:space="0" w:color="EBB700" w:themeColor="accent2"/>
          <w:right w:val="single" w:sz="8" w:space="0" w:color="EBB700" w:themeColor="accent2"/>
          <w:insideH w:val="nil"/>
          <w:insideV w:val="single" w:sz="8" w:space="0" w:color="EBB7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B700" w:themeColor="accent2"/>
          <w:left w:val="single" w:sz="8" w:space="0" w:color="EBB700" w:themeColor="accent2"/>
          <w:bottom w:val="single" w:sz="8" w:space="0" w:color="EBB700" w:themeColor="accent2"/>
          <w:right w:val="single" w:sz="8" w:space="0" w:color="EBB700" w:themeColor="accent2"/>
          <w:insideH w:val="nil"/>
          <w:insideV w:val="single" w:sz="8" w:space="0" w:color="EBB7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tcPr>
    </w:tblStylePr>
    <w:tblStylePr w:type="band1Vert">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shd w:val="clear" w:color="auto" w:fill="FFEFBB" w:themeFill="accent2" w:themeFillTint="3F"/>
      </w:tcPr>
    </w:tblStylePr>
    <w:tblStylePr w:type="band1Horz">
      <w:tblPr/>
      <w:tcPr>
        <w:tcBorders>
          <w:top w:val="single" w:sz="8" w:space="0" w:color="EBB700" w:themeColor="accent2"/>
          <w:left w:val="single" w:sz="8" w:space="0" w:color="EBB700" w:themeColor="accent2"/>
          <w:bottom w:val="single" w:sz="8" w:space="0" w:color="EBB700" w:themeColor="accent2"/>
          <w:right w:val="single" w:sz="8" w:space="0" w:color="EBB700" w:themeColor="accent2"/>
          <w:insideV w:val="single" w:sz="8" w:space="0" w:color="EBB700" w:themeColor="accent2"/>
        </w:tcBorders>
        <w:shd w:val="clear" w:color="auto" w:fill="FFEFBB" w:themeFill="accent2" w:themeFillTint="3F"/>
      </w:tcPr>
    </w:tblStylePr>
    <w:tblStylePr w:type="band2Horz">
      <w:tblPr/>
      <w:tcPr>
        <w:tcBorders>
          <w:top w:val="single" w:sz="8" w:space="0" w:color="EBB700" w:themeColor="accent2"/>
          <w:left w:val="single" w:sz="8" w:space="0" w:color="EBB700" w:themeColor="accent2"/>
          <w:bottom w:val="single" w:sz="8" w:space="0" w:color="EBB700" w:themeColor="accent2"/>
          <w:right w:val="single" w:sz="8" w:space="0" w:color="EBB700" w:themeColor="accent2"/>
          <w:insideV w:val="single" w:sz="8" w:space="0" w:color="EBB700" w:themeColor="accent2"/>
        </w:tcBorders>
      </w:tcPr>
    </w:tblStylePr>
  </w:style>
  <w:style w:type="table" w:styleId="LightGrid-Accent3">
    <w:name w:val="Light Grid Accent 3"/>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insideH w:val="single" w:sz="8" w:space="0" w:color="6773B6" w:themeColor="accent3"/>
        <w:insideV w:val="single" w:sz="8" w:space="0" w:color="6773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3B6" w:themeColor="accent3"/>
          <w:left w:val="single" w:sz="8" w:space="0" w:color="6773B6" w:themeColor="accent3"/>
          <w:bottom w:val="single" w:sz="18" w:space="0" w:color="6773B6" w:themeColor="accent3"/>
          <w:right w:val="single" w:sz="8" w:space="0" w:color="6773B6" w:themeColor="accent3"/>
          <w:insideH w:val="nil"/>
          <w:insideV w:val="single" w:sz="8" w:space="0" w:color="6773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3B6" w:themeColor="accent3"/>
          <w:left w:val="single" w:sz="8" w:space="0" w:color="6773B6" w:themeColor="accent3"/>
          <w:bottom w:val="single" w:sz="8" w:space="0" w:color="6773B6" w:themeColor="accent3"/>
          <w:right w:val="single" w:sz="8" w:space="0" w:color="6773B6" w:themeColor="accent3"/>
          <w:insideH w:val="nil"/>
          <w:insideV w:val="single" w:sz="8" w:space="0" w:color="6773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tcPr>
    </w:tblStylePr>
    <w:tblStylePr w:type="band1Vert">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shd w:val="clear" w:color="auto" w:fill="D9DCED" w:themeFill="accent3" w:themeFillTint="3F"/>
      </w:tcPr>
    </w:tblStylePr>
    <w:tblStylePr w:type="band1Horz">
      <w:tblPr/>
      <w:tcPr>
        <w:tcBorders>
          <w:top w:val="single" w:sz="8" w:space="0" w:color="6773B6" w:themeColor="accent3"/>
          <w:left w:val="single" w:sz="8" w:space="0" w:color="6773B6" w:themeColor="accent3"/>
          <w:bottom w:val="single" w:sz="8" w:space="0" w:color="6773B6" w:themeColor="accent3"/>
          <w:right w:val="single" w:sz="8" w:space="0" w:color="6773B6" w:themeColor="accent3"/>
          <w:insideV w:val="single" w:sz="8" w:space="0" w:color="6773B6" w:themeColor="accent3"/>
        </w:tcBorders>
        <w:shd w:val="clear" w:color="auto" w:fill="D9DCED" w:themeFill="accent3" w:themeFillTint="3F"/>
      </w:tcPr>
    </w:tblStylePr>
    <w:tblStylePr w:type="band2Horz">
      <w:tblPr/>
      <w:tcPr>
        <w:tcBorders>
          <w:top w:val="single" w:sz="8" w:space="0" w:color="6773B6" w:themeColor="accent3"/>
          <w:left w:val="single" w:sz="8" w:space="0" w:color="6773B6" w:themeColor="accent3"/>
          <w:bottom w:val="single" w:sz="8" w:space="0" w:color="6773B6" w:themeColor="accent3"/>
          <w:right w:val="single" w:sz="8" w:space="0" w:color="6773B6" w:themeColor="accent3"/>
          <w:insideV w:val="single" w:sz="8" w:space="0" w:color="6773B6" w:themeColor="accent3"/>
        </w:tcBorders>
      </w:tcPr>
    </w:tblStylePr>
  </w:style>
  <w:style w:type="table" w:styleId="LightGrid-Accent4">
    <w:name w:val="Light Grid Accent 4"/>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insideH w:val="single" w:sz="8" w:space="0" w:color="A2AD00" w:themeColor="accent4"/>
        <w:insideV w:val="single" w:sz="8" w:space="0" w:color="A2AD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2AD00" w:themeColor="accent4"/>
          <w:left w:val="single" w:sz="8" w:space="0" w:color="A2AD00" w:themeColor="accent4"/>
          <w:bottom w:val="single" w:sz="18" w:space="0" w:color="A2AD00" w:themeColor="accent4"/>
          <w:right w:val="single" w:sz="8" w:space="0" w:color="A2AD00" w:themeColor="accent4"/>
          <w:insideH w:val="nil"/>
          <w:insideV w:val="single" w:sz="8" w:space="0" w:color="A2AD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AD00" w:themeColor="accent4"/>
          <w:left w:val="single" w:sz="8" w:space="0" w:color="A2AD00" w:themeColor="accent4"/>
          <w:bottom w:val="single" w:sz="8" w:space="0" w:color="A2AD00" w:themeColor="accent4"/>
          <w:right w:val="single" w:sz="8" w:space="0" w:color="A2AD00" w:themeColor="accent4"/>
          <w:insideH w:val="nil"/>
          <w:insideV w:val="single" w:sz="8" w:space="0" w:color="A2AD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tcPr>
    </w:tblStylePr>
    <w:tblStylePr w:type="band1Vert">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shd w:val="clear" w:color="auto" w:fill="F9FFAB" w:themeFill="accent4" w:themeFillTint="3F"/>
      </w:tcPr>
    </w:tblStylePr>
    <w:tblStylePr w:type="band1Horz">
      <w:tblPr/>
      <w:tcPr>
        <w:tcBorders>
          <w:top w:val="single" w:sz="8" w:space="0" w:color="A2AD00" w:themeColor="accent4"/>
          <w:left w:val="single" w:sz="8" w:space="0" w:color="A2AD00" w:themeColor="accent4"/>
          <w:bottom w:val="single" w:sz="8" w:space="0" w:color="A2AD00" w:themeColor="accent4"/>
          <w:right w:val="single" w:sz="8" w:space="0" w:color="A2AD00" w:themeColor="accent4"/>
          <w:insideV w:val="single" w:sz="8" w:space="0" w:color="A2AD00" w:themeColor="accent4"/>
        </w:tcBorders>
        <w:shd w:val="clear" w:color="auto" w:fill="F9FFAB" w:themeFill="accent4" w:themeFillTint="3F"/>
      </w:tcPr>
    </w:tblStylePr>
    <w:tblStylePr w:type="band2Horz">
      <w:tblPr/>
      <w:tcPr>
        <w:tcBorders>
          <w:top w:val="single" w:sz="8" w:space="0" w:color="A2AD00" w:themeColor="accent4"/>
          <w:left w:val="single" w:sz="8" w:space="0" w:color="A2AD00" w:themeColor="accent4"/>
          <w:bottom w:val="single" w:sz="8" w:space="0" w:color="A2AD00" w:themeColor="accent4"/>
          <w:right w:val="single" w:sz="8" w:space="0" w:color="A2AD00" w:themeColor="accent4"/>
          <w:insideV w:val="single" w:sz="8" w:space="0" w:color="A2AD00" w:themeColor="accent4"/>
        </w:tcBorders>
      </w:tcPr>
    </w:tblStylePr>
  </w:style>
  <w:style w:type="table" w:styleId="LightGrid-Accent5">
    <w:name w:val="Light Grid Accent 5"/>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insideH w:val="single" w:sz="8" w:space="0" w:color="8B8D8E" w:themeColor="accent5"/>
        <w:insideV w:val="single" w:sz="8" w:space="0" w:color="8B8D8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8D8E" w:themeColor="accent5"/>
          <w:left w:val="single" w:sz="8" w:space="0" w:color="8B8D8E" w:themeColor="accent5"/>
          <w:bottom w:val="single" w:sz="18" w:space="0" w:color="8B8D8E" w:themeColor="accent5"/>
          <w:right w:val="single" w:sz="8" w:space="0" w:color="8B8D8E" w:themeColor="accent5"/>
          <w:insideH w:val="nil"/>
          <w:insideV w:val="single" w:sz="8" w:space="0" w:color="8B8D8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8D8E" w:themeColor="accent5"/>
          <w:left w:val="single" w:sz="8" w:space="0" w:color="8B8D8E" w:themeColor="accent5"/>
          <w:bottom w:val="single" w:sz="8" w:space="0" w:color="8B8D8E" w:themeColor="accent5"/>
          <w:right w:val="single" w:sz="8" w:space="0" w:color="8B8D8E" w:themeColor="accent5"/>
          <w:insideH w:val="nil"/>
          <w:insideV w:val="single" w:sz="8" w:space="0" w:color="8B8D8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tcPr>
    </w:tblStylePr>
    <w:tblStylePr w:type="band1Vert">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shd w:val="clear" w:color="auto" w:fill="E2E2E3" w:themeFill="accent5" w:themeFillTint="3F"/>
      </w:tcPr>
    </w:tblStylePr>
    <w:tblStylePr w:type="band1Horz">
      <w:tblPr/>
      <w:tcPr>
        <w:tcBorders>
          <w:top w:val="single" w:sz="8" w:space="0" w:color="8B8D8E" w:themeColor="accent5"/>
          <w:left w:val="single" w:sz="8" w:space="0" w:color="8B8D8E" w:themeColor="accent5"/>
          <w:bottom w:val="single" w:sz="8" w:space="0" w:color="8B8D8E" w:themeColor="accent5"/>
          <w:right w:val="single" w:sz="8" w:space="0" w:color="8B8D8E" w:themeColor="accent5"/>
          <w:insideV w:val="single" w:sz="8" w:space="0" w:color="8B8D8E" w:themeColor="accent5"/>
        </w:tcBorders>
        <w:shd w:val="clear" w:color="auto" w:fill="E2E2E3" w:themeFill="accent5" w:themeFillTint="3F"/>
      </w:tcPr>
    </w:tblStylePr>
    <w:tblStylePr w:type="band2Horz">
      <w:tblPr/>
      <w:tcPr>
        <w:tcBorders>
          <w:top w:val="single" w:sz="8" w:space="0" w:color="8B8D8E" w:themeColor="accent5"/>
          <w:left w:val="single" w:sz="8" w:space="0" w:color="8B8D8E" w:themeColor="accent5"/>
          <w:bottom w:val="single" w:sz="8" w:space="0" w:color="8B8D8E" w:themeColor="accent5"/>
          <w:right w:val="single" w:sz="8" w:space="0" w:color="8B8D8E" w:themeColor="accent5"/>
          <w:insideV w:val="single" w:sz="8" w:space="0" w:color="8B8D8E" w:themeColor="accent5"/>
        </w:tcBorders>
      </w:tcPr>
    </w:tblStylePr>
  </w:style>
  <w:style w:type="table" w:styleId="LightGrid-Accent6">
    <w:name w:val="Light Grid Accent 6"/>
    <w:basedOn w:val="TableNormal"/>
    <w:uiPriority w:val="62"/>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insideH w:val="single" w:sz="8" w:space="0" w:color="404143" w:themeColor="accent6"/>
        <w:insideV w:val="single" w:sz="8" w:space="0" w:color="40414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143" w:themeColor="accent6"/>
          <w:left w:val="single" w:sz="8" w:space="0" w:color="404143" w:themeColor="accent6"/>
          <w:bottom w:val="single" w:sz="18" w:space="0" w:color="404143" w:themeColor="accent6"/>
          <w:right w:val="single" w:sz="8" w:space="0" w:color="404143" w:themeColor="accent6"/>
          <w:insideH w:val="nil"/>
          <w:insideV w:val="single" w:sz="8" w:space="0" w:color="40414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143" w:themeColor="accent6"/>
          <w:left w:val="single" w:sz="8" w:space="0" w:color="404143" w:themeColor="accent6"/>
          <w:bottom w:val="single" w:sz="8" w:space="0" w:color="404143" w:themeColor="accent6"/>
          <w:right w:val="single" w:sz="8" w:space="0" w:color="404143" w:themeColor="accent6"/>
          <w:insideH w:val="nil"/>
          <w:insideV w:val="single" w:sz="8" w:space="0" w:color="40414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tcPr>
    </w:tblStylePr>
    <w:tblStylePr w:type="band1Vert">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shd w:val="clear" w:color="auto" w:fill="CFCFD1" w:themeFill="accent6" w:themeFillTint="3F"/>
      </w:tcPr>
    </w:tblStylePr>
    <w:tblStylePr w:type="band1Horz">
      <w:tblPr/>
      <w:tcPr>
        <w:tcBorders>
          <w:top w:val="single" w:sz="8" w:space="0" w:color="404143" w:themeColor="accent6"/>
          <w:left w:val="single" w:sz="8" w:space="0" w:color="404143" w:themeColor="accent6"/>
          <w:bottom w:val="single" w:sz="8" w:space="0" w:color="404143" w:themeColor="accent6"/>
          <w:right w:val="single" w:sz="8" w:space="0" w:color="404143" w:themeColor="accent6"/>
          <w:insideV w:val="single" w:sz="8" w:space="0" w:color="404143" w:themeColor="accent6"/>
        </w:tcBorders>
        <w:shd w:val="clear" w:color="auto" w:fill="CFCFD1" w:themeFill="accent6" w:themeFillTint="3F"/>
      </w:tcPr>
    </w:tblStylePr>
    <w:tblStylePr w:type="band2Horz">
      <w:tblPr/>
      <w:tcPr>
        <w:tcBorders>
          <w:top w:val="single" w:sz="8" w:space="0" w:color="404143" w:themeColor="accent6"/>
          <w:left w:val="single" w:sz="8" w:space="0" w:color="404143" w:themeColor="accent6"/>
          <w:bottom w:val="single" w:sz="8" w:space="0" w:color="404143" w:themeColor="accent6"/>
          <w:right w:val="single" w:sz="8" w:space="0" w:color="404143" w:themeColor="accent6"/>
          <w:insideV w:val="single" w:sz="8" w:space="0" w:color="404143" w:themeColor="accent6"/>
        </w:tcBorders>
      </w:tcPr>
    </w:tblStylePr>
  </w:style>
  <w:style w:type="table" w:styleId="LightList">
    <w:name w:val="Light List"/>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tblBorders>
    </w:tblPr>
    <w:tblStylePr w:type="firstRow">
      <w:pPr>
        <w:spacing w:before="0" w:after="0" w:line="240" w:lineRule="auto"/>
      </w:pPr>
      <w:rPr>
        <w:b/>
        <w:bCs/>
        <w:color w:val="FFFFFF" w:themeColor="background1"/>
      </w:rPr>
      <w:tblPr/>
      <w:tcPr>
        <w:shd w:val="clear" w:color="auto" w:fill="404143" w:themeFill="text1"/>
      </w:tcPr>
    </w:tblStylePr>
    <w:tblStylePr w:type="lastRow">
      <w:pPr>
        <w:spacing w:before="0" w:after="0" w:line="240" w:lineRule="auto"/>
      </w:pPr>
      <w:rPr>
        <w:b/>
        <w:bCs/>
      </w:rPr>
      <w:tblPr/>
      <w:tcPr>
        <w:tcBorders>
          <w:top w:val="double" w:sz="6" w:space="0" w:color="404143" w:themeColor="text1"/>
          <w:left w:val="single" w:sz="8" w:space="0" w:color="404143" w:themeColor="text1"/>
          <w:bottom w:val="single" w:sz="8" w:space="0" w:color="404143" w:themeColor="text1"/>
          <w:right w:val="single" w:sz="8" w:space="0" w:color="404143" w:themeColor="text1"/>
        </w:tcBorders>
      </w:tcPr>
    </w:tblStylePr>
    <w:tblStylePr w:type="firstCol">
      <w:rPr>
        <w:b/>
        <w:bCs/>
      </w:rPr>
    </w:tblStylePr>
    <w:tblStylePr w:type="lastCol">
      <w:rPr>
        <w:b/>
        <w:bCs/>
      </w:rPr>
    </w:tblStylePr>
    <w:tblStylePr w:type="band1Vert">
      <w:tblPr/>
      <w:tcPr>
        <w:tcBorders>
          <w:top w:val="single" w:sz="8" w:space="0" w:color="404143" w:themeColor="text1"/>
          <w:left w:val="single" w:sz="8" w:space="0" w:color="404143" w:themeColor="text1"/>
          <w:bottom w:val="single" w:sz="8" w:space="0" w:color="404143" w:themeColor="text1"/>
          <w:right w:val="single" w:sz="8" w:space="0" w:color="404143" w:themeColor="text1"/>
        </w:tcBorders>
      </w:tcPr>
    </w:tblStylePr>
    <w:tblStylePr w:type="band1Horz">
      <w:tblPr/>
      <w:tcPr>
        <w:tcBorders>
          <w:top w:val="single" w:sz="8" w:space="0" w:color="404143" w:themeColor="text1"/>
          <w:left w:val="single" w:sz="8" w:space="0" w:color="404143" w:themeColor="text1"/>
          <w:bottom w:val="single" w:sz="8" w:space="0" w:color="404143" w:themeColor="text1"/>
          <w:right w:val="single" w:sz="8" w:space="0" w:color="404143" w:themeColor="text1"/>
        </w:tcBorders>
      </w:tcPr>
    </w:tblStylePr>
  </w:style>
  <w:style w:type="table" w:styleId="LightList-Accent1">
    <w:name w:val="Light List Accent 1"/>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tblBorders>
    </w:tblPr>
    <w:tblStylePr w:type="firstRow">
      <w:pPr>
        <w:spacing w:before="0" w:after="0" w:line="240" w:lineRule="auto"/>
      </w:pPr>
      <w:rPr>
        <w:b/>
        <w:bCs/>
        <w:color w:val="FFFFFF" w:themeColor="background1"/>
      </w:rPr>
      <w:tblPr/>
      <w:tcPr>
        <w:shd w:val="clear" w:color="auto" w:fill="A71930" w:themeFill="accent1"/>
      </w:tcPr>
    </w:tblStylePr>
    <w:tblStylePr w:type="lastRow">
      <w:pPr>
        <w:spacing w:before="0" w:after="0" w:line="240" w:lineRule="auto"/>
      </w:pPr>
      <w:rPr>
        <w:b/>
        <w:bCs/>
      </w:rPr>
      <w:tblPr/>
      <w:tcPr>
        <w:tcBorders>
          <w:top w:val="double" w:sz="6" w:space="0" w:color="A71930" w:themeColor="accent1"/>
          <w:left w:val="single" w:sz="8" w:space="0" w:color="A71930" w:themeColor="accent1"/>
          <w:bottom w:val="single" w:sz="8" w:space="0" w:color="A71930" w:themeColor="accent1"/>
          <w:right w:val="single" w:sz="8" w:space="0" w:color="A71930" w:themeColor="accent1"/>
        </w:tcBorders>
      </w:tcPr>
    </w:tblStylePr>
    <w:tblStylePr w:type="firstCol">
      <w:rPr>
        <w:b/>
        <w:bCs/>
      </w:rPr>
    </w:tblStylePr>
    <w:tblStylePr w:type="lastCol">
      <w:rPr>
        <w:b/>
        <w:bCs/>
      </w:rPr>
    </w:tblStylePr>
    <w:tblStylePr w:type="band1Vert">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tcPr>
    </w:tblStylePr>
    <w:tblStylePr w:type="band1Horz">
      <w:tblPr/>
      <w:tcPr>
        <w:tcBorders>
          <w:top w:val="single" w:sz="8" w:space="0" w:color="A71930" w:themeColor="accent1"/>
          <w:left w:val="single" w:sz="8" w:space="0" w:color="A71930" w:themeColor="accent1"/>
          <w:bottom w:val="single" w:sz="8" w:space="0" w:color="A71930" w:themeColor="accent1"/>
          <w:right w:val="single" w:sz="8" w:space="0" w:color="A71930" w:themeColor="accent1"/>
        </w:tcBorders>
      </w:tcPr>
    </w:tblStylePr>
  </w:style>
  <w:style w:type="table" w:styleId="LightList-Accent2">
    <w:name w:val="Light List Accent 2"/>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tblBorders>
    </w:tblPr>
    <w:tblStylePr w:type="firstRow">
      <w:pPr>
        <w:spacing w:before="0" w:after="0" w:line="240" w:lineRule="auto"/>
      </w:pPr>
      <w:rPr>
        <w:b/>
        <w:bCs/>
        <w:color w:val="FFFFFF" w:themeColor="background1"/>
      </w:rPr>
      <w:tblPr/>
      <w:tcPr>
        <w:shd w:val="clear" w:color="auto" w:fill="EBB700" w:themeFill="accent2"/>
      </w:tcPr>
    </w:tblStylePr>
    <w:tblStylePr w:type="lastRow">
      <w:pPr>
        <w:spacing w:before="0" w:after="0" w:line="240" w:lineRule="auto"/>
      </w:pPr>
      <w:rPr>
        <w:b/>
        <w:bCs/>
      </w:rPr>
      <w:tblPr/>
      <w:tcPr>
        <w:tcBorders>
          <w:top w:val="double" w:sz="6" w:space="0" w:color="EBB700" w:themeColor="accent2"/>
          <w:left w:val="single" w:sz="8" w:space="0" w:color="EBB700" w:themeColor="accent2"/>
          <w:bottom w:val="single" w:sz="8" w:space="0" w:color="EBB700" w:themeColor="accent2"/>
          <w:right w:val="single" w:sz="8" w:space="0" w:color="EBB700" w:themeColor="accent2"/>
        </w:tcBorders>
      </w:tcPr>
    </w:tblStylePr>
    <w:tblStylePr w:type="firstCol">
      <w:rPr>
        <w:b/>
        <w:bCs/>
      </w:rPr>
    </w:tblStylePr>
    <w:tblStylePr w:type="lastCol">
      <w:rPr>
        <w:b/>
        <w:bCs/>
      </w:rPr>
    </w:tblStylePr>
    <w:tblStylePr w:type="band1Vert">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tcPr>
    </w:tblStylePr>
    <w:tblStylePr w:type="band1Horz">
      <w:tblPr/>
      <w:tcPr>
        <w:tcBorders>
          <w:top w:val="single" w:sz="8" w:space="0" w:color="EBB700" w:themeColor="accent2"/>
          <w:left w:val="single" w:sz="8" w:space="0" w:color="EBB700" w:themeColor="accent2"/>
          <w:bottom w:val="single" w:sz="8" w:space="0" w:color="EBB700" w:themeColor="accent2"/>
          <w:right w:val="single" w:sz="8" w:space="0" w:color="EBB700" w:themeColor="accent2"/>
        </w:tcBorders>
      </w:tcPr>
    </w:tblStylePr>
  </w:style>
  <w:style w:type="table" w:styleId="LightList-Accent3">
    <w:name w:val="Light List Accent 3"/>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tblBorders>
    </w:tblPr>
    <w:tblStylePr w:type="firstRow">
      <w:pPr>
        <w:spacing w:before="0" w:after="0" w:line="240" w:lineRule="auto"/>
      </w:pPr>
      <w:rPr>
        <w:b/>
        <w:bCs/>
        <w:color w:val="FFFFFF" w:themeColor="background1"/>
      </w:rPr>
      <w:tblPr/>
      <w:tcPr>
        <w:shd w:val="clear" w:color="auto" w:fill="6773B6" w:themeFill="accent3"/>
      </w:tcPr>
    </w:tblStylePr>
    <w:tblStylePr w:type="lastRow">
      <w:pPr>
        <w:spacing w:before="0" w:after="0" w:line="240" w:lineRule="auto"/>
      </w:pPr>
      <w:rPr>
        <w:b/>
        <w:bCs/>
      </w:rPr>
      <w:tblPr/>
      <w:tcPr>
        <w:tcBorders>
          <w:top w:val="double" w:sz="6" w:space="0" w:color="6773B6" w:themeColor="accent3"/>
          <w:left w:val="single" w:sz="8" w:space="0" w:color="6773B6" w:themeColor="accent3"/>
          <w:bottom w:val="single" w:sz="8" w:space="0" w:color="6773B6" w:themeColor="accent3"/>
          <w:right w:val="single" w:sz="8" w:space="0" w:color="6773B6" w:themeColor="accent3"/>
        </w:tcBorders>
      </w:tcPr>
    </w:tblStylePr>
    <w:tblStylePr w:type="firstCol">
      <w:rPr>
        <w:b/>
        <w:bCs/>
      </w:rPr>
    </w:tblStylePr>
    <w:tblStylePr w:type="lastCol">
      <w:rPr>
        <w:b/>
        <w:bCs/>
      </w:rPr>
    </w:tblStylePr>
    <w:tblStylePr w:type="band1Vert">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tcPr>
    </w:tblStylePr>
    <w:tblStylePr w:type="band1Horz">
      <w:tblPr/>
      <w:tcPr>
        <w:tcBorders>
          <w:top w:val="single" w:sz="8" w:space="0" w:color="6773B6" w:themeColor="accent3"/>
          <w:left w:val="single" w:sz="8" w:space="0" w:color="6773B6" w:themeColor="accent3"/>
          <w:bottom w:val="single" w:sz="8" w:space="0" w:color="6773B6" w:themeColor="accent3"/>
          <w:right w:val="single" w:sz="8" w:space="0" w:color="6773B6" w:themeColor="accent3"/>
        </w:tcBorders>
      </w:tcPr>
    </w:tblStylePr>
  </w:style>
  <w:style w:type="table" w:styleId="LightList-Accent4">
    <w:name w:val="Light List Accent 4"/>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tblBorders>
    </w:tblPr>
    <w:tblStylePr w:type="firstRow">
      <w:pPr>
        <w:spacing w:before="0" w:after="0" w:line="240" w:lineRule="auto"/>
      </w:pPr>
      <w:rPr>
        <w:b/>
        <w:bCs/>
        <w:color w:val="FFFFFF" w:themeColor="background1"/>
      </w:rPr>
      <w:tblPr/>
      <w:tcPr>
        <w:shd w:val="clear" w:color="auto" w:fill="A2AD00" w:themeFill="accent4"/>
      </w:tcPr>
    </w:tblStylePr>
    <w:tblStylePr w:type="lastRow">
      <w:pPr>
        <w:spacing w:before="0" w:after="0" w:line="240" w:lineRule="auto"/>
      </w:pPr>
      <w:rPr>
        <w:b/>
        <w:bCs/>
      </w:rPr>
      <w:tblPr/>
      <w:tcPr>
        <w:tcBorders>
          <w:top w:val="double" w:sz="6" w:space="0" w:color="A2AD00" w:themeColor="accent4"/>
          <w:left w:val="single" w:sz="8" w:space="0" w:color="A2AD00" w:themeColor="accent4"/>
          <w:bottom w:val="single" w:sz="8" w:space="0" w:color="A2AD00" w:themeColor="accent4"/>
          <w:right w:val="single" w:sz="8" w:space="0" w:color="A2AD00" w:themeColor="accent4"/>
        </w:tcBorders>
      </w:tcPr>
    </w:tblStylePr>
    <w:tblStylePr w:type="firstCol">
      <w:rPr>
        <w:b/>
        <w:bCs/>
      </w:rPr>
    </w:tblStylePr>
    <w:tblStylePr w:type="lastCol">
      <w:rPr>
        <w:b/>
        <w:bCs/>
      </w:rPr>
    </w:tblStylePr>
    <w:tblStylePr w:type="band1Vert">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tcPr>
    </w:tblStylePr>
    <w:tblStylePr w:type="band1Horz">
      <w:tblPr/>
      <w:tcPr>
        <w:tcBorders>
          <w:top w:val="single" w:sz="8" w:space="0" w:color="A2AD00" w:themeColor="accent4"/>
          <w:left w:val="single" w:sz="8" w:space="0" w:color="A2AD00" w:themeColor="accent4"/>
          <w:bottom w:val="single" w:sz="8" w:space="0" w:color="A2AD00" w:themeColor="accent4"/>
          <w:right w:val="single" w:sz="8" w:space="0" w:color="A2AD00" w:themeColor="accent4"/>
        </w:tcBorders>
      </w:tcPr>
    </w:tblStylePr>
  </w:style>
  <w:style w:type="table" w:styleId="LightList-Accent5">
    <w:name w:val="Light List Accent 5"/>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tblBorders>
    </w:tblPr>
    <w:tblStylePr w:type="firstRow">
      <w:pPr>
        <w:spacing w:before="0" w:after="0" w:line="240" w:lineRule="auto"/>
      </w:pPr>
      <w:rPr>
        <w:b/>
        <w:bCs/>
        <w:color w:val="FFFFFF" w:themeColor="background1"/>
      </w:rPr>
      <w:tblPr/>
      <w:tcPr>
        <w:shd w:val="clear" w:color="auto" w:fill="8B8D8E" w:themeFill="accent5"/>
      </w:tcPr>
    </w:tblStylePr>
    <w:tblStylePr w:type="lastRow">
      <w:pPr>
        <w:spacing w:before="0" w:after="0" w:line="240" w:lineRule="auto"/>
      </w:pPr>
      <w:rPr>
        <w:b/>
        <w:bCs/>
      </w:rPr>
      <w:tblPr/>
      <w:tcPr>
        <w:tcBorders>
          <w:top w:val="double" w:sz="6" w:space="0" w:color="8B8D8E" w:themeColor="accent5"/>
          <w:left w:val="single" w:sz="8" w:space="0" w:color="8B8D8E" w:themeColor="accent5"/>
          <w:bottom w:val="single" w:sz="8" w:space="0" w:color="8B8D8E" w:themeColor="accent5"/>
          <w:right w:val="single" w:sz="8" w:space="0" w:color="8B8D8E" w:themeColor="accent5"/>
        </w:tcBorders>
      </w:tcPr>
    </w:tblStylePr>
    <w:tblStylePr w:type="firstCol">
      <w:rPr>
        <w:b/>
        <w:bCs/>
      </w:rPr>
    </w:tblStylePr>
    <w:tblStylePr w:type="lastCol">
      <w:rPr>
        <w:b/>
        <w:bCs/>
      </w:rPr>
    </w:tblStylePr>
    <w:tblStylePr w:type="band1Vert">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tcPr>
    </w:tblStylePr>
    <w:tblStylePr w:type="band1Horz">
      <w:tblPr/>
      <w:tcPr>
        <w:tcBorders>
          <w:top w:val="single" w:sz="8" w:space="0" w:color="8B8D8E" w:themeColor="accent5"/>
          <w:left w:val="single" w:sz="8" w:space="0" w:color="8B8D8E" w:themeColor="accent5"/>
          <w:bottom w:val="single" w:sz="8" w:space="0" w:color="8B8D8E" w:themeColor="accent5"/>
          <w:right w:val="single" w:sz="8" w:space="0" w:color="8B8D8E" w:themeColor="accent5"/>
        </w:tcBorders>
      </w:tcPr>
    </w:tblStylePr>
  </w:style>
  <w:style w:type="table" w:styleId="LightList-Accent6">
    <w:name w:val="Light List Accent 6"/>
    <w:basedOn w:val="TableNormal"/>
    <w:uiPriority w:val="61"/>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tblBorders>
    </w:tblPr>
    <w:tblStylePr w:type="firstRow">
      <w:pPr>
        <w:spacing w:before="0" w:after="0" w:line="240" w:lineRule="auto"/>
      </w:pPr>
      <w:rPr>
        <w:b/>
        <w:bCs/>
        <w:color w:val="FFFFFF" w:themeColor="background1"/>
      </w:rPr>
      <w:tblPr/>
      <w:tcPr>
        <w:shd w:val="clear" w:color="auto" w:fill="404143" w:themeFill="accent6"/>
      </w:tcPr>
    </w:tblStylePr>
    <w:tblStylePr w:type="lastRow">
      <w:pPr>
        <w:spacing w:before="0" w:after="0" w:line="240" w:lineRule="auto"/>
      </w:pPr>
      <w:rPr>
        <w:b/>
        <w:bCs/>
      </w:rPr>
      <w:tblPr/>
      <w:tcPr>
        <w:tcBorders>
          <w:top w:val="double" w:sz="6" w:space="0" w:color="404143" w:themeColor="accent6"/>
          <w:left w:val="single" w:sz="8" w:space="0" w:color="404143" w:themeColor="accent6"/>
          <w:bottom w:val="single" w:sz="8" w:space="0" w:color="404143" w:themeColor="accent6"/>
          <w:right w:val="single" w:sz="8" w:space="0" w:color="404143" w:themeColor="accent6"/>
        </w:tcBorders>
      </w:tcPr>
    </w:tblStylePr>
    <w:tblStylePr w:type="firstCol">
      <w:rPr>
        <w:b/>
        <w:bCs/>
      </w:rPr>
    </w:tblStylePr>
    <w:tblStylePr w:type="lastCol">
      <w:rPr>
        <w:b/>
        <w:bCs/>
      </w:rPr>
    </w:tblStylePr>
    <w:tblStylePr w:type="band1Vert">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tcPr>
    </w:tblStylePr>
    <w:tblStylePr w:type="band1Horz">
      <w:tblPr/>
      <w:tcPr>
        <w:tcBorders>
          <w:top w:val="single" w:sz="8" w:space="0" w:color="404143" w:themeColor="accent6"/>
          <w:left w:val="single" w:sz="8" w:space="0" w:color="404143" w:themeColor="accent6"/>
          <w:bottom w:val="single" w:sz="8" w:space="0" w:color="404143" w:themeColor="accent6"/>
          <w:right w:val="single" w:sz="8" w:space="0" w:color="404143" w:themeColor="accent6"/>
        </w:tcBorders>
      </w:tcPr>
    </w:tblStylePr>
  </w:style>
  <w:style w:type="table" w:styleId="LightShading">
    <w:name w:val="Light Shading"/>
    <w:basedOn w:val="TableNormal"/>
    <w:uiPriority w:val="60"/>
    <w:semiHidden/>
    <w:unhideWhenUsed/>
    <w:rsid w:val="00F3012E"/>
    <w:rPr>
      <w:rFonts w:asciiTheme="minorHAnsi" w:hAnsiTheme="minorHAnsi" w:cstheme="minorBidi"/>
      <w:color w:val="303032" w:themeColor="text1" w:themeShade="BF"/>
      <w:sz w:val="22"/>
      <w:szCs w:val="22"/>
      <w:lang w:eastAsia="zh-CN"/>
    </w:rPr>
    <w:tblPr>
      <w:tblStyleRowBandSize w:val="1"/>
      <w:tblStyleColBandSize w:val="1"/>
      <w:tblBorders>
        <w:top w:val="single" w:sz="8" w:space="0" w:color="404143" w:themeColor="text1"/>
        <w:bottom w:val="single" w:sz="8" w:space="0" w:color="404143" w:themeColor="text1"/>
      </w:tblBorders>
    </w:tblPr>
    <w:tblStylePr w:type="firstRow">
      <w:pPr>
        <w:spacing w:before="0" w:after="0" w:line="240" w:lineRule="auto"/>
      </w:pPr>
      <w:rPr>
        <w:b/>
        <w:bCs/>
      </w:rPr>
      <w:tblPr/>
      <w:tcPr>
        <w:tcBorders>
          <w:top w:val="single" w:sz="8" w:space="0" w:color="404143" w:themeColor="text1"/>
          <w:left w:val="nil"/>
          <w:bottom w:val="single" w:sz="8" w:space="0" w:color="404143" w:themeColor="text1"/>
          <w:right w:val="nil"/>
          <w:insideH w:val="nil"/>
          <w:insideV w:val="nil"/>
        </w:tcBorders>
      </w:tcPr>
    </w:tblStylePr>
    <w:tblStylePr w:type="lastRow">
      <w:pPr>
        <w:spacing w:before="0" w:after="0" w:line="240" w:lineRule="auto"/>
      </w:pPr>
      <w:rPr>
        <w:b/>
        <w:bCs/>
      </w:rPr>
      <w:tblPr/>
      <w:tcPr>
        <w:tcBorders>
          <w:top w:val="single" w:sz="8" w:space="0" w:color="404143" w:themeColor="text1"/>
          <w:left w:val="nil"/>
          <w:bottom w:val="single" w:sz="8" w:space="0" w:color="40414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1" w:themeFill="text1" w:themeFillTint="3F"/>
      </w:tcPr>
    </w:tblStylePr>
    <w:tblStylePr w:type="band1Horz">
      <w:tblPr/>
      <w:tcPr>
        <w:tcBorders>
          <w:left w:val="nil"/>
          <w:right w:val="nil"/>
          <w:insideH w:val="nil"/>
          <w:insideV w:val="nil"/>
        </w:tcBorders>
        <w:shd w:val="clear" w:color="auto" w:fill="CFCFD1" w:themeFill="text1" w:themeFillTint="3F"/>
      </w:tcPr>
    </w:tblStylePr>
  </w:style>
  <w:style w:type="table" w:styleId="LightShading-Accent1">
    <w:name w:val="Light Shading Accent 1"/>
    <w:basedOn w:val="TableNormal"/>
    <w:uiPriority w:val="60"/>
    <w:semiHidden/>
    <w:unhideWhenUsed/>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8" w:space="0" w:color="A71930" w:themeColor="accent1"/>
        <w:bottom w:val="single" w:sz="8" w:space="0" w:color="A71930" w:themeColor="accent1"/>
      </w:tblBorders>
    </w:tblPr>
    <w:tblStylePr w:type="firstRow">
      <w:pPr>
        <w:spacing w:before="0" w:after="0" w:line="240" w:lineRule="auto"/>
      </w:pPr>
      <w:rPr>
        <w:b/>
        <w:bCs/>
      </w:rPr>
      <w:tblPr/>
      <w:tcPr>
        <w:tcBorders>
          <w:top w:val="single" w:sz="8" w:space="0" w:color="A71930" w:themeColor="accent1"/>
          <w:left w:val="nil"/>
          <w:bottom w:val="single" w:sz="8" w:space="0" w:color="A71930" w:themeColor="accent1"/>
          <w:right w:val="nil"/>
          <w:insideH w:val="nil"/>
          <w:insideV w:val="nil"/>
        </w:tcBorders>
      </w:tcPr>
    </w:tblStylePr>
    <w:tblStylePr w:type="lastRow">
      <w:pPr>
        <w:spacing w:before="0" w:after="0" w:line="240" w:lineRule="auto"/>
      </w:pPr>
      <w:rPr>
        <w:b/>
        <w:bCs/>
      </w:rPr>
      <w:tblPr/>
      <w:tcPr>
        <w:tcBorders>
          <w:top w:val="single" w:sz="8" w:space="0" w:color="A71930" w:themeColor="accent1"/>
          <w:left w:val="nil"/>
          <w:bottom w:val="single" w:sz="8" w:space="0" w:color="A7193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AC3" w:themeFill="accent1" w:themeFillTint="3F"/>
      </w:tcPr>
    </w:tblStylePr>
    <w:tblStylePr w:type="band1Horz">
      <w:tblPr/>
      <w:tcPr>
        <w:tcBorders>
          <w:left w:val="nil"/>
          <w:right w:val="nil"/>
          <w:insideH w:val="nil"/>
          <w:insideV w:val="nil"/>
        </w:tcBorders>
        <w:shd w:val="clear" w:color="auto" w:fill="F4BAC3" w:themeFill="accent1" w:themeFillTint="3F"/>
      </w:tcPr>
    </w:tblStylePr>
  </w:style>
  <w:style w:type="table" w:styleId="LightShading-Accent2">
    <w:name w:val="Light Shading Accent 2"/>
    <w:basedOn w:val="TableNormal"/>
    <w:uiPriority w:val="60"/>
    <w:semiHidden/>
    <w:unhideWhenUsed/>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8" w:space="0" w:color="EBB700" w:themeColor="accent2"/>
        <w:bottom w:val="single" w:sz="8" w:space="0" w:color="EBB700" w:themeColor="accent2"/>
      </w:tblBorders>
    </w:tblPr>
    <w:tblStylePr w:type="firstRow">
      <w:pPr>
        <w:spacing w:before="0" w:after="0" w:line="240" w:lineRule="auto"/>
      </w:pPr>
      <w:rPr>
        <w:b/>
        <w:bCs/>
      </w:rPr>
      <w:tblPr/>
      <w:tcPr>
        <w:tcBorders>
          <w:top w:val="single" w:sz="8" w:space="0" w:color="EBB700" w:themeColor="accent2"/>
          <w:left w:val="nil"/>
          <w:bottom w:val="single" w:sz="8" w:space="0" w:color="EBB700" w:themeColor="accent2"/>
          <w:right w:val="nil"/>
          <w:insideH w:val="nil"/>
          <w:insideV w:val="nil"/>
        </w:tcBorders>
      </w:tcPr>
    </w:tblStylePr>
    <w:tblStylePr w:type="lastRow">
      <w:pPr>
        <w:spacing w:before="0" w:after="0" w:line="240" w:lineRule="auto"/>
      </w:pPr>
      <w:rPr>
        <w:b/>
        <w:bCs/>
      </w:rPr>
      <w:tblPr/>
      <w:tcPr>
        <w:tcBorders>
          <w:top w:val="single" w:sz="8" w:space="0" w:color="EBB700" w:themeColor="accent2"/>
          <w:left w:val="nil"/>
          <w:bottom w:val="single" w:sz="8" w:space="0" w:color="EBB7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B" w:themeFill="accent2" w:themeFillTint="3F"/>
      </w:tcPr>
    </w:tblStylePr>
    <w:tblStylePr w:type="band1Horz">
      <w:tblPr/>
      <w:tcPr>
        <w:tcBorders>
          <w:left w:val="nil"/>
          <w:right w:val="nil"/>
          <w:insideH w:val="nil"/>
          <w:insideV w:val="nil"/>
        </w:tcBorders>
        <w:shd w:val="clear" w:color="auto" w:fill="FFEFBB" w:themeFill="accent2" w:themeFillTint="3F"/>
      </w:tcPr>
    </w:tblStylePr>
  </w:style>
  <w:style w:type="table" w:styleId="LightShading-Accent3">
    <w:name w:val="Light Shading Accent 3"/>
    <w:basedOn w:val="TableNormal"/>
    <w:uiPriority w:val="60"/>
    <w:semiHidden/>
    <w:unhideWhenUsed/>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8" w:space="0" w:color="6773B6" w:themeColor="accent3"/>
        <w:bottom w:val="single" w:sz="8" w:space="0" w:color="6773B6" w:themeColor="accent3"/>
      </w:tblBorders>
    </w:tblPr>
    <w:tblStylePr w:type="firstRow">
      <w:pPr>
        <w:spacing w:before="0" w:after="0" w:line="240" w:lineRule="auto"/>
      </w:pPr>
      <w:rPr>
        <w:b/>
        <w:bCs/>
      </w:rPr>
      <w:tblPr/>
      <w:tcPr>
        <w:tcBorders>
          <w:top w:val="single" w:sz="8" w:space="0" w:color="6773B6" w:themeColor="accent3"/>
          <w:left w:val="nil"/>
          <w:bottom w:val="single" w:sz="8" w:space="0" w:color="6773B6" w:themeColor="accent3"/>
          <w:right w:val="nil"/>
          <w:insideH w:val="nil"/>
          <w:insideV w:val="nil"/>
        </w:tcBorders>
      </w:tcPr>
    </w:tblStylePr>
    <w:tblStylePr w:type="lastRow">
      <w:pPr>
        <w:spacing w:before="0" w:after="0" w:line="240" w:lineRule="auto"/>
      </w:pPr>
      <w:rPr>
        <w:b/>
        <w:bCs/>
      </w:rPr>
      <w:tblPr/>
      <w:tcPr>
        <w:tcBorders>
          <w:top w:val="single" w:sz="8" w:space="0" w:color="6773B6" w:themeColor="accent3"/>
          <w:left w:val="nil"/>
          <w:bottom w:val="single" w:sz="8" w:space="0" w:color="6773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CED" w:themeFill="accent3" w:themeFillTint="3F"/>
      </w:tcPr>
    </w:tblStylePr>
    <w:tblStylePr w:type="band1Horz">
      <w:tblPr/>
      <w:tcPr>
        <w:tcBorders>
          <w:left w:val="nil"/>
          <w:right w:val="nil"/>
          <w:insideH w:val="nil"/>
          <w:insideV w:val="nil"/>
        </w:tcBorders>
        <w:shd w:val="clear" w:color="auto" w:fill="D9DCED" w:themeFill="accent3" w:themeFillTint="3F"/>
      </w:tcPr>
    </w:tblStylePr>
  </w:style>
  <w:style w:type="table" w:styleId="LightShading-Accent4">
    <w:name w:val="Light Shading Accent 4"/>
    <w:basedOn w:val="TableNormal"/>
    <w:uiPriority w:val="60"/>
    <w:semiHidden/>
    <w:unhideWhenUsed/>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8" w:space="0" w:color="A2AD00" w:themeColor="accent4"/>
        <w:bottom w:val="single" w:sz="8" w:space="0" w:color="A2AD00" w:themeColor="accent4"/>
      </w:tblBorders>
    </w:tblPr>
    <w:tblStylePr w:type="firstRow">
      <w:pPr>
        <w:spacing w:before="0" w:after="0" w:line="240" w:lineRule="auto"/>
      </w:pPr>
      <w:rPr>
        <w:b/>
        <w:bCs/>
      </w:rPr>
      <w:tblPr/>
      <w:tcPr>
        <w:tcBorders>
          <w:top w:val="single" w:sz="8" w:space="0" w:color="A2AD00" w:themeColor="accent4"/>
          <w:left w:val="nil"/>
          <w:bottom w:val="single" w:sz="8" w:space="0" w:color="A2AD00" w:themeColor="accent4"/>
          <w:right w:val="nil"/>
          <w:insideH w:val="nil"/>
          <w:insideV w:val="nil"/>
        </w:tcBorders>
      </w:tcPr>
    </w:tblStylePr>
    <w:tblStylePr w:type="lastRow">
      <w:pPr>
        <w:spacing w:before="0" w:after="0" w:line="240" w:lineRule="auto"/>
      </w:pPr>
      <w:rPr>
        <w:b/>
        <w:bCs/>
      </w:rPr>
      <w:tblPr/>
      <w:tcPr>
        <w:tcBorders>
          <w:top w:val="single" w:sz="8" w:space="0" w:color="A2AD00" w:themeColor="accent4"/>
          <w:left w:val="nil"/>
          <w:bottom w:val="single" w:sz="8" w:space="0" w:color="A2AD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FAB" w:themeFill="accent4" w:themeFillTint="3F"/>
      </w:tcPr>
    </w:tblStylePr>
    <w:tblStylePr w:type="band1Horz">
      <w:tblPr/>
      <w:tcPr>
        <w:tcBorders>
          <w:left w:val="nil"/>
          <w:right w:val="nil"/>
          <w:insideH w:val="nil"/>
          <w:insideV w:val="nil"/>
        </w:tcBorders>
        <w:shd w:val="clear" w:color="auto" w:fill="F9FFAB" w:themeFill="accent4" w:themeFillTint="3F"/>
      </w:tcPr>
    </w:tblStylePr>
  </w:style>
  <w:style w:type="table" w:styleId="LightShading-Accent5">
    <w:name w:val="Light Shading Accent 5"/>
    <w:basedOn w:val="TableNormal"/>
    <w:uiPriority w:val="60"/>
    <w:semiHidden/>
    <w:unhideWhenUsed/>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8" w:space="0" w:color="8B8D8E" w:themeColor="accent5"/>
        <w:bottom w:val="single" w:sz="8" w:space="0" w:color="8B8D8E" w:themeColor="accent5"/>
      </w:tblBorders>
    </w:tblPr>
    <w:tblStylePr w:type="firstRow">
      <w:pPr>
        <w:spacing w:before="0" w:after="0" w:line="240" w:lineRule="auto"/>
      </w:pPr>
      <w:rPr>
        <w:b/>
        <w:bCs/>
      </w:rPr>
      <w:tblPr/>
      <w:tcPr>
        <w:tcBorders>
          <w:top w:val="single" w:sz="8" w:space="0" w:color="8B8D8E" w:themeColor="accent5"/>
          <w:left w:val="nil"/>
          <w:bottom w:val="single" w:sz="8" w:space="0" w:color="8B8D8E" w:themeColor="accent5"/>
          <w:right w:val="nil"/>
          <w:insideH w:val="nil"/>
          <w:insideV w:val="nil"/>
        </w:tcBorders>
      </w:tcPr>
    </w:tblStylePr>
    <w:tblStylePr w:type="lastRow">
      <w:pPr>
        <w:spacing w:before="0" w:after="0" w:line="240" w:lineRule="auto"/>
      </w:pPr>
      <w:rPr>
        <w:b/>
        <w:bCs/>
      </w:rPr>
      <w:tblPr/>
      <w:tcPr>
        <w:tcBorders>
          <w:top w:val="single" w:sz="8" w:space="0" w:color="8B8D8E" w:themeColor="accent5"/>
          <w:left w:val="nil"/>
          <w:bottom w:val="single" w:sz="8" w:space="0" w:color="8B8D8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2E3" w:themeFill="accent5" w:themeFillTint="3F"/>
      </w:tcPr>
    </w:tblStylePr>
    <w:tblStylePr w:type="band1Horz">
      <w:tblPr/>
      <w:tcPr>
        <w:tcBorders>
          <w:left w:val="nil"/>
          <w:right w:val="nil"/>
          <w:insideH w:val="nil"/>
          <w:insideV w:val="nil"/>
        </w:tcBorders>
        <w:shd w:val="clear" w:color="auto" w:fill="E2E2E3" w:themeFill="accent5" w:themeFillTint="3F"/>
      </w:tcPr>
    </w:tblStylePr>
  </w:style>
  <w:style w:type="table" w:styleId="LightShading-Accent6">
    <w:name w:val="Light Shading Accent 6"/>
    <w:basedOn w:val="TableNormal"/>
    <w:uiPriority w:val="60"/>
    <w:semiHidden/>
    <w:unhideWhenUsed/>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8" w:space="0" w:color="404143" w:themeColor="accent6"/>
        <w:bottom w:val="single" w:sz="8" w:space="0" w:color="404143" w:themeColor="accent6"/>
      </w:tblBorders>
    </w:tblPr>
    <w:tblStylePr w:type="firstRow">
      <w:pPr>
        <w:spacing w:before="0" w:after="0" w:line="240" w:lineRule="auto"/>
      </w:pPr>
      <w:rPr>
        <w:b/>
        <w:bCs/>
      </w:rPr>
      <w:tblPr/>
      <w:tcPr>
        <w:tcBorders>
          <w:top w:val="single" w:sz="8" w:space="0" w:color="404143" w:themeColor="accent6"/>
          <w:left w:val="nil"/>
          <w:bottom w:val="single" w:sz="8" w:space="0" w:color="404143" w:themeColor="accent6"/>
          <w:right w:val="nil"/>
          <w:insideH w:val="nil"/>
          <w:insideV w:val="nil"/>
        </w:tcBorders>
      </w:tcPr>
    </w:tblStylePr>
    <w:tblStylePr w:type="lastRow">
      <w:pPr>
        <w:spacing w:before="0" w:after="0" w:line="240" w:lineRule="auto"/>
      </w:pPr>
      <w:rPr>
        <w:b/>
        <w:bCs/>
      </w:rPr>
      <w:tblPr/>
      <w:tcPr>
        <w:tcBorders>
          <w:top w:val="single" w:sz="8" w:space="0" w:color="404143" w:themeColor="accent6"/>
          <w:left w:val="nil"/>
          <w:bottom w:val="single" w:sz="8" w:space="0" w:color="40414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1" w:themeFill="accent6" w:themeFillTint="3F"/>
      </w:tcPr>
    </w:tblStylePr>
    <w:tblStylePr w:type="band1Horz">
      <w:tblPr/>
      <w:tcPr>
        <w:tcBorders>
          <w:left w:val="nil"/>
          <w:right w:val="nil"/>
          <w:insideH w:val="nil"/>
          <w:insideV w:val="nil"/>
        </w:tcBorders>
        <w:shd w:val="clear" w:color="auto" w:fill="CFCFD1" w:themeFill="accent6" w:themeFillTint="3F"/>
      </w:tcPr>
    </w:tblStylePr>
  </w:style>
  <w:style w:type="table" w:styleId="ListTable1Light">
    <w:name w:val="List Table 1 Light"/>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8A8C8F" w:themeColor="text1" w:themeTint="99"/>
        </w:tcBorders>
      </w:tcPr>
    </w:tblStylePr>
    <w:tblStylePr w:type="lastRow">
      <w:rPr>
        <w:b/>
        <w:bCs/>
      </w:rPr>
      <w:tblPr/>
      <w:tcPr>
        <w:tcBorders>
          <w:top w:val="single" w:sz="4" w:space="0" w:color="8A8C8F" w:themeColor="text1" w:themeTint="99"/>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1Light-Accent1">
    <w:name w:val="List Table 1 Light Accent 1"/>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E6586F" w:themeColor="accent1" w:themeTint="99"/>
        </w:tcBorders>
      </w:tcPr>
    </w:tblStylePr>
    <w:tblStylePr w:type="lastRow">
      <w:rPr>
        <w:b/>
        <w:bCs/>
      </w:rPr>
      <w:tblPr/>
      <w:tcPr>
        <w:tcBorders>
          <w:top w:val="single" w:sz="4" w:space="0" w:color="E6586F" w:themeColor="accent1" w:themeTint="99"/>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1Light-Accent2">
    <w:name w:val="List Table 1 Light Accent 2"/>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FFDA5A" w:themeColor="accent2" w:themeTint="99"/>
        </w:tcBorders>
      </w:tcPr>
    </w:tblStylePr>
    <w:tblStylePr w:type="lastRow">
      <w:rPr>
        <w:b/>
        <w:bCs/>
      </w:rPr>
      <w:tblPr/>
      <w:tcPr>
        <w:tcBorders>
          <w:top w:val="single" w:sz="4" w:space="0" w:color="FFDA5A" w:themeColor="accent2" w:themeTint="99"/>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1Light-Accent3">
    <w:name w:val="List Table 1 Light Accent 3"/>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A3AAD3" w:themeColor="accent3" w:themeTint="99"/>
        </w:tcBorders>
      </w:tcPr>
    </w:tblStylePr>
    <w:tblStylePr w:type="lastRow">
      <w:rPr>
        <w:b/>
        <w:bCs/>
      </w:rPr>
      <w:tblPr/>
      <w:tcPr>
        <w:tcBorders>
          <w:top w:val="single" w:sz="4" w:space="0" w:color="A3AAD3" w:themeColor="accent3" w:themeTint="99"/>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1Light-Accent4">
    <w:name w:val="List Table 1 Light Accent 4"/>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F1FF34" w:themeColor="accent4" w:themeTint="99"/>
        </w:tcBorders>
      </w:tcPr>
    </w:tblStylePr>
    <w:tblStylePr w:type="lastRow">
      <w:rPr>
        <w:b/>
        <w:bCs/>
      </w:rPr>
      <w:tblPr/>
      <w:tcPr>
        <w:tcBorders>
          <w:top w:val="single" w:sz="4" w:space="0" w:color="F1FF34" w:themeColor="accent4" w:themeTint="99"/>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1Light-Accent5">
    <w:name w:val="List Table 1 Light Accent 5"/>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B9BABB" w:themeColor="accent5" w:themeTint="99"/>
        </w:tcBorders>
      </w:tcPr>
    </w:tblStylePr>
    <w:tblStylePr w:type="lastRow">
      <w:rPr>
        <w:b/>
        <w:bCs/>
      </w:rPr>
      <w:tblPr/>
      <w:tcPr>
        <w:tcBorders>
          <w:top w:val="single" w:sz="4" w:space="0" w:color="B9BABB" w:themeColor="accent5" w:themeTint="99"/>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1Light-Accent6">
    <w:name w:val="List Table 1 Light Accent 6"/>
    <w:basedOn w:val="TableNormal"/>
    <w:uiPriority w:val="46"/>
    <w:rsid w:val="00F3012E"/>
    <w:rPr>
      <w:rFonts w:asciiTheme="minorHAnsi" w:hAnsiTheme="minorHAnsi" w:cstheme="minorBidi"/>
      <w:sz w:val="22"/>
      <w:szCs w:val="22"/>
      <w:lang w:eastAsia="zh-CN"/>
    </w:rPr>
    <w:tblPr>
      <w:tblStyleRowBandSize w:val="1"/>
      <w:tblStyleColBandSize w:val="1"/>
    </w:tblPr>
    <w:tblStylePr w:type="firstRow">
      <w:rPr>
        <w:b/>
        <w:bCs/>
      </w:rPr>
      <w:tblPr/>
      <w:tcPr>
        <w:tcBorders>
          <w:bottom w:val="single" w:sz="4" w:space="0" w:color="8A8C8F" w:themeColor="accent6" w:themeTint="99"/>
        </w:tcBorders>
      </w:tcPr>
    </w:tblStylePr>
    <w:tblStylePr w:type="lastRow">
      <w:rPr>
        <w:b/>
        <w:bCs/>
      </w:rPr>
      <w:tblPr/>
      <w:tcPr>
        <w:tcBorders>
          <w:top w:val="single" w:sz="4" w:space="0" w:color="8A8C8F" w:themeColor="accent6" w:themeTint="99"/>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2">
    <w:name w:val="List Table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bottom w:val="single" w:sz="4" w:space="0" w:color="8A8C8F" w:themeColor="text1" w:themeTint="99"/>
        <w:insideH w:val="single" w:sz="4" w:space="0" w:color="8A8C8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2-Accent1">
    <w:name w:val="List Table 2 Accent 1"/>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bottom w:val="single" w:sz="4" w:space="0" w:color="E6586F" w:themeColor="accent1" w:themeTint="99"/>
        <w:insideH w:val="single" w:sz="4" w:space="0" w:color="E6586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2-Accent2">
    <w:name w:val="List Table 2 Accent 2"/>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bottom w:val="single" w:sz="4" w:space="0" w:color="FFDA5A" w:themeColor="accent2" w:themeTint="99"/>
        <w:insideH w:val="single" w:sz="4" w:space="0" w:color="FFDA5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2-Accent3">
    <w:name w:val="List Table 2 Accent 3"/>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bottom w:val="single" w:sz="4" w:space="0" w:color="A3AAD3" w:themeColor="accent3" w:themeTint="99"/>
        <w:insideH w:val="single" w:sz="4" w:space="0" w:color="A3AA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2-Accent4">
    <w:name w:val="List Table 2 Accent 4"/>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bottom w:val="single" w:sz="4" w:space="0" w:color="F1FF34" w:themeColor="accent4" w:themeTint="99"/>
        <w:insideH w:val="single" w:sz="4" w:space="0" w:color="F1FF3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2-Accent5">
    <w:name w:val="List Table 2 Accent 5"/>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bottom w:val="single" w:sz="4" w:space="0" w:color="B9BABB" w:themeColor="accent5" w:themeTint="99"/>
        <w:insideH w:val="single" w:sz="4" w:space="0" w:color="B9BA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2-Accent6">
    <w:name w:val="List Table 2 Accent 6"/>
    <w:basedOn w:val="TableNormal"/>
    <w:uiPriority w:val="47"/>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bottom w:val="single" w:sz="4" w:space="0" w:color="8A8C8F" w:themeColor="accent6" w:themeTint="99"/>
        <w:insideH w:val="single" w:sz="4" w:space="0" w:color="8A8C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3">
    <w:name w:val="List Table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404143" w:themeColor="text1"/>
        <w:left w:val="single" w:sz="4" w:space="0" w:color="404143" w:themeColor="text1"/>
        <w:bottom w:val="single" w:sz="4" w:space="0" w:color="404143" w:themeColor="text1"/>
        <w:right w:val="single" w:sz="4" w:space="0" w:color="404143" w:themeColor="text1"/>
      </w:tblBorders>
    </w:tblPr>
    <w:tblStylePr w:type="firstRow">
      <w:rPr>
        <w:b/>
        <w:bCs/>
        <w:color w:val="FFFFFF" w:themeColor="background1"/>
      </w:rPr>
      <w:tblPr/>
      <w:tcPr>
        <w:shd w:val="clear" w:color="auto" w:fill="404143" w:themeFill="text1"/>
      </w:tcPr>
    </w:tblStylePr>
    <w:tblStylePr w:type="lastRow">
      <w:rPr>
        <w:b/>
        <w:bCs/>
      </w:rPr>
      <w:tblPr/>
      <w:tcPr>
        <w:tcBorders>
          <w:top w:val="double" w:sz="4" w:space="0" w:color="40414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143" w:themeColor="text1"/>
          <w:right w:val="single" w:sz="4" w:space="0" w:color="404143" w:themeColor="text1"/>
        </w:tcBorders>
      </w:tcPr>
    </w:tblStylePr>
    <w:tblStylePr w:type="band1Horz">
      <w:tblPr/>
      <w:tcPr>
        <w:tcBorders>
          <w:top w:val="single" w:sz="4" w:space="0" w:color="404143" w:themeColor="text1"/>
          <w:bottom w:val="single" w:sz="4" w:space="0" w:color="40414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143" w:themeColor="text1"/>
          <w:left w:val="nil"/>
        </w:tcBorders>
      </w:tcPr>
    </w:tblStylePr>
    <w:tblStylePr w:type="swCell">
      <w:tblPr/>
      <w:tcPr>
        <w:tcBorders>
          <w:top w:val="double" w:sz="4" w:space="0" w:color="404143" w:themeColor="text1"/>
          <w:right w:val="nil"/>
        </w:tcBorders>
      </w:tcPr>
    </w:tblStylePr>
  </w:style>
  <w:style w:type="table" w:styleId="ListTable3-Accent1">
    <w:name w:val="List Table 3 Accent 1"/>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A71930" w:themeColor="accent1"/>
        <w:left w:val="single" w:sz="4" w:space="0" w:color="A71930" w:themeColor="accent1"/>
        <w:bottom w:val="single" w:sz="4" w:space="0" w:color="A71930" w:themeColor="accent1"/>
        <w:right w:val="single" w:sz="4" w:space="0" w:color="A71930" w:themeColor="accent1"/>
      </w:tblBorders>
    </w:tblPr>
    <w:tblStylePr w:type="firstRow">
      <w:rPr>
        <w:b/>
        <w:bCs/>
        <w:color w:val="FFFFFF" w:themeColor="background1"/>
      </w:rPr>
      <w:tblPr/>
      <w:tcPr>
        <w:shd w:val="clear" w:color="auto" w:fill="A71930" w:themeFill="accent1"/>
      </w:tcPr>
    </w:tblStylePr>
    <w:tblStylePr w:type="lastRow">
      <w:rPr>
        <w:b/>
        <w:bCs/>
      </w:rPr>
      <w:tblPr/>
      <w:tcPr>
        <w:tcBorders>
          <w:top w:val="double" w:sz="4" w:space="0" w:color="A7193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1930" w:themeColor="accent1"/>
          <w:right w:val="single" w:sz="4" w:space="0" w:color="A71930" w:themeColor="accent1"/>
        </w:tcBorders>
      </w:tcPr>
    </w:tblStylePr>
    <w:tblStylePr w:type="band1Horz">
      <w:tblPr/>
      <w:tcPr>
        <w:tcBorders>
          <w:top w:val="single" w:sz="4" w:space="0" w:color="A71930" w:themeColor="accent1"/>
          <w:bottom w:val="single" w:sz="4" w:space="0" w:color="A7193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1930" w:themeColor="accent1"/>
          <w:left w:val="nil"/>
        </w:tcBorders>
      </w:tcPr>
    </w:tblStylePr>
    <w:tblStylePr w:type="swCell">
      <w:tblPr/>
      <w:tcPr>
        <w:tcBorders>
          <w:top w:val="double" w:sz="4" w:space="0" w:color="A71930" w:themeColor="accent1"/>
          <w:right w:val="nil"/>
        </w:tcBorders>
      </w:tcPr>
    </w:tblStylePr>
  </w:style>
  <w:style w:type="table" w:styleId="ListTable3-Accent2">
    <w:name w:val="List Table 3 Accent 2"/>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EBB700" w:themeColor="accent2"/>
        <w:left w:val="single" w:sz="4" w:space="0" w:color="EBB700" w:themeColor="accent2"/>
        <w:bottom w:val="single" w:sz="4" w:space="0" w:color="EBB700" w:themeColor="accent2"/>
        <w:right w:val="single" w:sz="4" w:space="0" w:color="EBB700" w:themeColor="accent2"/>
      </w:tblBorders>
    </w:tblPr>
    <w:tblStylePr w:type="firstRow">
      <w:rPr>
        <w:b/>
        <w:bCs/>
        <w:color w:val="FFFFFF" w:themeColor="background1"/>
      </w:rPr>
      <w:tblPr/>
      <w:tcPr>
        <w:shd w:val="clear" w:color="auto" w:fill="EBB700" w:themeFill="accent2"/>
      </w:tcPr>
    </w:tblStylePr>
    <w:tblStylePr w:type="lastRow">
      <w:rPr>
        <w:b/>
        <w:bCs/>
      </w:rPr>
      <w:tblPr/>
      <w:tcPr>
        <w:tcBorders>
          <w:top w:val="double" w:sz="4" w:space="0" w:color="EBB7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B700" w:themeColor="accent2"/>
          <w:right w:val="single" w:sz="4" w:space="0" w:color="EBB700" w:themeColor="accent2"/>
        </w:tcBorders>
      </w:tcPr>
    </w:tblStylePr>
    <w:tblStylePr w:type="band1Horz">
      <w:tblPr/>
      <w:tcPr>
        <w:tcBorders>
          <w:top w:val="single" w:sz="4" w:space="0" w:color="EBB700" w:themeColor="accent2"/>
          <w:bottom w:val="single" w:sz="4" w:space="0" w:color="EBB7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B700" w:themeColor="accent2"/>
          <w:left w:val="nil"/>
        </w:tcBorders>
      </w:tcPr>
    </w:tblStylePr>
    <w:tblStylePr w:type="swCell">
      <w:tblPr/>
      <w:tcPr>
        <w:tcBorders>
          <w:top w:val="double" w:sz="4" w:space="0" w:color="EBB700" w:themeColor="accent2"/>
          <w:right w:val="nil"/>
        </w:tcBorders>
      </w:tcPr>
    </w:tblStylePr>
  </w:style>
  <w:style w:type="table" w:styleId="ListTable3-Accent3">
    <w:name w:val="List Table 3 Accent 3"/>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6773B6" w:themeColor="accent3"/>
        <w:left w:val="single" w:sz="4" w:space="0" w:color="6773B6" w:themeColor="accent3"/>
        <w:bottom w:val="single" w:sz="4" w:space="0" w:color="6773B6" w:themeColor="accent3"/>
        <w:right w:val="single" w:sz="4" w:space="0" w:color="6773B6" w:themeColor="accent3"/>
      </w:tblBorders>
    </w:tblPr>
    <w:tblStylePr w:type="firstRow">
      <w:rPr>
        <w:b/>
        <w:bCs/>
        <w:color w:val="FFFFFF" w:themeColor="background1"/>
      </w:rPr>
      <w:tblPr/>
      <w:tcPr>
        <w:shd w:val="clear" w:color="auto" w:fill="6773B6" w:themeFill="accent3"/>
      </w:tcPr>
    </w:tblStylePr>
    <w:tblStylePr w:type="lastRow">
      <w:rPr>
        <w:b/>
        <w:bCs/>
      </w:rPr>
      <w:tblPr/>
      <w:tcPr>
        <w:tcBorders>
          <w:top w:val="double" w:sz="4" w:space="0" w:color="6773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3B6" w:themeColor="accent3"/>
          <w:right w:val="single" w:sz="4" w:space="0" w:color="6773B6" w:themeColor="accent3"/>
        </w:tcBorders>
      </w:tcPr>
    </w:tblStylePr>
    <w:tblStylePr w:type="band1Horz">
      <w:tblPr/>
      <w:tcPr>
        <w:tcBorders>
          <w:top w:val="single" w:sz="4" w:space="0" w:color="6773B6" w:themeColor="accent3"/>
          <w:bottom w:val="single" w:sz="4" w:space="0" w:color="6773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3B6" w:themeColor="accent3"/>
          <w:left w:val="nil"/>
        </w:tcBorders>
      </w:tcPr>
    </w:tblStylePr>
    <w:tblStylePr w:type="swCell">
      <w:tblPr/>
      <w:tcPr>
        <w:tcBorders>
          <w:top w:val="double" w:sz="4" w:space="0" w:color="6773B6" w:themeColor="accent3"/>
          <w:right w:val="nil"/>
        </w:tcBorders>
      </w:tcPr>
    </w:tblStylePr>
  </w:style>
  <w:style w:type="table" w:styleId="ListTable3-Accent4">
    <w:name w:val="List Table 3 Accent 4"/>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A2AD00" w:themeColor="accent4"/>
        <w:left w:val="single" w:sz="4" w:space="0" w:color="A2AD00" w:themeColor="accent4"/>
        <w:bottom w:val="single" w:sz="4" w:space="0" w:color="A2AD00" w:themeColor="accent4"/>
        <w:right w:val="single" w:sz="4" w:space="0" w:color="A2AD00" w:themeColor="accent4"/>
      </w:tblBorders>
    </w:tblPr>
    <w:tblStylePr w:type="firstRow">
      <w:rPr>
        <w:b/>
        <w:bCs/>
        <w:color w:val="FFFFFF" w:themeColor="background1"/>
      </w:rPr>
      <w:tblPr/>
      <w:tcPr>
        <w:shd w:val="clear" w:color="auto" w:fill="A2AD00" w:themeFill="accent4"/>
      </w:tcPr>
    </w:tblStylePr>
    <w:tblStylePr w:type="lastRow">
      <w:rPr>
        <w:b/>
        <w:bCs/>
      </w:rPr>
      <w:tblPr/>
      <w:tcPr>
        <w:tcBorders>
          <w:top w:val="double" w:sz="4" w:space="0" w:color="A2AD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2AD00" w:themeColor="accent4"/>
          <w:right w:val="single" w:sz="4" w:space="0" w:color="A2AD00" w:themeColor="accent4"/>
        </w:tcBorders>
      </w:tcPr>
    </w:tblStylePr>
    <w:tblStylePr w:type="band1Horz">
      <w:tblPr/>
      <w:tcPr>
        <w:tcBorders>
          <w:top w:val="single" w:sz="4" w:space="0" w:color="A2AD00" w:themeColor="accent4"/>
          <w:bottom w:val="single" w:sz="4" w:space="0" w:color="A2AD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2AD00" w:themeColor="accent4"/>
          <w:left w:val="nil"/>
        </w:tcBorders>
      </w:tcPr>
    </w:tblStylePr>
    <w:tblStylePr w:type="swCell">
      <w:tblPr/>
      <w:tcPr>
        <w:tcBorders>
          <w:top w:val="double" w:sz="4" w:space="0" w:color="A2AD00" w:themeColor="accent4"/>
          <w:right w:val="nil"/>
        </w:tcBorders>
      </w:tcPr>
    </w:tblStylePr>
  </w:style>
  <w:style w:type="table" w:styleId="ListTable3-Accent5">
    <w:name w:val="List Table 3 Accent 5"/>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8B8D8E" w:themeColor="accent5"/>
        <w:left w:val="single" w:sz="4" w:space="0" w:color="8B8D8E" w:themeColor="accent5"/>
        <w:bottom w:val="single" w:sz="4" w:space="0" w:color="8B8D8E" w:themeColor="accent5"/>
        <w:right w:val="single" w:sz="4" w:space="0" w:color="8B8D8E" w:themeColor="accent5"/>
      </w:tblBorders>
    </w:tblPr>
    <w:tblStylePr w:type="firstRow">
      <w:rPr>
        <w:b/>
        <w:bCs/>
        <w:color w:val="FFFFFF" w:themeColor="background1"/>
      </w:rPr>
      <w:tblPr/>
      <w:tcPr>
        <w:shd w:val="clear" w:color="auto" w:fill="8B8D8E" w:themeFill="accent5"/>
      </w:tcPr>
    </w:tblStylePr>
    <w:tblStylePr w:type="lastRow">
      <w:rPr>
        <w:b/>
        <w:bCs/>
      </w:rPr>
      <w:tblPr/>
      <w:tcPr>
        <w:tcBorders>
          <w:top w:val="double" w:sz="4" w:space="0" w:color="8B8D8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B8D8E" w:themeColor="accent5"/>
          <w:right w:val="single" w:sz="4" w:space="0" w:color="8B8D8E" w:themeColor="accent5"/>
        </w:tcBorders>
      </w:tcPr>
    </w:tblStylePr>
    <w:tblStylePr w:type="band1Horz">
      <w:tblPr/>
      <w:tcPr>
        <w:tcBorders>
          <w:top w:val="single" w:sz="4" w:space="0" w:color="8B8D8E" w:themeColor="accent5"/>
          <w:bottom w:val="single" w:sz="4" w:space="0" w:color="8B8D8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8D8E" w:themeColor="accent5"/>
          <w:left w:val="nil"/>
        </w:tcBorders>
      </w:tcPr>
    </w:tblStylePr>
    <w:tblStylePr w:type="swCell">
      <w:tblPr/>
      <w:tcPr>
        <w:tcBorders>
          <w:top w:val="double" w:sz="4" w:space="0" w:color="8B8D8E" w:themeColor="accent5"/>
          <w:right w:val="nil"/>
        </w:tcBorders>
      </w:tcPr>
    </w:tblStylePr>
  </w:style>
  <w:style w:type="table" w:styleId="ListTable3-Accent6">
    <w:name w:val="List Table 3 Accent 6"/>
    <w:basedOn w:val="TableNormal"/>
    <w:uiPriority w:val="48"/>
    <w:rsid w:val="00F3012E"/>
    <w:rPr>
      <w:rFonts w:asciiTheme="minorHAnsi" w:hAnsiTheme="minorHAnsi" w:cstheme="minorBidi"/>
      <w:sz w:val="22"/>
      <w:szCs w:val="22"/>
      <w:lang w:eastAsia="zh-CN"/>
    </w:rPr>
    <w:tblPr>
      <w:tblStyleRowBandSize w:val="1"/>
      <w:tblStyleColBandSize w:val="1"/>
      <w:tblBorders>
        <w:top w:val="single" w:sz="4" w:space="0" w:color="404143" w:themeColor="accent6"/>
        <w:left w:val="single" w:sz="4" w:space="0" w:color="404143" w:themeColor="accent6"/>
        <w:bottom w:val="single" w:sz="4" w:space="0" w:color="404143" w:themeColor="accent6"/>
        <w:right w:val="single" w:sz="4" w:space="0" w:color="404143" w:themeColor="accent6"/>
      </w:tblBorders>
    </w:tblPr>
    <w:tblStylePr w:type="firstRow">
      <w:rPr>
        <w:b/>
        <w:bCs/>
        <w:color w:val="FFFFFF" w:themeColor="background1"/>
      </w:rPr>
      <w:tblPr/>
      <w:tcPr>
        <w:shd w:val="clear" w:color="auto" w:fill="404143" w:themeFill="accent6"/>
      </w:tcPr>
    </w:tblStylePr>
    <w:tblStylePr w:type="lastRow">
      <w:rPr>
        <w:b/>
        <w:bCs/>
      </w:rPr>
      <w:tblPr/>
      <w:tcPr>
        <w:tcBorders>
          <w:top w:val="double" w:sz="4" w:space="0" w:color="40414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143" w:themeColor="accent6"/>
          <w:right w:val="single" w:sz="4" w:space="0" w:color="404143" w:themeColor="accent6"/>
        </w:tcBorders>
      </w:tcPr>
    </w:tblStylePr>
    <w:tblStylePr w:type="band1Horz">
      <w:tblPr/>
      <w:tcPr>
        <w:tcBorders>
          <w:top w:val="single" w:sz="4" w:space="0" w:color="404143" w:themeColor="accent6"/>
          <w:bottom w:val="single" w:sz="4" w:space="0" w:color="40414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143" w:themeColor="accent6"/>
          <w:left w:val="nil"/>
        </w:tcBorders>
      </w:tcPr>
    </w:tblStylePr>
    <w:tblStylePr w:type="swCell">
      <w:tblPr/>
      <w:tcPr>
        <w:tcBorders>
          <w:top w:val="double" w:sz="4" w:space="0" w:color="404143" w:themeColor="accent6"/>
          <w:right w:val="nil"/>
        </w:tcBorders>
      </w:tcPr>
    </w:tblStylePr>
  </w:style>
  <w:style w:type="table" w:styleId="ListTable4">
    <w:name w:val="List Table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text1" w:themeTint="99"/>
        <w:left w:val="single" w:sz="4" w:space="0" w:color="8A8C8F" w:themeColor="text1" w:themeTint="99"/>
        <w:bottom w:val="single" w:sz="4" w:space="0" w:color="8A8C8F" w:themeColor="text1" w:themeTint="99"/>
        <w:right w:val="single" w:sz="4" w:space="0" w:color="8A8C8F" w:themeColor="text1" w:themeTint="99"/>
        <w:insideH w:val="single" w:sz="4" w:space="0" w:color="8A8C8F" w:themeColor="text1" w:themeTint="99"/>
      </w:tblBorders>
    </w:tblPr>
    <w:tblStylePr w:type="firstRow">
      <w:rPr>
        <w:b/>
        <w:bCs/>
        <w:color w:val="FFFFFF" w:themeColor="background1"/>
      </w:rPr>
      <w:tblPr/>
      <w:tcPr>
        <w:tcBorders>
          <w:top w:val="single" w:sz="4" w:space="0" w:color="404143" w:themeColor="text1"/>
          <w:left w:val="single" w:sz="4" w:space="0" w:color="404143" w:themeColor="text1"/>
          <w:bottom w:val="single" w:sz="4" w:space="0" w:color="404143" w:themeColor="text1"/>
          <w:right w:val="single" w:sz="4" w:space="0" w:color="404143" w:themeColor="text1"/>
          <w:insideH w:val="nil"/>
        </w:tcBorders>
        <w:shd w:val="clear" w:color="auto" w:fill="404143" w:themeFill="text1"/>
      </w:tcPr>
    </w:tblStylePr>
    <w:tblStylePr w:type="lastRow">
      <w:rPr>
        <w:b/>
        <w:bCs/>
      </w:rPr>
      <w:tblPr/>
      <w:tcPr>
        <w:tcBorders>
          <w:top w:val="double" w:sz="4" w:space="0" w:color="8A8C8F" w:themeColor="text1" w:themeTint="99"/>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4-Accent1">
    <w:name w:val="List Table 4 Accent 1"/>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E6586F" w:themeColor="accent1" w:themeTint="99"/>
        <w:left w:val="single" w:sz="4" w:space="0" w:color="E6586F" w:themeColor="accent1" w:themeTint="99"/>
        <w:bottom w:val="single" w:sz="4" w:space="0" w:color="E6586F" w:themeColor="accent1" w:themeTint="99"/>
        <w:right w:val="single" w:sz="4" w:space="0" w:color="E6586F" w:themeColor="accent1" w:themeTint="99"/>
        <w:insideH w:val="single" w:sz="4" w:space="0" w:color="E6586F" w:themeColor="accent1" w:themeTint="99"/>
      </w:tblBorders>
    </w:tblPr>
    <w:tblStylePr w:type="firstRow">
      <w:rPr>
        <w:b/>
        <w:bCs/>
        <w:color w:val="FFFFFF" w:themeColor="background1"/>
      </w:rPr>
      <w:tblPr/>
      <w:tcPr>
        <w:tcBorders>
          <w:top w:val="single" w:sz="4" w:space="0" w:color="A71930" w:themeColor="accent1"/>
          <w:left w:val="single" w:sz="4" w:space="0" w:color="A71930" w:themeColor="accent1"/>
          <w:bottom w:val="single" w:sz="4" w:space="0" w:color="A71930" w:themeColor="accent1"/>
          <w:right w:val="single" w:sz="4" w:space="0" w:color="A71930" w:themeColor="accent1"/>
          <w:insideH w:val="nil"/>
        </w:tcBorders>
        <w:shd w:val="clear" w:color="auto" w:fill="A71930" w:themeFill="accent1"/>
      </w:tcPr>
    </w:tblStylePr>
    <w:tblStylePr w:type="lastRow">
      <w:rPr>
        <w:b/>
        <w:bCs/>
      </w:rPr>
      <w:tblPr/>
      <w:tcPr>
        <w:tcBorders>
          <w:top w:val="double" w:sz="4" w:space="0" w:color="E6586F" w:themeColor="accent1" w:themeTint="99"/>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4-Accent2">
    <w:name w:val="List Table 4 Accent 2"/>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FDA5A" w:themeColor="accent2" w:themeTint="99"/>
        <w:left w:val="single" w:sz="4" w:space="0" w:color="FFDA5A" w:themeColor="accent2" w:themeTint="99"/>
        <w:bottom w:val="single" w:sz="4" w:space="0" w:color="FFDA5A" w:themeColor="accent2" w:themeTint="99"/>
        <w:right w:val="single" w:sz="4" w:space="0" w:color="FFDA5A" w:themeColor="accent2" w:themeTint="99"/>
        <w:insideH w:val="single" w:sz="4" w:space="0" w:color="FFDA5A" w:themeColor="accent2" w:themeTint="99"/>
      </w:tblBorders>
    </w:tblPr>
    <w:tblStylePr w:type="firstRow">
      <w:rPr>
        <w:b/>
        <w:bCs/>
        <w:color w:val="FFFFFF" w:themeColor="background1"/>
      </w:rPr>
      <w:tblPr/>
      <w:tcPr>
        <w:tcBorders>
          <w:top w:val="single" w:sz="4" w:space="0" w:color="EBB700" w:themeColor="accent2"/>
          <w:left w:val="single" w:sz="4" w:space="0" w:color="EBB700" w:themeColor="accent2"/>
          <w:bottom w:val="single" w:sz="4" w:space="0" w:color="EBB700" w:themeColor="accent2"/>
          <w:right w:val="single" w:sz="4" w:space="0" w:color="EBB700" w:themeColor="accent2"/>
          <w:insideH w:val="nil"/>
        </w:tcBorders>
        <w:shd w:val="clear" w:color="auto" w:fill="EBB700" w:themeFill="accent2"/>
      </w:tcPr>
    </w:tblStylePr>
    <w:tblStylePr w:type="lastRow">
      <w:rPr>
        <w:b/>
        <w:bCs/>
      </w:rPr>
      <w:tblPr/>
      <w:tcPr>
        <w:tcBorders>
          <w:top w:val="double" w:sz="4" w:space="0" w:color="FFDA5A" w:themeColor="accent2" w:themeTint="99"/>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4-Accent3">
    <w:name w:val="List Table 4 Accent 3"/>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A3AAD3" w:themeColor="accent3" w:themeTint="99"/>
        <w:left w:val="single" w:sz="4" w:space="0" w:color="A3AAD3" w:themeColor="accent3" w:themeTint="99"/>
        <w:bottom w:val="single" w:sz="4" w:space="0" w:color="A3AAD3" w:themeColor="accent3" w:themeTint="99"/>
        <w:right w:val="single" w:sz="4" w:space="0" w:color="A3AAD3" w:themeColor="accent3" w:themeTint="99"/>
        <w:insideH w:val="single" w:sz="4" w:space="0" w:color="A3AAD3" w:themeColor="accent3" w:themeTint="99"/>
      </w:tblBorders>
    </w:tblPr>
    <w:tblStylePr w:type="firstRow">
      <w:rPr>
        <w:b/>
        <w:bCs/>
        <w:color w:val="FFFFFF" w:themeColor="background1"/>
      </w:rPr>
      <w:tblPr/>
      <w:tcPr>
        <w:tcBorders>
          <w:top w:val="single" w:sz="4" w:space="0" w:color="6773B6" w:themeColor="accent3"/>
          <w:left w:val="single" w:sz="4" w:space="0" w:color="6773B6" w:themeColor="accent3"/>
          <w:bottom w:val="single" w:sz="4" w:space="0" w:color="6773B6" w:themeColor="accent3"/>
          <w:right w:val="single" w:sz="4" w:space="0" w:color="6773B6" w:themeColor="accent3"/>
          <w:insideH w:val="nil"/>
        </w:tcBorders>
        <w:shd w:val="clear" w:color="auto" w:fill="6773B6" w:themeFill="accent3"/>
      </w:tcPr>
    </w:tblStylePr>
    <w:tblStylePr w:type="lastRow">
      <w:rPr>
        <w:b/>
        <w:bCs/>
      </w:rPr>
      <w:tblPr/>
      <w:tcPr>
        <w:tcBorders>
          <w:top w:val="double" w:sz="4" w:space="0" w:color="A3AAD3" w:themeColor="accent3" w:themeTint="99"/>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4-Accent4">
    <w:name w:val="List Table 4 Accent 4"/>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F1FF34" w:themeColor="accent4" w:themeTint="99"/>
        <w:left w:val="single" w:sz="4" w:space="0" w:color="F1FF34" w:themeColor="accent4" w:themeTint="99"/>
        <w:bottom w:val="single" w:sz="4" w:space="0" w:color="F1FF34" w:themeColor="accent4" w:themeTint="99"/>
        <w:right w:val="single" w:sz="4" w:space="0" w:color="F1FF34" w:themeColor="accent4" w:themeTint="99"/>
        <w:insideH w:val="single" w:sz="4" w:space="0" w:color="F1FF34" w:themeColor="accent4" w:themeTint="99"/>
      </w:tblBorders>
    </w:tblPr>
    <w:tblStylePr w:type="firstRow">
      <w:rPr>
        <w:b/>
        <w:bCs/>
        <w:color w:val="FFFFFF" w:themeColor="background1"/>
      </w:rPr>
      <w:tblPr/>
      <w:tcPr>
        <w:tcBorders>
          <w:top w:val="single" w:sz="4" w:space="0" w:color="A2AD00" w:themeColor="accent4"/>
          <w:left w:val="single" w:sz="4" w:space="0" w:color="A2AD00" w:themeColor="accent4"/>
          <w:bottom w:val="single" w:sz="4" w:space="0" w:color="A2AD00" w:themeColor="accent4"/>
          <w:right w:val="single" w:sz="4" w:space="0" w:color="A2AD00" w:themeColor="accent4"/>
          <w:insideH w:val="nil"/>
        </w:tcBorders>
        <w:shd w:val="clear" w:color="auto" w:fill="A2AD00" w:themeFill="accent4"/>
      </w:tcPr>
    </w:tblStylePr>
    <w:tblStylePr w:type="lastRow">
      <w:rPr>
        <w:b/>
        <w:bCs/>
      </w:rPr>
      <w:tblPr/>
      <w:tcPr>
        <w:tcBorders>
          <w:top w:val="double" w:sz="4" w:space="0" w:color="F1FF34" w:themeColor="accent4" w:themeTint="99"/>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4-Accent5">
    <w:name w:val="List Table 4 Accent 5"/>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B9BABB" w:themeColor="accent5" w:themeTint="99"/>
        <w:left w:val="single" w:sz="4" w:space="0" w:color="B9BABB" w:themeColor="accent5" w:themeTint="99"/>
        <w:bottom w:val="single" w:sz="4" w:space="0" w:color="B9BABB" w:themeColor="accent5" w:themeTint="99"/>
        <w:right w:val="single" w:sz="4" w:space="0" w:color="B9BABB" w:themeColor="accent5" w:themeTint="99"/>
        <w:insideH w:val="single" w:sz="4" w:space="0" w:color="B9BABB" w:themeColor="accent5" w:themeTint="99"/>
      </w:tblBorders>
    </w:tblPr>
    <w:tblStylePr w:type="firstRow">
      <w:rPr>
        <w:b/>
        <w:bCs/>
        <w:color w:val="FFFFFF" w:themeColor="background1"/>
      </w:rPr>
      <w:tblPr/>
      <w:tcPr>
        <w:tcBorders>
          <w:top w:val="single" w:sz="4" w:space="0" w:color="8B8D8E" w:themeColor="accent5"/>
          <w:left w:val="single" w:sz="4" w:space="0" w:color="8B8D8E" w:themeColor="accent5"/>
          <w:bottom w:val="single" w:sz="4" w:space="0" w:color="8B8D8E" w:themeColor="accent5"/>
          <w:right w:val="single" w:sz="4" w:space="0" w:color="8B8D8E" w:themeColor="accent5"/>
          <w:insideH w:val="nil"/>
        </w:tcBorders>
        <w:shd w:val="clear" w:color="auto" w:fill="8B8D8E" w:themeFill="accent5"/>
      </w:tcPr>
    </w:tblStylePr>
    <w:tblStylePr w:type="lastRow">
      <w:rPr>
        <w:b/>
        <w:bCs/>
      </w:rPr>
      <w:tblPr/>
      <w:tcPr>
        <w:tcBorders>
          <w:top w:val="double" w:sz="4" w:space="0" w:color="B9BABB" w:themeColor="accent5" w:themeTint="99"/>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4-Accent6">
    <w:name w:val="List Table 4 Accent 6"/>
    <w:basedOn w:val="TableNormal"/>
    <w:uiPriority w:val="49"/>
    <w:rsid w:val="00F3012E"/>
    <w:rPr>
      <w:rFonts w:asciiTheme="minorHAnsi" w:hAnsiTheme="minorHAnsi" w:cstheme="minorBidi"/>
      <w:sz w:val="22"/>
      <w:szCs w:val="22"/>
      <w:lang w:eastAsia="zh-CN"/>
    </w:rPr>
    <w:tblPr>
      <w:tblStyleRowBandSize w:val="1"/>
      <w:tblStyleColBandSize w:val="1"/>
      <w:tblBorders>
        <w:top w:val="single" w:sz="4" w:space="0" w:color="8A8C8F" w:themeColor="accent6" w:themeTint="99"/>
        <w:left w:val="single" w:sz="4" w:space="0" w:color="8A8C8F" w:themeColor="accent6" w:themeTint="99"/>
        <w:bottom w:val="single" w:sz="4" w:space="0" w:color="8A8C8F" w:themeColor="accent6" w:themeTint="99"/>
        <w:right w:val="single" w:sz="4" w:space="0" w:color="8A8C8F" w:themeColor="accent6" w:themeTint="99"/>
        <w:insideH w:val="single" w:sz="4" w:space="0" w:color="8A8C8F" w:themeColor="accent6" w:themeTint="99"/>
      </w:tblBorders>
    </w:tblPr>
    <w:tblStylePr w:type="firstRow">
      <w:rPr>
        <w:b/>
        <w:bCs/>
        <w:color w:val="FFFFFF" w:themeColor="background1"/>
      </w:rPr>
      <w:tblPr/>
      <w:tcPr>
        <w:tcBorders>
          <w:top w:val="single" w:sz="4" w:space="0" w:color="404143" w:themeColor="accent6"/>
          <w:left w:val="single" w:sz="4" w:space="0" w:color="404143" w:themeColor="accent6"/>
          <w:bottom w:val="single" w:sz="4" w:space="0" w:color="404143" w:themeColor="accent6"/>
          <w:right w:val="single" w:sz="4" w:space="0" w:color="404143" w:themeColor="accent6"/>
          <w:insideH w:val="nil"/>
        </w:tcBorders>
        <w:shd w:val="clear" w:color="auto" w:fill="404143" w:themeFill="accent6"/>
      </w:tcPr>
    </w:tblStylePr>
    <w:tblStylePr w:type="lastRow">
      <w:rPr>
        <w:b/>
        <w:bCs/>
      </w:rPr>
      <w:tblPr/>
      <w:tcPr>
        <w:tcBorders>
          <w:top w:val="double" w:sz="4" w:space="0" w:color="8A8C8F" w:themeColor="accent6" w:themeTint="99"/>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5Dark">
    <w:name w:val="List Table 5 Dark"/>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404143" w:themeColor="text1"/>
        <w:left w:val="single" w:sz="24" w:space="0" w:color="404143" w:themeColor="text1"/>
        <w:bottom w:val="single" w:sz="24" w:space="0" w:color="404143" w:themeColor="text1"/>
        <w:right w:val="single" w:sz="24" w:space="0" w:color="404143" w:themeColor="text1"/>
      </w:tblBorders>
    </w:tblPr>
    <w:tcPr>
      <w:shd w:val="clear" w:color="auto" w:fill="40414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A71930" w:themeColor="accent1"/>
        <w:left w:val="single" w:sz="24" w:space="0" w:color="A71930" w:themeColor="accent1"/>
        <w:bottom w:val="single" w:sz="24" w:space="0" w:color="A71930" w:themeColor="accent1"/>
        <w:right w:val="single" w:sz="24" w:space="0" w:color="A71930" w:themeColor="accent1"/>
      </w:tblBorders>
    </w:tblPr>
    <w:tcPr>
      <w:shd w:val="clear" w:color="auto" w:fill="A7193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EBB700" w:themeColor="accent2"/>
        <w:left w:val="single" w:sz="24" w:space="0" w:color="EBB700" w:themeColor="accent2"/>
        <w:bottom w:val="single" w:sz="24" w:space="0" w:color="EBB700" w:themeColor="accent2"/>
        <w:right w:val="single" w:sz="24" w:space="0" w:color="EBB700" w:themeColor="accent2"/>
      </w:tblBorders>
    </w:tblPr>
    <w:tcPr>
      <w:shd w:val="clear" w:color="auto" w:fill="EBB7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6773B6" w:themeColor="accent3"/>
        <w:left w:val="single" w:sz="24" w:space="0" w:color="6773B6" w:themeColor="accent3"/>
        <w:bottom w:val="single" w:sz="24" w:space="0" w:color="6773B6" w:themeColor="accent3"/>
        <w:right w:val="single" w:sz="24" w:space="0" w:color="6773B6" w:themeColor="accent3"/>
      </w:tblBorders>
    </w:tblPr>
    <w:tcPr>
      <w:shd w:val="clear" w:color="auto" w:fill="6773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A2AD00" w:themeColor="accent4"/>
        <w:left w:val="single" w:sz="24" w:space="0" w:color="A2AD00" w:themeColor="accent4"/>
        <w:bottom w:val="single" w:sz="24" w:space="0" w:color="A2AD00" w:themeColor="accent4"/>
        <w:right w:val="single" w:sz="24" w:space="0" w:color="A2AD00" w:themeColor="accent4"/>
      </w:tblBorders>
    </w:tblPr>
    <w:tcPr>
      <w:shd w:val="clear" w:color="auto" w:fill="A2AD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8B8D8E" w:themeColor="accent5"/>
        <w:left w:val="single" w:sz="24" w:space="0" w:color="8B8D8E" w:themeColor="accent5"/>
        <w:bottom w:val="single" w:sz="24" w:space="0" w:color="8B8D8E" w:themeColor="accent5"/>
        <w:right w:val="single" w:sz="24" w:space="0" w:color="8B8D8E" w:themeColor="accent5"/>
      </w:tblBorders>
    </w:tblPr>
    <w:tcPr>
      <w:shd w:val="clear" w:color="auto" w:fill="8B8D8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012E"/>
    <w:rPr>
      <w:rFonts w:asciiTheme="minorHAnsi" w:hAnsiTheme="minorHAnsi" w:cstheme="minorBidi"/>
      <w:color w:val="FFFFFF" w:themeColor="background1"/>
      <w:sz w:val="22"/>
      <w:szCs w:val="22"/>
      <w:lang w:eastAsia="zh-CN"/>
    </w:rPr>
    <w:tblPr>
      <w:tblStyleRowBandSize w:val="1"/>
      <w:tblStyleColBandSize w:val="1"/>
      <w:tblBorders>
        <w:top w:val="single" w:sz="24" w:space="0" w:color="404143" w:themeColor="accent6"/>
        <w:left w:val="single" w:sz="24" w:space="0" w:color="404143" w:themeColor="accent6"/>
        <w:bottom w:val="single" w:sz="24" w:space="0" w:color="404143" w:themeColor="accent6"/>
        <w:right w:val="single" w:sz="24" w:space="0" w:color="404143" w:themeColor="accent6"/>
      </w:tblBorders>
    </w:tblPr>
    <w:tcPr>
      <w:shd w:val="clear" w:color="auto" w:fill="40414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012E"/>
    <w:rPr>
      <w:rFonts w:asciiTheme="minorHAnsi" w:hAnsiTheme="minorHAnsi" w:cstheme="minorBidi"/>
      <w:color w:val="404143" w:themeColor="text1"/>
      <w:sz w:val="22"/>
      <w:szCs w:val="22"/>
      <w:lang w:eastAsia="zh-CN"/>
    </w:rPr>
    <w:tblPr>
      <w:tblStyleRowBandSize w:val="1"/>
      <w:tblStyleColBandSize w:val="1"/>
      <w:tblBorders>
        <w:top w:val="single" w:sz="4" w:space="0" w:color="404143" w:themeColor="text1"/>
        <w:bottom w:val="single" w:sz="4" w:space="0" w:color="404143" w:themeColor="text1"/>
      </w:tblBorders>
    </w:tblPr>
    <w:tblStylePr w:type="firstRow">
      <w:rPr>
        <w:b/>
        <w:bCs/>
      </w:rPr>
      <w:tblPr/>
      <w:tcPr>
        <w:tcBorders>
          <w:bottom w:val="single" w:sz="4" w:space="0" w:color="404143" w:themeColor="text1"/>
        </w:tcBorders>
      </w:tcPr>
    </w:tblStylePr>
    <w:tblStylePr w:type="lastRow">
      <w:rPr>
        <w:b/>
        <w:bCs/>
      </w:rPr>
      <w:tblPr/>
      <w:tcPr>
        <w:tcBorders>
          <w:top w:val="double" w:sz="4" w:space="0" w:color="404143" w:themeColor="text1"/>
        </w:tcBorders>
      </w:tcPr>
    </w:tblStylePr>
    <w:tblStylePr w:type="firstCol">
      <w:rPr>
        <w:b/>
        <w:bCs/>
      </w:rPr>
    </w:tblStylePr>
    <w:tblStylePr w:type="lastCol">
      <w:rPr>
        <w:b/>
        <w:bCs/>
      </w:rPr>
    </w:tblStylePr>
    <w:tblStylePr w:type="band1Vert">
      <w:tblPr/>
      <w:tcPr>
        <w:shd w:val="clear" w:color="auto" w:fill="D8D8DA" w:themeFill="text1" w:themeFillTint="33"/>
      </w:tcPr>
    </w:tblStylePr>
    <w:tblStylePr w:type="band1Horz">
      <w:tblPr/>
      <w:tcPr>
        <w:shd w:val="clear" w:color="auto" w:fill="D8D8DA" w:themeFill="text1" w:themeFillTint="33"/>
      </w:tcPr>
    </w:tblStylePr>
  </w:style>
  <w:style w:type="table" w:styleId="ListTable6Colorful-Accent1">
    <w:name w:val="List Table 6 Colorful Accent 1"/>
    <w:basedOn w:val="TableNormal"/>
    <w:uiPriority w:val="51"/>
    <w:rsid w:val="00F3012E"/>
    <w:rPr>
      <w:rFonts w:asciiTheme="minorHAnsi" w:hAnsiTheme="minorHAnsi" w:cstheme="minorBidi"/>
      <w:color w:val="7C1223" w:themeColor="accent1" w:themeShade="BF"/>
      <w:sz w:val="22"/>
      <w:szCs w:val="22"/>
      <w:lang w:eastAsia="zh-CN"/>
    </w:rPr>
    <w:tblPr>
      <w:tblStyleRowBandSize w:val="1"/>
      <w:tblStyleColBandSize w:val="1"/>
      <w:tblBorders>
        <w:top w:val="single" w:sz="4" w:space="0" w:color="A71930" w:themeColor="accent1"/>
        <w:bottom w:val="single" w:sz="4" w:space="0" w:color="A71930" w:themeColor="accent1"/>
      </w:tblBorders>
    </w:tblPr>
    <w:tblStylePr w:type="firstRow">
      <w:rPr>
        <w:b/>
        <w:bCs/>
      </w:rPr>
      <w:tblPr/>
      <w:tcPr>
        <w:tcBorders>
          <w:bottom w:val="single" w:sz="4" w:space="0" w:color="A71930" w:themeColor="accent1"/>
        </w:tcBorders>
      </w:tcPr>
    </w:tblStylePr>
    <w:tblStylePr w:type="lastRow">
      <w:rPr>
        <w:b/>
        <w:bCs/>
      </w:rPr>
      <w:tblPr/>
      <w:tcPr>
        <w:tcBorders>
          <w:top w:val="double" w:sz="4" w:space="0" w:color="A71930" w:themeColor="accent1"/>
        </w:tcBorders>
      </w:tcPr>
    </w:tblStylePr>
    <w:tblStylePr w:type="firstCol">
      <w:rPr>
        <w:b/>
        <w:bCs/>
      </w:rPr>
    </w:tblStylePr>
    <w:tblStylePr w:type="lastCol">
      <w:rPr>
        <w:b/>
        <w:bCs/>
      </w:rPr>
    </w:tblStylePr>
    <w:tblStylePr w:type="band1Vert">
      <w:tblPr/>
      <w:tcPr>
        <w:shd w:val="clear" w:color="auto" w:fill="F6C7CF" w:themeFill="accent1" w:themeFillTint="33"/>
      </w:tcPr>
    </w:tblStylePr>
    <w:tblStylePr w:type="band1Horz">
      <w:tblPr/>
      <w:tcPr>
        <w:shd w:val="clear" w:color="auto" w:fill="F6C7CF" w:themeFill="accent1" w:themeFillTint="33"/>
      </w:tcPr>
    </w:tblStylePr>
  </w:style>
  <w:style w:type="table" w:styleId="ListTable6Colorful-Accent2">
    <w:name w:val="List Table 6 Colorful Accent 2"/>
    <w:basedOn w:val="TableNormal"/>
    <w:uiPriority w:val="51"/>
    <w:rsid w:val="00F3012E"/>
    <w:rPr>
      <w:rFonts w:asciiTheme="minorHAnsi" w:hAnsiTheme="minorHAnsi" w:cstheme="minorBidi"/>
      <w:color w:val="B08800" w:themeColor="accent2" w:themeShade="BF"/>
      <w:sz w:val="22"/>
      <w:szCs w:val="22"/>
      <w:lang w:eastAsia="zh-CN"/>
    </w:rPr>
    <w:tblPr>
      <w:tblStyleRowBandSize w:val="1"/>
      <w:tblStyleColBandSize w:val="1"/>
      <w:tblBorders>
        <w:top w:val="single" w:sz="4" w:space="0" w:color="EBB700" w:themeColor="accent2"/>
        <w:bottom w:val="single" w:sz="4" w:space="0" w:color="EBB700" w:themeColor="accent2"/>
      </w:tblBorders>
    </w:tblPr>
    <w:tblStylePr w:type="firstRow">
      <w:rPr>
        <w:b/>
        <w:bCs/>
      </w:rPr>
      <w:tblPr/>
      <w:tcPr>
        <w:tcBorders>
          <w:bottom w:val="single" w:sz="4" w:space="0" w:color="EBB700" w:themeColor="accent2"/>
        </w:tcBorders>
      </w:tcPr>
    </w:tblStylePr>
    <w:tblStylePr w:type="lastRow">
      <w:rPr>
        <w:b/>
        <w:bCs/>
      </w:rPr>
      <w:tblPr/>
      <w:tcPr>
        <w:tcBorders>
          <w:top w:val="double" w:sz="4" w:space="0" w:color="EBB700" w:themeColor="accent2"/>
        </w:tcBorders>
      </w:tcPr>
    </w:tblStylePr>
    <w:tblStylePr w:type="firstCol">
      <w:rPr>
        <w:b/>
        <w:bCs/>
      </w:rPr>
    </w:tblStylePr>
    <w:tblStylePr w:type="lastCol">
      <w:rPr>
        <w:b/>
        <w:bCs/>
      </w:rPr>
    </w:tblStylePr>
    <w:tblStylePr w:type="band1Vert">
      <w:tblPr/>
      <w:tcPr>
        <w:shd w:val="clear" w:color="auto" w:fill="FFF2C8" w:themeFill="accent2" w:themeFillTint="33"/>
      </w:tcPr>
    </w:tblStylePr>
    <w:tblStylePr w:type="band1Horz">
      <w:tblPr/>
      <w:tcPr>
        <w:shd w:val="clear" w:color="auto" w:fill="FFF2C8" w:themeFill="accent2" w:themeFillTint="33"/>
      </w:tcPr>
    </w:tblStylePr>
  </w:style>
  <w:style w:type="table" w:styleId="ListTable6Colorful-Accent3">
    <w:name w:val="List Table 6 Colorful Accent 3"/>
    <w:basedOn w:val="TableNormal"/>
    <w:uiPriority w:val="51"/>
    <w:rsid w:val="00F3012E"/>
    <w:rPr>
      <w:rFonts w:asciiTheme="minorHAnsi" w:hAnsiTheme="minorHAnsi" w:cstheme="minorBidi"/>
      <w:color w:val="455090" w:themeColor="accent3" w:themeShade="BF"/>
      <w:sz w:val="22"/>
      <w:szCs w:val="22"/>
      <w:lang w:eastAsia="zh-CN"/>
    </w:rPr>
    <w:tblPr>
      <w:tblStyleRowBandSize w:val="1"/>
      <w:tblStyleColBandSize w:val="1"/>
      <w:tblBorders>
        <w:top w:val="single" w:sz="4" w:space="0" w:color="6773B6" w:themeColor="accent3"/>
        <w:bottom w:val="single" w:sz="4" w:space="0" w:color="6773B6" w:themeColor="accent3"/>
      </w:tblBorders>
    </w:tblPr>
    <w:tblStylePr w:type="firstRow">
      <w:rPr>
        <w:b/>
        <w:bCs/>
      </w:rPr>
      <w:tblPr/>
      <w:tcPr>
        <w:tcBorders>
          <w:bottom w:val="single" w:sz="4" w:space="0" w:color="6773B6" w:themeColor="accent3"/>
        </w:tcBorders>
      </w:tcPr>
    </w:tblStylePr>
    <w:tblStylePr w:type="lastRow">
      <w:rPr>
        <w:b/>
        <w:bCs/>
      </w:rPr>
      <w:tblPr/>
      <w:tcPr>
        <w:tcBorders>
          <w:top w:val="double" w:sz="4" w:space="0" w:color="6773B6" w:themeColor="accent3"/>
        </w:tcBorders>
      </w:tcPr>
    </w:tblStylePr>
    <w:tblStylePr w:type="firstCol">
      <w:rPr>
        <w:b/>
        <w:bCs/>
      </w:rPr>
    </w:tblStylePr>
    <w:tblStylePr w:type="lastCol">
      <w:rPr>
        <w:b/>
        <w:bCs/>
      </w:rPr>
    </w:tblStylePr>
    <w:tblStylePr w:type="band1Vert">
      <w:tblPr/>
      <w:tcPr>
        <w:shd w:val="clear" w:color="auto" w:fill="E0E2F0" w:themeFill="accent3" w:themeFillTint="33"/>
      </w:tcPr>
    </w:tblStylePr>
    <w:tblStylePr w:type="band1Horz">
      <w:tblPr/>
      <w:tcPr>
        <w:shd w:val="clear" w:color="auto" w:fill="E0E2F0" w:themeFill="accent3" w:themeFillTint="33"/>
      </w:tcPr>
    </w:tblStylePr>
  </w:style>
  <w:style w:type="table" w:styleId="ListTable6Colorful-Accent4">
    <w:name w:val="List Table 6 Colorful Accent 4"/>
    <w:basedOn w:val="TableNormal"/>
    <w:uiPriority w:val="51"/>
    <w:rsid w:val="00F3012E"/>
    <w:rPr>
      <w:rFonts w:asciiTheme="minorHAnsi" w:hAnsiTheme="minorHAnsi" w:cstheme="minorBidi"/>
      <w:color w:val="788100" w:themeColor="accent4" w:themeShade="BF"/>
      <w:sz w:val="22"/>
      <w:szCs w:val="22"/>
      <w:lang w:eastAsia="zh-CN"/>
    </w:rPr>
    <w:tblPr>
      <w:tblStyleRowBandSize w:val="1"/>
      <w:tblStyleColBandSize w:val="1"/>
      <w:tblBorders>
        <w:top w:val="single" w:sz="4" w:space="0" w:color="A2AD00" w:themeColor="accent4"/>
        <w:bottom w:val="single" w:sz="4" w:space="0" w:color="A2AD00" w:themeColor="accent4"/>
      </w:tblBorders>
    </w:tblPr>
    <w:tblStylePr w:type="firstRow">
      <w:rPr>
        <w:b/>
        <w:bCs/>
      </w:rPr>
      <w:tblPr/>
      <w:tcPr>
        <w:tcBorders>
          <w:bottom w:val="single" w:sz="4" w:space="0" w:color="A2AD00" w:themeColor="accent4"/>
        </w:tcBorders>
      </w:tcPr>
    </w:tblStylePr>
    <w:tblStylePr w:type="lastRow">
      <w:rPr>
        <w:b/>
        <w:bCs/>
      </w:rPr>
      <w:tblPr/>
      <w:tcPr>
        <w:tcBorders>
          <w:top w:val="double" w:sz="4" w:space="0" w:color="A2AD00" w:themeColor="accent4"/>
        </w:tcBorders>
      </w:tcPr>
    </w:tblStylePr>
    <w:tblStylePr w:type="firstCol">
      <w:rPr>
        <w:b/>
        <w:bCs/>
      </w:rPr>
    </w:tblStylePr>
    <w:tblStylePr w:type="lastCol">
      <w:rPr>
        <w:b/>
        <w:bCs/>
      </w:rPr>
    </w:tblStylePr>
    <w:tblStylePr w:type="band1Vert">
      <w:tblPr/>
      <w:tcPr>
        <w:shd w:val="clear" w:color="auto" w:fill="FAFFBB" w:themeFill="accent4" w:themeFillTint="33"/>
      </w:tcPr>
    </w:tblStylePr>
    <w:tblStylePr w:type="band1Horz">
      <w:tblPr/>
      <w:tcPr>
        <w:shd w:val="clear" w:color="auto" w:fill="FAFFBB" w:themeFill="accent4" w:themeFillTint="33"/>
      </w:tcPr>
    </w:tblStylePr>
  </w:style>
  <w:style w:type="table" w:styleId="ListTable6Colorful-Accent5">
    <w:name w:val="List Table 6 Colorful Accent 5"/>
    <w:basedOn w:val="TableNormal"/>
    <w:uiPriority w:val="51"/>
    <w:rsid w:val="00F3012E"/>
    <w:rPr>
      <w:rFonts w:asciiTheme="minorHAnsi" w:hAnsiTheme="minorHAnsi" w:cstheme="minorBidi"/>
      <w:color w:val="67696A" w:themeColor="accent5" w:themeShade="BF"/>
      <w:sz w:val="22"/>
      <w:szCs w:val="22"/>
      <w:lang w:eastAsia="zh-CN"/>
    </w:rPr>
    <w:tblPr>
      <w:tblStyleRowBandSize w:val="1"/>
      <w:tblStyleColBandSize w:val="1"/>
      <w:tblBorders>
        <w:top w:val="single" w:sz="4" w:space="0" w:color="8B8D8E" w:themeColor="accent5"/>
        <w:bottom w:val="single" w:sz="4" w:space="0" w:color="8B8D8E" w:themeColor="accent5"/>
      </w:tblBorders>
    </w:tblPr>
    <w:tblStylePr w:type="firstRow">
      <w:rPr>
        <w:b/>
        <w:bCs/>
      </w:rPr>
      <w:tblPr/>
      <w:tcPr>
        <w:tcBorders>
          <w:bottom w:val="single" w:sz="4" w:space="0" w:color="8B8D8E" w:themeColor="accent5"/>
        </w:tcBorders>
      </w:tcPr>
    </w:tblStylePr>
    <w:tblStylePr w:type="lastRow">
      <w:rPr>
        <w:b/>
        <w:bCs/>
      </w:rPr>
      <w:tblPr/>
      <w:tcPr>
        <w:tcBorders>
          <w:top w:val="double" w:sz="4" w:space="0" w:color="8B8D8E" w:themeColor="accent5"/>
        </w:tcBorders>
      </w:tcPr>
    </w:tblStylePr>
    <w:tblStylePr w:type="firstCol">
      <w:rPr>
        <w:b/>
        <w:bCs/>
      </w:rPr>
    </w:tblStylePr>
    <w:tblStylePr w:type="lastCol">
      <w:rPr>
        <w:b/>
        <w:bCs/>
      </w:rPr>
    </w:tblStylePr>
    <w:tblStylePr w:type="band1Vert">
      <w:tblPr/>
      <w:tcPr>
        <w:shd w:val="clear" w:color="auto" w:fill="E7E8E8" w:themeFill="accent5" w:themeFillTint="33"/>
      </w:tcPr>
    </w:tblStylePr>
    <w:tblStylePr w:type="band1Horz">
      <w:tblPr/>
      <w:tcPr>
        <w:shd w:val="clear" w:color="auto" w:fill="E7E8E8" w:themeFill="accent5" w:themeFillTint="33"/>
      </w:tcPr>
    </w:tblStylePr>
  </w:style>
  <w:style w:type="table" w:styleId="ListTable6Colorful-Accent6">
    <w:name w:val="List Table 6 Colorful Accent 6"/>
    <w:basedOn w:val="TableNormal"/>
    <w:uiPriority w:val="51"/>
    <w:rsid w:val="00F3012E"/>
    <w:rPr>
      <w:rFonts w:asciiTheme="minorHAnsi" w:hAnsiTheme="minorHAnsi" w:cstheme="minorBidi"/>
      <w:color w:val="303032" w:themeColor="accent6" w:themeShade="BF"/>
      <w:sz w:val="22"/>
      <w:szCs w:val="22"/>
      <w:lang w:eastAsia="zh-CN"/>
    </w:rPr>
    <w:tblPr>
      <w:tblStyleRowBandSize w:val="1"/>
      <w:tblStyleColBandSize w:val="1"/>
      <w:tblBorders>
        <w:top w:val="single" w:sz="4" w:space="0" w:color="404143" w:themeColor="accent6"/>
        <w:bottom w:val="single" w:sz="4" w:space="0" w:color="404143" w:themeColor="accent6"/>
      </w:tblBorders>
    </w:tblPr>
    <w:tblStylePr w:type="firstRow">
      <w:rPr>
        <w:b/>
        <w:bCs/>
      </w:rPr>
      <w:tblPr/>
      <w:tcPr>
        <w:tcBorders>
          <w:bottom w:val="single" w:sz="4" w:space="0" w:color="404143" w:themeColor="accent6"/>
        </w:tcBorders>
      </w:tcPr>
    </w:tblStylePr>
    <w:tblStylePr w:type="lastRow">
      <w:rPr>
        <w:b/>
        <w:bCs/>
      </w:rPr>
      <w:tblPr/>
      <w:tcPr>
        <w:tcBorders>
          <w:top w:val="double" w:sz="4" w:space="0" w:color="404143" w:themeColor="accent6"/>
        </w:tcBorders>
      </w:tcPr>
    </w:tblStylePr>
    <w:tblStylePr w:type="firstCol">
      <w:rPr>
        <w:b/>
        <w:bCs/>
      </w:rPr>
    </w:tblStylePr>
    <w:tblStylePr w:type="lastCol">
      <w:rPr>
        <w:b/>
        <w:bCs/>
      </w:rPr>
    </w:tblStylePr>
    <w:tblStylePr w:type="band1Vert">
      <w:tblPr/>
      <w:tcPr>
        <w:shd w:val="clear" w:color="auto" w:fill="D8D8DA" w:themeFill="accent6" w:themeFillTint="33"/>
      </w:tcPr>
    </w:tblStylePr>
    <w:tblStylePr w:type="band1Horz">
      <w:tblPr/>
      <w:tcPr>
        <w:shd w:val="clear" w:color="auto" w:fill="D8D8DA" w:themeFill="accent6" w:themeFillTint="33"/>
      </w:tcPr>
    </w:tblStylePr>
  </w:style>
  <w:style w:type="table" w:styleId="ListTable7Colorful">
    <w:name w:val="List Table 7 Colorful"/>
    <w:basedOn w:val="TableNormal"/>
    <w:uiPriority w:val="52"/>
    <w:rsid w:val="00F3012E"/>
    <w:rPr>
      <w:rFonts w:asciiTheme="minorHAnsi" w:hAnsiTheme="minorHAnsi" w:cstheme="minorBidi"/>
      <w:color w:val="404143" w:themeColor="text1"/>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14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14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14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143" w:themeColor="text1"/>
        </w:tcBorders>
        <w:shd w:val="clear" w:color="auto" w:fill="FFFFFF" w:themeFill="background1"/>
      </w:tcPr>
    </w:tblStylePr>
    <w:tblStylePr w:type="band1Vert">
      <w:tblPr/>
      <w:tcPr>
        <w:shd w:val="clear" w:color="auto" w:fill="D8D8DA" w:themeFill="text1" w:themeFillTint="33"/>
      </w:tcPr>
    </w:tblStylePr>
    <w:tblStylePr w:type="band1Horz">
      <w:tblPr/>
      <w:tcPr>
        <w:shd w:val="clear" w:color="auto" w:fill="D8D8DA"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012E"/>
    <w:rPr>
      <w:rFonts w:asciiTheme="minorHAnsi" w:hAnsiTheme="minorHAnsi" w:cstheme="minorBidi"/>
      <w:color w:val="7C1223" w:themeColor="accent1"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193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193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193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1930" w:themeColor="accent1"/>
        </w:tcBorders>
        <w:shd w:val="clear" w:color="auto" w:fill="FFFFFF" w:themeFill="background1"/>
      </w:tcPr>
    </w:tblStylePr>
    <w:tblStylePr w:type="band1Vert">
      <w:tblPr/>
      <w:tcPr>
        <w:shd w:val="clear" w:color="auto" w:fill="F6C7CF" w:themeFill="accent1" w:themeFillTint="33"/>
      </w:tcPr>
    </w:tblStylePr>
    <w:tblStylePr w:type="band1Horz">
      <w:tblPr/>
      <w:tcPr>
        <w:shd w:val="clear" w:color="auto" w:fill="F6C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012E"/>
    <w:rPr>
      <w:rFonts w:asciiTheme="minorHAnsi" w:hAnsiTheme="minorHAnsi" w:cstheme="minorBidi"/>
      <w:color w:val="B08800" w:themeColor="accent2"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B7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B7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B7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B700" w:themeColor="accent2"/>
        </w:tcBorders>
        <w:shd w:val="clear" w:color="auto" w:fill="FFFFFF" w:themeFill="background1"/>
      </w:tcPr>
    </w:tblStylePr>
    <w:tblStylePr w:type="band1Vert">
      <w:tblPr/>
      <w:tcPr>
        <w:shd w:val="clear" w:color="auto" w:fill="FFF2C8" w:themeFill="accent2" w:themeFillTint="33"/>
      </w:tcPr>
    </w:tblStylePr>
    <w:tblStylePr w:type="band1Horz">
      <w:tblPr/>
      <w:tcPr>
        <w:shd w:val="clear" w:color="auto" w:fill="FFF2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012E"/>
    <w:rPr>
      <w:rFonts w:asciiTheme="minorHAnsi" w:hAnsiTheme="minorHAnsi" w:cstheme="minorBidi"/>
      <w:color w:val="455090" w:themeColor="accent3"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773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773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773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773B6" w:themeColor="accent3"/>
        </w:tcBorders>
        <w:shd w:val="clear" w:color="auto" w:fill="FFFFFF" w:themeFill="background1"/>
      </w:tcPr>
    </w:tblStylePr>
    <w:tblStylePr w:type="band1Vert">
      <w:tblPr/>
      <w:tcPr>
        <w:shd w:val="clear" w:color="auto" w:fill="E0E2F0" w:themeFill="accent3" w:themeFillTint="33"/>
      </w:tcPr>
    </w:tblStylePr>
    <w:tblStylePr w:type="band1Horz">
      <w:tblPr/>
      <w:tcPr>
        <w:shd w:val="clear" w:color="auto" w:fill="E0E2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012E"/>
    <w:rPr>
      <w:rFonts w:asciiTheme="minorHAnsi" w:hAnsiTheme="minorHAnsi" w:cstheme="minorBidi"/>
      <w:color w:val="788100" w:themeColor="accent4"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2AD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2AD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2AD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2AD00" w:themeColor="accent4"/>
        </w:tcBorders>
        <w:shd w:val="clear" w:color="auto" w:fill="FFFFFF" w:themeFill="background1"/>
      </w:tcPr>
    </w:tblStylePr>
    <w:tblStylePr w:type="band1Vert">
      <w:tblPr/>
      <w:tcPr>
        <w:shd w:val="clear" w:color="auto" w:fill="FAFFBB" w:themeFill="accent4" w:themeFillTint="33"/>
      </w:tcPr>
    </w:tblStylePr>
    <w:tblStylePr w:type="band1Horz">
      <w:tblPr/>
      <w:tcPr>
        <w:shd w:val="clear" w:color="auto" w:fill="FAFFB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012E"/>
    <w:rPr>
      <w:rFonts w:asciiTheme="minorHAnsi" w:hAnsiTheme="minorHAnsi" w:cstheme="minorBidi"/>
      <w:color w:val="67696A" w:themeColor="accent5"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8D8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8D8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8D8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8D8E" w:themeColor="accent5"/>
        </w:tcBorders>
        <w:shd w:val="clear" w:color="auto" w:fill="FFFFFF" w:themeFill="background1"/>
      </w:tcPr>
    </w:tblStylePr>
    <w:tblStylePr w:type="band1Vert">
      <w:tblPr/>
      <w:tcPr>
        <w:shd w:val="clear" w:color="auto" w:fill="E7E8E8" w:themeFill="accent5" w:themeFillTint="33"/>
      </w:tcPr>
    </w:tblStylePr>
    <w:tblStylePr w:type="band1Horz">
      <w:tblPr/>
      <w:tcPr>
        <w:shd w:val="clear" w:color="auto" w:fill="E7E8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012E"/>
    <w:rPr>
      <w:rFonts w:asciiTheme="minorHAnsi" w:hAnsiTheme="minorHAnsi" w:cstheme="minorBidi"/>
      <w:color w:val="303032" w:themeColor="accent6"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14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14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14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143" w:themeColor="accent6"/>
        </w:tcBorders>
        <w:shd w:val="clear" w:color="auto" w:fill="FFFFFF" w:themeFill="background1"/>
      </w:tcPr>
    </w:tblStylePr>
    <w:tblStylePr w:type="band1Vert">
      <w:tblPr/>
      <w:tcPr>
        <w:shd w:val="clear" w:color="auto" w:fill="D8D8DA" w:themeFill="accent6" w:themeFillTint="33"/>
      </w:tcPr>
    </w:tblStylePr>
    <w:tblStylePr w:type="band1Horz">
      <w:tblPr/>
      <w:tcPr>
        <w:shd w:val="clear" w:color="auto" w:fill="D8D8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single" w:sz="8" w:space="0" w:color="6E7073" w:themeColor="text1" w:themeTint="BF"/>
        <w:insideV w:val="single" w:sz="8" w:space="0" w:color="6E7073" w:themeColor="text1" w:themeTint="BF"/>
      </w:tblBorders>
    </w:tblPr>
    <w:tcPr>
      <w:shd w:val="clear" w:color="auto" w:fill="CFCFD1" w:themeFill="text1" w:themeFillTint="3F"/>
    </w:tcPr>
    <w:tblStylePr w:type="firstRow">
      <w:rPr>
        <w:b/>
        <w:bCs/>
      </w:rPr>
    </w:tblStylePr>
    <w:tblStylePr w:type="lastRow">
      <w:rPr>
        <w:b/>
        <w:bCs/>
      </w:rPr>
      <w:tblPr/>
      <w:tcPr>
        <w:tcBorders>
          <w:top w:val="single" w:sz="18" w:space="0" w:color="6E7073" w:themeColor="text1" w:themeTint="BF"/>
        </w:tcBorders>
      </w:tcPr>
    </w:tblStylePr>
    <w:tblStylePr w:type="firstCol">
      <w:rPr>
        <w:b/>
        <w:bCs/>
      </w:rPr>
    </w:tblStylePr>
    <w:tblStylePr w:type="lastCol">
      <w:rPr>
        <w:b/>
        <w:bCs/>
      </w:rPr>
    </w:tblStylePr>
    <w:tblStylePr w:type="band1Vert">
      <w:tblPr/>
      <w:tcPr>
        <w:shd w:val="clear" w:color="auto" w:fill="9E9FA2" w:themeFill="text1" w:themeFillTint="7F"/>
      </w:tcPr>
    </w:tblStylePr>
    <w:tblStylePr w:type="band1Horz">
      <w:tblPr/>
      <w:tcPr>
        <w:shd w:val="clear" w:color="auto" w:fill="9E9FA2" w:themeFill="text1" w:themeFillTint="7F"/>
      </w:tcPr>
    </w:tblStylePr>
  </w:style>
  <w:style w:type="table" w:styleId="MediumGrid1-Accent1">
    <w:name w:val="Medium Grid 1 Accent 1"/>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single" w:sz="8" w:space="0" w:color="E02F4C" w:themeColor="accent1" w:themeTint="BF"/>
        <w:insideV w:val="single" w:sz="8" w:space="0" w:color="E02F4C" w:themeColor="accent1" w:themeTint="BF"/>
      </w:tblBorders>
    </w:tblPr>
    <w:tcPr>
      <w:shd w:val="clear" w:color="auto" w:fill="F4BAC3" w:themeFill="accent1" w:themeFillTint="3F"/>
    </w:tcPr>
    <w:tblStylePr w:type="firstRow">
      <w:rPr>
        <w:b/>
        <w:bCs/>
      </w:rPr>
    </w:tblStylePr>
    <w:tblStylePr w:type="lastRow">
      <w:rPr>
        <w:b/>
        <w:bCs/>
      </w:rPr>
      <w:tblPr/>
      <w:tcPr>
        <w:tcBorders>
          <w:top w:val="single" w:sz="18" w:space="0" w:color="E02F4C" w:themeColor="accent1" w:themeTint="BF"/>
        </w:tcBorders>
      </w:tcPr>
    </w:tblStylePr>
    <w:tblStylePr w:type="firstCol">
      <w:rPr>
        <w:b/>
        <w:bCs/>
      </w:rPr>
    </w:tblStylePr>
    <w:tblStylePr w:type="lastCol">
      <w:rPr>
        <w:b/>
        <w:bCs/>
      </w:rPr>
    </w:tblStylePr>
    <w:tblStylePr w:type="band1Vert">
      <w:tblPr/>
      <w:tcPr>
        <w:shd w:val="clear" w:color="auto" w:fill="EA7587" w:themeFill="accent1" w:themeFillTint="7F"/>
      </w:tcPr>
    </w:tblStylePr>
    <w:tblStylePr w:type="band1Horz">
      <w:tblPr/>
      <w:tcPr>
        <w:shd w:val="clear" w:color="auto" w:fill="EA7587" w:themeFill="accent1" w:themeFillTint="7F"/>
      </w:tcPr>
    </w:tblStylePr>
  </w:style>
  <w:style w:type="table" w:styleId="MediumGrid1-Accent2">
    <w:name w:val="Medium Grid 1 Accent 2"/>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single" w:sz="8" w:space="0" w:color="FFD031" w:themeColor="accent2" w:themeTint="BF"/>
        <w:insideV w:val="single" w:sz="8" w:space="0" w:color="FFD031" w:themeColor="accent2" w:themeTint="BF"/>
      </w:tblBorders>
    </w:tblPr>
    <w:tcPr>
      <w:shd w:val="clear" w:color="auto" w:fill="FFEFBB" w:themeFill="accent2" w:themeFillTint="3F"/>
    </w:tcPr>
    <w:tblStylePr w:type="firstRow">
      <w:rPr>
        <w:b/>
        <w:bCs/>
      </w:rPr>
    </w:tblStylePr>
    <w:tblStylePr w:type="lastRow">
      <w:rPr>
        <w:b/>
        <w:bCs/>
      </w:rPr>
      <w:tblPr/>
      <w:tcPr>
        <w:tcBorders>
          <w:top w:val="single" w:sz="18" w:space="0" w:color="FFD031" w:themeColor="accent2" w:themeTint="BF"/>
        </w:tcBorders>
      </w:tcPr>
    </w:tblStylePr>
    <w:tblStylePr w:type="firstCol">
      <w:rPr>
        <w:b/>
        <w:bCs/>
      </w:rPr>
    </w:tblStylePr>
    <w:tblStylePr w:type="lastCol">
      <w:rPr>
        <w:b/>
        <w:bCs/>
      </w:rPr>
    </w:tblStylePr>
    <w:tblStylePr w:type="band1Vert">
      <w:tblPr/>
      <w:tcPr>
        <w:shd w:val="clear" w:color="auto" w:fill="FFE076" w:themeFill="accent2" w:themeFillTint="7F"/>
      </w:tcPr>
    </w:tblStylePr>
    <w:tblStylePr w:type="band1Horz">
      <w:tblPr/>
      <w:tcPr>
        <w:shd w:val="clear" w:color="auto" w:fill="FFE076" w:themeFill="accent2" w:themeFillTint="7F"/>
      </w:tcPr>
    </w:tblStylePr>
  </w:style>
  <w:style w:type="table" w:styleId="MediumGrid1-Accent3">
    <w:name w:val="Medium Grid 1 Accent 3"/>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single" w:sz="8" w:space="0" w:color="8D95C8" w:themeColor="accent3" w:themeTint="BF"/>
        <w:insideV w:val="single" w:sz="8" w:space="0" w:color="8D95C8" w:themeColor="accent3" w:themeTint="BF"/>
      </w:tblBorders>
    </w:tblPr>
    <w:tcPr>
      <w:shd w:val="clear" w:color="auto" w:fill="D9DCED" w:themeFill="accent3" w:themeFillTint="3F"/>
    </w:tcPr>
    <w:tblStylePr w:type="firstRow">
      <w:rPr>
        <w:b/>
        <w:bCs/>
      </w:rPr>
    </w:tblStylePr>
    <w:tblStylePr w:type="lastRow">
      <w:rPr>
        <w:b/>
        <w:bCs/>
      </w:rPr>
      <w:tblPr/>
      <w:tcPr>
        <w:tcBorders>
          <w:top w:val="single" w:sz="18" w:space="0" w:color="8D95C8" w:themeColor="accent3" w:themeTint="BF"/>
        </w:tcBorders>
      </w:tcPr>
    </w:tblStylePr>
    <w:tblStylePr w:type="firstCol">
      <w:rPr>
        <w:b/>
        <w:bCs/>
      </w:rPr>
    </w:tblStylePr>
    <w:tblStylePr w:type="lastCol">
      <w:rPr>
        <w:b/>
        <w:bCs/>
      </w:rPr>
    </w:tblStylePr>
    <w:tblStylePr w:type="band1Vert">
      <w:tblPr/>
      <w:tcPr>
        <w:shd w:val="clear" w:color="auto" w:fill="B3B8DA" w:themeFill="accent3" w:themeFillTint="7F"/>
      </w:tcPr>
    </w:tblStylePr>
    <w:tblStylePr w:type="band1Horz">
      <w:tblPr/>
      <w:tcPr>
        <w:shd w:val="clear" w:color="auto" w:fill="B3B8DA" w:themeFill="accent3" w:themeFillTint="7F"/>
      </w:tcPr>
    </w:tblStylePr>
  </w:style>
  <w:style w:type="table" w:styleId="MediumGrid1-Accent4">
    <w:name w:val="Medium Grid 1 Accent 4"/>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single" w:sz="8" w:space="0" w:color="EEFF02" w:themeColor="accent4" w:themeTint="BF"/>
        <w:insideV w:val="single" w:sz="8" w:space="0" w:color="EEFF02" w:themeColor="accent4" w:themeTint="BF"/>
      </w:tblBorders>
    </w:tblPr>
    <w:tcPr>
      <w:shd w:val="clear" w:color="auto" w:fill="F9FFAB" w:themeFill="accent4" w:themeFillTint="3F"/>
    </w:tcPr>
    <w:tblStylePr w:type="firstRow">
      <w:rPr>
        <w:b/>
        <w:bCs/>
      </w:rPr>
    </w:tblStylePr>
    <w:tblStylePr w:type="lastRow">
      <w:rPr>
        <w:b/>
        <w:bCs/>
      </w:rPr>
      <w:tblPr/>
      <w:tcPr>
        <w:tcBorders>
          <w:top w:val="single" w:sz="18" w:space="0" w:color="EEFF02" w:themeColor="accent4" w:themeTint="BF"/>
        </w:tcBorders>
      </w:tcPr>
    </w:tblStylePr>
    <w:tblStylePr w:type="firstCol">
      <w:rPr>
        <w:b/>
        <w:bCs/>
      </w:rPr>
    </w:tblStylePr>
    <w:tblStylePr w:type="lastCol">
      <w:rPr>
        <w:b/>
        <w:bCs/>
      </w:rPr>
    </w:tblStylePr>
    <w:tblStylePr w:type="band1Vert">
      <w:tblPr/>
      <w:tcPr>
        <w:shd w:val="clear" w:color="auto" w:fill="F3FF57" w:themeFill="accent4" w:themeFillTint="7F"/>
      </w:tcPr>
    </w:tblStylePr>
    <w:tblStylePr w:type="band1Horz">
      <w:tblPr/>
      <w:tcPr>
        <w:shd w:val="clear" w:color="auto" w:fill="F3FF57" w:themeFill="accent4" w:themeFillTint="7F"/>
      </w:tcPr>
    </w:tblStylePr>
  </w:style>
  <w:style w:type="table" w:styleId="MediumGrid1-Accent5">
    <w:name w:val="Medium Grid 1 Accent 5"/>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single" w:sz="8" w:space="0" w:color="A8A9AA" w:themeColor="accent5" w:themeTint="BF"/>
        <w:insideV w:val="single" w:sz="8" w:space="0" w:color="A8A9AA" w:themeColor="accent5" w:themeTint="BF"/>
      </w:tblBorders>
    </w:tblPr>
    <w:tcPr>
      <w:shd w:val="clear" w:color="auto" w:fill="E2E2E3" w:themeFill="accent5" w:themeFillTint="3F"/>
    </w:tcPr>
    <w:tblStylePr w:type="firstRow">
      <w:rPr>
        <w:b/>
        <w:bCs/>
      </w:rPr>
    </w:tblStylePr>
    <w:tblStylePr w:type="lastRow">
      <w:rPr>
        <w:b/>
        <w:bCs/>
      </w:rPr>
      <w:tblPr/>
      <w:tcPr>
        <w:tcBorders>
          <w:top w:val="single" w:sz="18" w:space="0" w:color="A8A9AA" w:themeColor="accent5" w:themeTint="BF"/>
        </w:tcBorders>
      </w:tcPr>
    </w:tblStylePr>
    <w:tblStylePr w:type="firstCol">
      <w:rPr>
        <w:b/>
        <w:bCs/>
      </w:rPr>
    </w:tblStylePr>
    <w:tblStylePr w:type="lastCol">
      <w:rPr>
        <w:b/>
        <w:bCs/>
      </w:rPr>
    </w:tblStylePr>
    <w:tblStylePr w:type="band1Vert">
      <w:tblPr/>
      <w:tcPr>
        <w:shd w:val="clear" w:color="auto" w:fill="C5C6C6" w:themeFill="accent5" w:themeFillTint="7F"/>
      </w:tcPr>
    </w:tblStylePr>
    <w:tblStylePr w:type="band1Horz">
      <w:tblPr/>
      <w:tcPr>
        <w:shd w:val="clear" w:color="auto" w:fill="C5C6C6" w:themeFill="accent5" w:themeFillTint="7F"/>
      </w:tcPr>
    </w:tblStylePr>
  </w:style>
  <w:style w:type="table" w:styleId="MediumGrid1-Accent6">
    <w:name w:val="Medium Grid 1 Accent 6"/>
    <w:basedOn w:val="TableNormal"/>
    <w:uiPriority w:val="67"/>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single" w:sz="8" w:space="0" w:color="6E7073" w:themeColor="accent6" w:themeTint="BF"/>
        <w:insideV w:val="single" w:sz="8" w:space="0" w:color="6E7073" w:themeColor="accent6" w:themeTint="BF"/>
      </w:tblBorders>
    </w:tblPr>
    <w:tcPr>
      <w:shd w:val="clear" w:color="auto" w:fill="CFCFD1" w:themeFill="accent6" w:themeFillTint="3F"/>
    </w:tcPr>
    <w:tblStylePr w:type="firstRow">
      <w:rPr>
        <w:b/>
        <w:bCs/>
      </w:rPr>
    </w:tblStylePr>
    <w:tblStylePr w:type="lastRow">
      <w:rPr>
        <w:b/>
        <w:bCs/>
      </w:rPr>
      <w:tblPr/>
      <w:tcPr>
        <w:tcBorders>
          <w:top w:val="single" w:sz="18" w:space="0" w:color="6E7073" w:themeColor="accent6" w:themeTint="BF"/>
        </w:tcBorders>
      </w:tcPr>
    </w:tblStylePr>
    <w:tblStylePr w:type="firstCol">
      <w:rPr>
        <w:b/>
        <w:bCs/>
      </w:rPr>
    </w:tblStylePr>
    <w:tblStylePr w:type="lastCol">
      <w:rPr>
        <w:b/>
        <w:bCs/>
      </w:rPr>
    </w:tblStylePr>
    <w:tblStylePr w:type="band1Vert">
      <w:tblPr/>
      <w:tcPr>
        <w:shd w:val="clear" w:color="auto" w:fill="9E9FA2" w:themeFill="accent6" w:themeFillTint="7F"/>
      </w:tcPr>
    </w:tblStylePr>
    <w:tblStylePr w:type="band1Horz">
      <w:tblPr/>
      <w:tcPr>
        <w:shd w:val="clear" w:color="auto" w:fill="9E9FA2" w:themeFill="accent6" w:themeFillTint="7F"/>
      </w:tcPr>
    </w:tblStylePr>
  </w:style>
  <w:style w:type="table" w:styleId="MediumGrid2">
    <w:name w:val="Medium Grid 2"/>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insideH w:val="single" w:sz="8" w:space="0" w:color="404143" w:themeColor="text1"/>
        <w:insideV w:val="single" w:sz="8" w:space="0" w:color="404143" w:themeColor="text1"/>
      </w:tblBorders>
    </w:tblPr>
    <w:tcPr>
      <w:shd w:val="clear" w:color="auto" w:fill="CFCFD1" w:themeFill="text1" w:themeFillTint="3F"/>
    </w:tcPr>
    <w:tblStylePr w:type="firstRow">
      <w:rPr>
        <w:b/>
        <w:bCs/>
        <w:color w:val="404143" w:themeColor="text1"/>
      </w:rPr>
      <w:tblPr/>
      <w:tcPr>
        <w:shd w:val="clear" w:color="auto" w:fill="EBECEC" w:themeFill="text1"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D8D8DA" w:themeFill="text1" w:themeFillTint="33"/>
      </w:tcPr>
    </w:tblStylePr>
    <w:tblStylePr w:type="band1Vert">
      <w:tblPr/>
      <w:tcPr>
        <w:shd w:val="clear" w:color="auto" w:fill="9E9FA2" w:themeFill="text1" w:themeFillTint="7F"/>
      </w:tcPr>
    </w:tblStylePr>
    <w:tblStylePr w:type="band1Horz">
      <w:tblPr/>
      <w:tcPr>
        <w:tcBorders>
          <w:insideH w:val="single" w:sz="6" w:space="0" w:color="404143" w:themeColor="text1"/>
          <w:insideV w:val="single" w:sz="6" w:space="0" w:color="404143" w:themeColor="text1"/>
        </w:tcBorders>
        <w:shd w:val="clear" w:color="auto" w:fill="9E9FA2"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insideH w:val="single" w:sz="8" w:space="0" w:color="A71930" w:themeColor="accent1"/>
        <w:insideV w:val="single" w:sz="8" w:space="0" w:color="A71930" w:themeColor="accent1"/>
      </w:tblBorders>
    </w:tblPr>
    <w:tcPr>
      <w:shd w:val="clear" w:color="auto" w:fill="F4BAC3" w:themeFill="accent1" w:themeFillTint="3F"/>
    </w:tcPr>
    <w:tblStylePr w:type="firstRow">
      <w:rPr>
        <w:b/>
        <w:bCs/>
        <w:color w:val="404143" w:themeColor="text1"/>
      </w:rPr>
      <w:tblPr/>
      <w:tcPr>
        <w:shd w:val="clear" w:color="auto" w:fill="FBE3E7" w:themeFill="accent1"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F6C7CF" w:themeFill="accent1" w:themeFillTint="33"/>
      </w:tcPr>
    </w:tblStylePr>
    <w:tblStylePr w:type="band1Vert">
      <w:tblPr/>
      <w:tcPr>
        <w:shd w:val="clear" w:color="auto" w:fill="EA7587" w:themeFill="accent1" w:themeFillTint="7F"/>
      </w:tcPr>
    </w:tblStylePr>
    <w:tblStylePr w:type="band1Horz">
      <w:tblPr/>
      <w:tcPr>
        <w:tcBorders>
          <w:insideH w:val="single" w:sz="6" w:space="0" w:color="A71930" w:themeColor="accent1"/>
          <w:insideV w:val="single" w:sz="6" w:space="0" w:color="A71930" w:themeColor="accent1"/>
        </w:tcBorders>
        <w:shd w:val="clear" w:color="auto" w:fill="EA758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insideH w:val="single" w:sz="8" w:space="0" w:color="EBB700" w:themeColor="accent2"/>
        <w:insideV w:val="single" w:sz="8" w:space="0" w:color="EBB700" w:themeColor="accent2"/>
      </w:tblBorders>
    </w:tblPr>
    <w:tcPr>
      <w:shd w:val="clear" w:color="auto" w:fill="FFEFBB" w:themeFill="accent2" w:themeFillTint="3F"/>
    </w:tcPr>
    <w:tblStylePr w:type="firstRow">
      <w:rPr>
        <w:b/>
        <w:bCs/>
        <w:color w:val="404143" w:themeColor="text1"/>
      </w:rPr>
      <w:tblPr/>
      <w:tcPr>
        <w:shd w:val="clear" w:color="auto" w:fill="FFF8E4" w:themeFill="accent2"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FFF2C8" w:themeFill="accent2" w:themeFillTint="33"/>
      </w:tcPr>
    </w:tblStylePr>
    <w:tblStylePr w:type="band1Vert">
      <w:tblPr/>
      <w:tcPr>
        <w:shd w:val="clear" w:color="auto" w:fill="FFE076" w:themeFill="accent2" w:themeFillTint="7F"/>
      </w:tcPr>
    </w:tblStylePr>
    <w:tblStylePr w:type="band1Horz">
      <w:tblPr/>
      <w:tcPr>
        <w:tcBorders>
          <w:insideH w:val="single" w:sz="6" w:space="0" w:color="EBB700" w:themeColor="accent2"/>
          <w:insideV w:val="single" w:sz="6" w:space="0" w:color="EBB700" w:themeColor="accent2"/>
        </w:tcBorders>
        <w:shd w:val="clear" w:color="auto" w:fill="FFE07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insideH w:val="single" w:sz="8" w:space="0" w:color="6773B6" w:themeColor="accent3"/>
        <w:insideV w:val="single" w:sz="8" w:space="0" w:color="6773B6" w:themeColor="accent3"/>
      </w:tblBorders>
    </w:tblPr>
    <w:tcPr>
      <w:shd w:val="clear" w:color="auto" w:fill="D9DCED" w:themeFill="accent3" w:themeFillTint="3F"/>
    </w:tcPr>
    <w:tblStylePr w:type="firstRow">
      <w:rPr>
        <w:b/>
        <w:bCs/>
        <w:color w:val="404143" w:themeColor="text1"/>
      </w:rPr>
      <w:tblPr/>
      <w:tcPr>
        <w:shd w:val="clear" w:color="auto" w:fill="EFF1F7" w:themeFill="accent3"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E0E2F0" w:themeFill="accent3" w:themeFillTint="33"/>
      </w:tcPr>
    </w:tblStylePr>
    <w:tblStylePr w:type="band1Vert">
      <w:tblPr/>
      <w:tcPr>
        <w:shd w:val="clear" w:color="auto" w:fill="B3B8DA" w:themeFill="accent3" w:themeFillTint="7F"/>
      </w:tcPr>
    </w:tblStylePr>
    <w:tblStylePr w:type="band1Horz">
      <w:tblPr/>
      <w:tcPr>
        <w:tcBorders>
          <w:insideH w:val="single" w:sz="6" w:space="0" w:color="6773B6" w:themeColor="accent3"/>
          <w:insideV w:val="single" w:sz="6" w:space="0" w:color="6773B6" w:themeColor="accent3"/>
        </w:tcBorders>
        <w:shd w:val="clear" w:color="auto" w:fill="B3B8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insideH w:val="single" w:sz="8" w:space="0" w:color="A2AD00" w:themeColor="accent4"/>
        <w:insideV w:val="single" w:sz="8" w:space="0" w:color="A2AD00" w:themeColor="accent4"/>
      </w:tblBorders>
    </w:tblPr>
    <w:tcPr>
      <w:shd w:val="clear" w:color="auto" w:fill="F9FFAB" w:themeFill="accent4" w:themeFillTint="3F"/>
    </w:tcPr>
    <w:tblStylePr w:type="firstRow">
      <w:rPr>
        <w:b/>
        <w:bCs/>
        <w:color w:val="404143" w:themeColor="text1"/>
      </w:rPr>
      <w:tblPr/>
      <w:tcPr>
        <w:shd w:val="clear" w:color="auto" w:fill="FCFFDD" w:themeFill="accent4"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FAFFBB" w:themeFill="accent4" w:themeFillTint="33"/>
      </w:tcPr>
    </w:tblStylePr>
    <w:tblStylePr w:type="band1Vert">
      <w:tblPr/>
      <w:tcPr>
        <w:shd w:val="clear" w:color="auto" w:fill="F3FF57" w:themeFill="accent4" w:themeFillTint="7F"/>
      </w:tcPr>
    </w:tblStylePr>
    <w:tblStylePr w:type="band1Horz">
      <w:tblPr/>
      <w:tcPr>
        <w:tcBorders>
          <w:insideH w:val="single" w:sz="6" w:space="0" w:color="A2AD00" w:themeColor="accent4"/>
          <w:insideV w:val="single" w:sz="6" w:space="0" w:color="A2AD00" w:themeColor="accent4"/>
        </w:tcBorders>
        <w:shd w:val="clear" w:color="auto" w:fill="F3FF5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insideH w:val="single" w:sz="8" w:space="0" w:color="8B8D8E" w:themeColor="accent5"/>
        <w:insideV w:val="single" w:sz="8" w:space="0" w:color="8B8D8E" w:themeColor="accent5"/>
      </w:tblBorders>
    </w:tblPr>
    <w:tcPr>
      <w:shd w:val="clear" w:color="auto" w:fill="E2E2E3" w:themeFill="accent5" w:themeFillTint="3F"/>
    </w:tcPr>
    <w:tblStylePr w:type="firstRow">
      <w:rPr>
        <w:b/>
        <w:bCs/>
        <w:color w:val="404143" w:themeColor="text1"/>
      </w:rPr>
      <w:tblPr/>
      <w:tcPr>
        <w:shd w:val="clear" w:color="auto" w:fill="F3F3F3" w:themeFill="accent5"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E7E8E8" w:themeFill="accent5" w:themeFillTint="33"/>
      </w:tcPr>
    </w:tblStylePr>
    <w:tblStylePr w:type="band1Vert">
      <w:tblPr/>
      <w:tcPr>
        <w:shd w:val="clear" w:color="auto" w:fill="C5C6C6" w:themeFill="accent5" w:themeFillTint="7F"/>
      </w:tcPr>
    </w:tblStylePr>
    <w:tblStylePr w:type="band1Horz">
      <w:tblPr/>
      <w:tcPr>
        <w:tcBorders>
          <w:insideH w:val="single" w:sz="6" w:space="0" w:color="8B8D8E" w:themeColor="accent5"/>
          <w:insideV w:val="single" w:sz="6" w:space="0" w:color="8B8D8E" w:themeColor="accent5"/>
        </w:tcBorders>
        <w:shd w:val="clear" w:color="auto" w:fill="C5C6C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insideH w:val="single" w:sz="8" w:space="0" w:color="404143" w:themeColor="accent6"/>
        <w:insideV w:val="single" w:sz="8" w:space="0" w:color="404143" w:themeColor="accent6"/>
      </w:tblBorders>
    </w:tblPr>
    <w:tcPr>
      <w:shd w:val="clear" w:color="auto" w:fill="CFCFD1" w:themeFill="accent6" w:themeFillTint="3F"/>
    </w:tcPr>
    <w:tblStylePr w:type="firstRow">
      <w:rPr>
        <w:b/>
        <w:bCs/>
        <w:color w:val="404143" w:themeColor="text1"/>
      </w:rPr>
      <w:tblPr/>
      <w:tcPr>
        <w:shd w:val="clear" w:color="auto" w:fill="EBECEC" w:themeFill="accent6" w:themeFillTint="19"/>
      </w:tcPr>
    </w:tblStylePr>
    <w:tblStylePr w:type="lastRow">
      <w:rPr>
        <w:b/>
        <w:bCs/>
        <w:color w:val="404143" w:themeColor="text1"/>
      </w:rPr>
      <w:tblPr/>
      <w:tcPr>
        <w:tcBorders>
          <w:top w:val="single" w:sz="12" w:space="0" w:color="404143" w:themeColor="text1"/>
          <w:left w:val="nil"/>
          <w:bottom w:val="nil"/>
          <w:right w:val="nil"/>
          <w:insideH w:val="nil"/>
          <w:insideV w:val="nil"/>
        </w:tcBorders>
        <w:shd w:val="clear" w:color="auto" w:fill="FFFFFF" w:themeFill="background1"/>
      </w:tcPr>
    </w:tblStylePr>
    <w:tblStylePr w:type="firstCol">
      <w:rPr>
        <w:b/>
        <w:bCs/>
        <w:color w:val="40414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143" w:themeColor="text1"/>
      </w:rPr>
      <w:tblPr/>
      <w:tcPr>
        <w:tcBorders>
          <w:top w:val="nil"/>
          <w:left w:val="nil"/>
          <w:bottom w:val="nil"/>
          <w:right w:val="nil"/>
          <w:insideH w:val="nil"/>
          <w:insideV w:val="nil"/>
        </w:tcBorders>
        <w:shd w:val="clear" w:color="auto" w:fill="D8D8DA" w:themeFill="accent6" w:themeFillTint="33"/>
      </w:tcPr>
    </w:tblStylePr>
    <w:tblStylePr w:type="band1Vert">
      <w:tblPr/>
      <w:tcPr>
        <w:shd w:val="clear" w:color="auto" w:fill="9E9FA2" w:themeFill="accent6" w:themeFillTint="7F"/>
      </w:tcPr>
    </w:tblStylePr>
    <w:tblStylePr w:type="band1Horz">
      <w:tblPr/>
      <w:tcPr>
        <w:tcBorders>
          <w:insideH w:val="single" w:sz="6" w:space="0" w:color="404143" w:themeColor="accent6"/>
          <w:insideV w:val="single" w:sz="6" w:space="0" w:color="404143" w:themeColor="accent6"/>
        </w:tcBorders>
        <w:shd w:val="clear" w:color="auto" w:fill="9E9F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1"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14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14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14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14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FA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FA2" w:themeFill="text1" w:themeFillTint="7F"/>
      </w:tcPr>
    </w:tblStylePr>
  </w:style>
  <w:style w:type="table" w:styleId="MediumGrid3-Accent1">
    <w:name w:val="Medium Grid 3 Accent 1"/>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A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193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193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193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193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58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587" w:themeFill="accent1" w:themeFillTint="7F"/>
      </w:tcPr>
    </w:tblStylePr>
  </w:style>
  <w:style w:type="table" w:styleId="MediumGrid3-Accent2">
    <w:name w:val="Medium Grid 3 Accent 2"/>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B7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B7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B7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B7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07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076" w:themeFill="accent2" w:themeFillTint="7F"/>
      </w:tcPr>
    </w:tblStylePr>
  </w:style>
  <w:style w:type="table" w:styleId="MediumGrid3-Accent3">
    <w:name w:val="Medium Grid 3 Accent 3"/>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C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3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3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3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3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B8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B8DA" w:themeFill="accent3" w:themeFillTint="7F"/>
      </w:tcPr>
    </w:tblStylePr>
  </w:style>
  <w:style w:type="table" w:styleId="MediumGrid3-Accent4">
    <w:name w:val="Medium Grid 3 Accent 4"/>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FA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AD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AD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AD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2AD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F5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F57" w:themeFill="accent4" w:themeFillTint="7F"/>
      </w:tcPr>
    </w:tblStylePr>
  </w:style>
  <w:style w:type="table" w:styleId="MediumGrid3-Accent5">
    <w:name w:val="Medium Grid 3 Accent 5"/>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2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8D8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8D8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8D8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8D8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6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6C6" w:themeFill="accent5" w:themeFillTint="7F"/>
      </w:tcPr>
    </w:tblStylePr>
  </w:style>
  <w:style w:type="table" w:styleId="MediumGrid3-Accent6">
    <w:name w:val="Medium Grid 3 Accent 6"/>
    <w:basedOn w:val="TableNormal"/>
    <w:uiPriority w:val="69"/>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14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14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14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14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F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FA2" w:themeFill="accent6" w:themeFillTint="7F"/>
      </w:tcPr>
    </w:tblStylePr>
  </w:style>
  <w:style w:type="table" w:styleId="MediumList1">
    <w:name w:val="Medium List 1"/>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404143" w:themeColor="text1"/>
        <w:bottom w:val="single" w:sz="8" w:space="0" w:color="404143" w:themeColor="text1"/>
      </w:tblBorders>
    </w:tblPr>
    <w:tblStylePr w:type="firstRow">
      <w:rPr>
        <w:rFonts w:asciiTheme="majorHAnsi" w:eastAsiaTheme="majorEastAsia" w:hAnsiTheme="majorHAnsi" w:cstheme="majorBidi"/>
      </w:rPr>
      <w:tblPr/>
      <w:tcPr>
        <w:tcBorders>
          <w:top w:val="nil"/>
          <w:bottom w:val="single" w:sz="8" w:space="0" w:color="404143" w:themeColor="text1"/>
        </w:tcBorders>
      </w:tcPr>
    </w:tblStylePr>
    <w:tblStylePr w:type="lastRow">
      <w:rPr>
        <w:b/>
        <w:bCs/>
        <w:color w:val="404144" w:themeColor="text2"/>
      </w:rPr>
      <w:tblPr/>
      <w:tcPr>
        <w:tcBorders>
          <w:top w:val="single" w:sz="8" w:space="0" w:color="404143" w:themeColor="text1"/>
          <w:bottom w:val="single" w:sz="8" w:space="0" w:color="404143" w:themeColor="text1"/>
        </w:tcBorders>
      </w:tcPr>
    </w:tblStylePr>
    <w:tblStylePr w:type="firstCol">
      <w:rPr>
        <w:b/>
        <w:bCs/>
      </w:rPr>
    </w:tblStylePr>
    <w:tblStylePr w:type="lastCol">
      <w:rPr>
        <w:b/>
        <w:bCs/>
      </w:rPr>
      <w:tblPr/>
      <w:tcPr>
        <w:tcBorders>
          <w:top w:val="single" w:sz="8" w:space="0" w:color="404143" w:themeColor="text1"/>
          <w:bottom w:val="single" w:sz="8" w:space="0" w:color="404143" w:themeColor="text1"/>
        </w:tcBorders>
      </w:tcPr>
    </w:tblStylePr>
    <w:tblStylePr w:type="band1Vert">
      <w:tblPr/>
      <w:tcPr>
        <w:shd w:val="clear" w:color="auto" w:fill="CFCFD1" w:themeFill="text1" w:themeFillTint="3F"/>
      </w:tcPr>
    </w:tblStylePr>
    <w:tblStylePr w:type="band1Horz">
      <w:tblPr/>
      <w:tcPr>
        <w:shd w:val="clear" w:color="auto" w:fill="CFCFD1" w:themeFill="text1" w:themeFillTint="3F"/>
      </w:tcPr>
    </w:tblStylePr>
  </w:style>
  <w:style w:type="table" w:styleId="MediumList1-Accent1">
    <w:name w:val="Medium List 1 Accent 1"/>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A71930" w:themeColor="accent1"/>
        <w:bottom w:val="single" w:sz="8" w:space="0" w:color="A71930" w:themeColor="accent1"/>
      </w:tblBorders>
    </w:tblPr>
    <w:tblStylePr w:type="firstRow">
      <w:rPr>
        <w:rFonts w:asciiTheme="majorHAnsi" w:eastAsiaTheme="majorEastAsia" w:hAnsiTheme="majorHAnsi" w:cstheme="majorBidi"/>
      </w:rPr>
      <w:tblPr/>
      <w:tcPr>
        <w:tcBorders>
          <w:top w:val="nil"/>
          <w:bottom w:val="single" w:sz="8" w:space="0" w:color="A71930" w:themeColor="accent1"/>
        </w:tcBorders>
      </w:tcPr>
    </w:tblStylePr>
    <w:tblStylePr w:type="lastRow">
      <w:rPr>
        <w:b/>
        <w:bCs/>
        <w:color w:val="404144" w:themeColor="text2"/>
      </w:rPr>
      <w:tblPr/>
      <w:tcPr>
        <w:tcBorders>
          <w:top w:val="single" w:sz="8" w:space="0" w:color="A71930" w:themeColor="accent1"/>
          <w:bottom w:val="single" w:sz="8" w:space="0" w:color="A71930" w:themeColor="accent1"/>
        </w:tcBorders>
      </w:tcPr>
    </w:tblStylePr>
    <w:tblStylePr w:type="firstCol">
      <w:rPr>
        <w:b/>
        <w:bCs/>
      </w:rPr>
    </w:tblStylePr>
    <w:tblStylePr w:type="lastCol">
      <w:rPr>
        <w:b/>
        <w:bCs/>
      </w:rPr>
      <w:tblPr/>
      <w:tcPr>
        <w:tcBorders>
          <w:top w:val="single" w:sz="8" w:space="0" w:color="A71930" w:themeColor="accent1"/>
          <w:bottom w:val="single" w:sz="8" w:space="0" w:color="A71930" w:themeColor="accent1"/>
        </w:tcBorders>
      </w:tcPr>
    </w:tblStylePr>
    <w:tblStylePr w:type="band1Vert">
      <w:tblPr/>
      <w:tcPr>
        <w:shd w:val="clear" w:color="auto" w:fill="F4BAC3" w:themeFill="accent1" w:themeFillTint="3F"/>
      </w:tcPr>
    </w:tblStylePr>
    <w:tblStylePr w:type="band1Horz">
      <w:tblPr/>
      <w:tcPr>
        <w:shd w:val="clear" w:color="auto" w:fill="F4BAC3" w:themeFill="accent1" w:themeFillTint="3F"/>
      </w:tcPr>
    </w:tblStylePr>
  </w:style>
  <w:style w:type="table" w:styleId="MediumList1-Accent2">
    <w:name w:val="Medium List 1 Accent 2"/>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EBB700" w:themeColor="accent2"/>
        <w:bottom w:val="single" w:sz="8" w:space="0" w:color="EBB700" w:themeColor="accent2"/>
      </w:tblBorders>
    </w:tblPr>
    <w:tblStylePr w:type="firstRow">
      <w:rPr>
        <w:rFonts w:asciiTheme="majorHAnsi" w:eastAsiaTheme="majorEastAsia" w:hAnsiTheme="majorHAnsi" w:cstheme="majorBidi"/>
      </w:rPr>
      <w:tblPr/>
      <w:tcPr>
        <w:tcBorders>
          <w:top w:val="nil"/>
          <w:bottom w:val="single" w:sz="8" w:space="0" w:color="EBB700" w:themeColor="accent2"/>
        </w:tcBorders>
      </w:tcPr>
    </w:tblStylePr>
    <w:tblStylePr w:type="lastRow">
      <w:rPr>
        <w:b/>
        <w:bCs/>
        <w:color w:val="404144" w:themeColor="text2"/>
      </w:rPr>
      <w:tblPr/>
      <w:tcPr>
        <w:tcBorders>
          <w:top w:val="single" w:sz="8" w:space="0" w:color="EBB700" w:themeColor="accent2"/>
          <w:bottom w:val="single" w:sz="8" w:space="0" w:color="EBB700" w:themeColor="accent2"/>
        </w:tcBorders>
      </w:tcPr>
    </w:tblStylePr>
    <w:tblStylePr w:type="firstCol">
      <w:rPr>
        <w:b/>
        <w:bCs/>
      </w:rPr>
    </w:tblStylePr>
    <w:tblStylePr w:type="lastCol">
      <w:rPr>
        <w:b/>
        <w:bCs/>
      </w:rPr>
      <w:tblPr/>
      <w:tcPr>
        <w:tcBorders>
          <w:top w:val="single" w:sz="8" w:space="0" w:color="EBB700" w:themeColor="accent2"/>
          <w:bottom w:val="single" w:sz="8" w:space="0" w:color="EBB700" w:themeColor="accent2"/>
        </w:tcBorders>
      </w:tcPr>
    </w:tblStylePr>
    <w:tblStylePr w:type="band1Vert">
      <w:tblPr/>
      <w:tcPr>
        <w:shd w:val="clear" w:color="auto" w:fill="FFEFBB" w:themeFill="accent2" w:themeFillTint="3F"/>
      </w:tcPr>
    </w:tblStylePr>
    <w:tblStylePr w:type="band1Horz">
      <w:tblPr/>
      <w:tcPr>
        <w:shd w:val="clear" w:color="auto" w:fill="FFEFBB" w:themeFill="accent2" w:themeFillTint="3F"/>
      </w:tcPr>
    </w:tblStylePr>
  </w:style>
  <w:style w:type="table" w:styleId="MediumList1-Accent3">
    <w:name w:val="Medium List 1 Accent 3"/>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6773B6" w:themeColor="accent3"/>
        <w:bottom w:val="single" w:sz="8" w:space="0" w:color="6773B6" w:themeColor="accent3"/>
      </w:tblBorders>
    </w:tblPr>
    <w:tblStylePr w:type="firstRow">
      <w:rPr>
        <w:rFonts w:asciiTheme="majorHAnsi" w:eastAsiaTheme="majorEastAsia" w:hAnsiTheme="majorHAnsi" w:cstheme="majorBidi"/>
      </w:rPr>
      <w:tblPr/>
      <w:tcPr>
        <w:tcBorders>
          <w:top w:val="nil"/>
          <w:bottom w:val="single" w:sz="8" w:space="0" w:color="6773B6" w:themeColor="accent3"/>
        </w:tcBorders>
      </w:tcPr>
    </w:tblStylePr>
    <w:tblStylePr w:type="lastRow">
      <w:rPr>
        <w:b/>
        <w:bCs/>
        <w:color w:val="404144" w:themeColor="text2"/>
      </w:rPr>
      <w:tblPr/>
      <w:tcPr>
        <w:tcBorders>
          <w:top w:val="single" w:sz="8" w:space="0" w:color="6773B6" w:themeColor="accent3"/>
          <w:bottom w:val="single" w:sz="8" w:space="0" w:color="6773B6" w:themeColor="accent3"/>
        </w:tcBorders>
      </w:tcPr>
    </w:tblStylePr>
    <w:tblStylePr w:type="firstCol">
      <w:rPr>
        <w:b/>
        <w:bCs/>
      </w:rPr>
    </w:tblStylePr>
    <w:tblStylePr w:type="lastCol">
      <w:rPr>
        <w:b/>
        <w:bCs/>
      </w:rPr>
      <w:tblPr/>
      <w:tcPr>
        <w:tcBorders>
          <w:top w:val="single" w:sz="8" w:space="0" w:color="6773B6" w:themeColor="accent3"/>
          <w:bottom w:val="single" w:sz="8" w:space="0" w:color="6773B6" w:themeColor="accent3"/>
        </w:tcBorders>
      </w:tcPr>
    </w:tblStylePr>
    <w:tblStylePr w:type="band1Vert">
      <w:tblPr/>
      <w:tcPr>
        <w:shd w:val="clear" w:color="auto" w:fill="D9DCED" w:themeFill="accent3" w:themeFillTint="3F"/>
      </w:tcPr>
    </w:tblStylePr>
    <w:tblStylePr w:type="band1Horz">
      <w:tblPr/>
      <w:tcPr>
        <w:shd w:val="clear" w:color="auto" w:fill="D9DCED" w:themeFill="accent3" w:themeFillTint="3F"/>
      </w:tcPr>
    </w:tblStylePr>
  </w:style>
  <w:style w:type="table" w:styleId="MediumList1-Accent4">
    <w:name w:val="Medium List 1 Accent 4"/>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A2AD00" w:themeColor="accent4"/>
        <w:bottom w:val="single" w:sz="8" w:space="0" w:color="A2AD00" w:themeColor="accent4"/>
      </w:tblBorders>
    </w:tblPr>
    <w:tblStylePr w:type="firstRow">
      <w:rPr>
        <w:rFonts w:asciiTheme="majorHAnsi" w:eastAsiaTheme="majorEastAsia" w:hAnsiTheme="majorHAnsi" w:cstheme="majorBidi"/>
      </w:rPr>
      <w:tblPr/>
      <w:tcPr>
        <w:tcBorders>
          <w:top w:val="nil"/>
          <w:bottom w:val="single" w:sz="8" w:space="0" w:color="A2AD00" w:themeColor="accent4"/>
        </w:tcBorders>
      </w:tcPr>
    </w:tblStylePr>
    <w:tblStylePr w:type="lastRow">
      <w:rPr>
        <w:b/>
        <w:bCs/>
        <w:color w:val="404144" w:themeColor="text2"/>
      </w:rPr>
      <w:tblPr/>
      <w:tcPr>
        <w:tcBorders>
          <w:top w:val="single" w:sz="8" w:space="0" w:color="A2AD00" w:themeColor="accent4"/>
          <w:bottom w:val="single" w:sz="8" w:space="0" w:color="A2AD00" w:themeColor="accent4"/>
        </w:tcBorders>
      </w:tcPr>
    </w:tblStylePr>
    <w:tblStylePr w:type="firstCol">
      <w:rPr>
        <w:b/>
        <w:bCs/>
      </w:rPr>
    </w:tblStylePr>
    <w:tblStylePr w:type="lastCol">
      <w:rPr>
        <w:b/>
        <w:bCs/>
      </w:rPr>
      <w:tblPr/>
      <w:tcPr>
        <w:tcBorders>
          <w:top w:val="single" w:sz="8" w:space="0" w:color="A2AD00" w:themeColor="accent4"/>
          <w:bottom w:val="single" w:sz="8" w:space="0" w:color="A2AD00" w:themeColor="accent4"/>
        </w:tcBorders>
      </w:tcPr>
    </w:tblStylePr>
    <w:tblStylePr w:type="band1Vert">
      <w:tblPr/>
      <w:tcPr>
        <w:shd w:val="clear" w:color="auto" w:fill="F9FFAB" w:themeFill="accent4" w:themeFillTint="3F"/>
      </w:tcPr>
    </w:tblStylePr>
    <w:tblStylePr w:type="band1Horz">
      <w:tblPr/>
      <w:tcPr>
        <w:shd w:val="clear" w:color="auto" w:fill="F9FFAB" w:themeFill="accent4" w:themeFillTint="3F"/>
      </w:tcPr>
    </w:tblStylePr>
  </w:style>
  <w:style w:type="table" w:styleId="MediumList1-Accent5">
    <w:name w:val="Medium List 1 Accent 5"/>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8B8D8E" w:themeColor="accent5"/>
        <w:bottom w:val="single" w:sz="8" w:space="0" w:color="8B8D8E" w:themeColor="accent5"/>
      </w:tblBorders>
    </w:tblPr>
    <w:tblStylePr w:type="firstRow">
      <w:rPr>
        <w:rFonts w:asciiTheme="majorHAnsi" w:eastAsiaTheme="majorEastAsia" w:hAnsiTheme="majorHAnsi" w:cstheme="majorBidi"/>
      </w:rPr>
      <w:tblPr/>
      <w:tcPr>
        <w:tcBorders>
          <w:top w:val="nil"/>
          <w:bottom w:val="single" w:sz="8" w:space="0" w:color="8B8D8E" w:themeColor="accent5"/>
        </w:tcBorders>
      </w:tcPr>
    </w:tblStylePr>
    <w:tblStylePr w:type="lastRow">
      <w:rPr>
        <w:b/>
        <w:bCs/>
        <w:color w:val="404144" w:themeColor="text2"/>
      </w:rPr>
      <w:tblPr/>
      <w:tcPr>
        <w:tcBorders>
          <w:top w:val="single" w:sz="8" w:space="0" w:color="8B8D8E" w:themeColor="accent5"/>
          <w:bottom w:val="single" w:sz="8" w:space="0" w:color="8B8D8E" w:themeColor="accent5"/>
        </w:tcBorders>
      </w:tcPr>
    </w:tblStylePr>
    <w:tblStylePr w:type="firstCol">
      <w:rPr>
        <w:b/>
        <w:bCs/>
      </w:rPr>
    </w:tblStylePr>
    <w:tblStylePr w:type="lastCol">
      <w:rPr>
        <w:b/>
        <w:bCs/>
      </w:rPr>
      <w:tblPr/>
      <w:tcPr>
        <w:tcBorders>
          <w:top w:val="single" w:sz="8" w:space="0" w:color="8B8D8E" w:themeColor="accent5"/>
          <w:bottom w:val="single" w:sz="8" w:space="0" w:color="8B8D8E" w:themeColor="accent5"/>
        </w:tcBorders>
      </w:tcPr>
    </w:tblStylePr>
    <w:tblStylePr w:type="band1Vert">
      <w:tblPr/>
      <w:tcPr>
        <w:shd w:val="clear" w:color="auto" w:fill="E2E2E3" w:themeFill="accent5" w:themeFillTint="3F"/>
      </w:tcPr>
    </w:tblStylePr>
    <w:tblStylePr w:type="band1Horz">
      <w:tblPr/>
      <w:tcPr>
        <w:shd w:val="clear" w:color="auto" w:fill="E2E2E3" w:themeFill="accent5" w:themeFillTint="3F"/>
      </w:tcPr>
    </w:tblStylePr>
  </w:style>
  <w:style w:type="table" w:styleId="MediumList1-Accent6">
    <w:name w:val="Medium List 1 Accent 6"/>
    <w:basedOn w:val="TableNormal"/>
    <w:uiPriority w:val="65"/>
    <w:semiHidden/>
    <w:unhideWhenUsed/>
    <w:rsid w:val="00F3012E"/>
    <w:rPr>
      <w:rFonts w:asciiTheme="minorHAnsi" w:hAnsiTheme="minorHAnsi" w:cstheme="minorBidi"/>
      <w:color w:val="404143" w:themeColor="text1"/>
      <w:sz w:val="22"/>
      <w:szCs w:val="22"/>
      <w:lang w:eastAsia="zh-CN"/>
    </w:rPr>
    <w:tblPr>
      <w:tblStyleRowBandSize w:val="1"/>
      <w:tblStyleColBandSize w:val="1"/>
      <w:tblBorders>
        <w:top w:val="single" w:sz="8" w:space="0" w:color="404143" w:themeColor="accent6"/>
        <w:bottom w:val="single" w:sz="8" w:space="0" w:color="404143" w:themeColor="accent6"/>
      </w:tblBorders>
    </w:tblPr>
    <w:tblStylePr w:type="firstRow">
      <w:rPr>
        <w:rFonts w:asciiTheme="majorHAnsi" w:eastAsiaTheme="majorEastAsia" w:hAnsiTheme="majorHAnsi" w:cstheme="majorBidi"/>
      </w:rPr>
      <w:tblPr/>
      <w:tcPr>
        <w:tcBorders>
          <w:top w:val="nil"/>
          <w:bottom w:val="single" w:sz="8" w:space="0" w:color="404143" w:themeColor="accent6"/>
        </w:tcBorders>
      </w:tcPr>
    </w:tblStylePr>
    <w:tblStylePr w:type="lastRow">
      <w:rPr>
        <w:b/>
        <w:bCs/>
        <w:color w:val="404144" w:themeColor="text2"/>
      </w:rPr>
      <w:tblPr/>
      <w:tcPr>
        <w:tcBorders>
          <w:top w:val="single" w:sz="8" w:space="0" w:color="404143" w:themeColor="accent6"/>
          <w:bottom w:val="single" w:sz="8" w:space="0" w:color="404143" w:themeColor="accent6"/>
        </w:tcBorders>
      </w:tcPr>
    </w:tblStylePr>
    <w:tblStylePr w:type="firstCol">
      <w:rPr>
        <w:b/>
        <w:bCs/>
      </w:rPr>
    </w:tblStylePr>
    <w:tblStylePr w:type="lastCol">
      <w:rPr>
        <w:b/>
        <w:bCs/>
      </w:rPr>
      <w:tblPr/>
      <w:tcPr>
        <w:tcBorders>
          <w:top w:val="single" w:sz="8" w:space="0" w:color="404143" w:themeColor="accent6"/>
          <w:bottom w:val="single" w:sz="8" w:space="0" w:color="404143" w:themeColor="accent6"/>
        </w:tcBorders>
      </w:tcPr>
    </w:tblStylePr>
    <w:tblStylePr w:type="band1Vert">
      <w:tblPr/>
      <w:tcPr>
        <w:shd w:val="clear" w:color="auto" w:fill="CFCFD1" w:themeFill="accent6" w:themeFillTint="3F"/>
      </w:tcPr>
    </w:tblStylePr>
    <w:tblStylePr w:type="band1Horz">
      <w:tblPr/>
      <w:tcPr>
        <w:shd w:val="clear" w:color="auto" w:fill="CFCFD1" w:themeFill="accent6" w:themeFillTint="3F"/>
      </w:tcPr>
    </w:tblStylePr>
  </w:style>
  <w:style w:type="table" w:styleId="MediumList2">
    <w:name w:val="Medium List 2"/>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text1"/>
        <w:left w:val="single" w:sz="8" w:space="0" w:color="404143" w:themeColor="text1"/>
        <w:bottom w:val="single" w:sz="8" w:space="0" w:color="404143" w:themeColor="text1"/>
        <w:right w:val="single" w:sz="8" w:space="0" w:color="404143" w:themeColor="text1"/>
      </w:tblBorders>
    </w:tblPr>
    <w:tblStylePr w:type="firstRow">
      <w:rPr>
        <w:sz w:val="24"/>
        <w:szCs w:val="24"/>
      </w:rPr>
      <w:tblPr/>
      <w:tcPr>
        <w:tcBorders>
          <w:top w:val="nil"/>
          <w:left w:val="nil"/>
          <w:bottom w:val="single" w:sz="24" w:space="0" w:color="404143"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143" w:themeColor="text1"/>
          <w:insideH w:val="nil"/>
          <w:insideV w:val="nil"/>
        </w:tcBorders>
        <w:shd w:val="clear" w:color="auto" w:fill="FFFFFF" w:themeFill="background1"/>
      </w:tcPr>
    </w:tblStylePr>
    <w:tblStylePr w:type="lastCol">
      <w:tblPr/>
      <w:tcPr>
        <w:tcBorders>
          <w:top w:val="nil"/>
          <w:left w:val="single" w:sz="8" w:space="0" w:color="40414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1" w:themeFill="text1" w:themeFillTint="3F"/>
      </w:tcPr>
    </w:tblStylePr>
    <w:tblStylePr w:type="band1Horz">
      <w:tblPr/>
      <w:tcPr>
        <w:tcBorders>
          <w:top w:val="nil"/>
          <w:bottom w:val="nil"/>
          <w:insideH w:val="nil"/>
          <w:insideV w:val="nil"/>
        </w:tcBorders>
        <w:shd w:val="clear" w:color="auto" w:fill="CFCFD1"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71930" w:themeColor="accent1"/>
        <w:left w:val="single" w:sz="8" w:space="0" w:color="A71930" w:themeColor="accent1"/>
        <w:bottom w:val="single" w:sz="8" w:space="0" w:color="A71930" w:themeColor="accent1"/>
        <w:right w:val="single" w:sz="8" w:space="0" w:color="A71930" w:themeColor="accent1"/>
      </w:tblBorders>
    </w:tblPr>
    <w:tblStylePr w:type="firstRow">
      <w:rPr>
        <w:sz w:val="24"/>
        <w:szCs w:val="24"/>
      </w:rPr>
      <w:tblPr/>
      <w:tcPr>
        <w:tcBorders>
          <w:top w:val="nil"/>
          <w:left w:val="nil"/>
          <w:bottom w:val="single" w:sz="24" w:space="0" w:color="A7193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1930" w:themeColor="accent1"/>
          <w:insideH w:val="nil"/>
          <w:insideV w:val="nil"/>
        </w:tcBorders>
        <w:shd w:val="clear" w:color="auto" w:fill="FFFFFF" w:themeFill="background1"/>
      </w:tcPr>
    </w:tblStylePr>
    <w:tblStylePr w:type="lastCol">
      <w:tblPr/>
      <w:tcPr>
        <w:tcBorders>
          <w:top w:val="nil"/>
          <w:left w:val="single" w:sz="8" w:space="0" w:color="A7193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AC3" w:themeFill="accent1" w:themeFillTint="3F"/>
      </w:tcPr>
    </w:tblStylePr>
    <w:tblStylePr w:type="band1Horz">
      <w:tblPr/>
      <w:tcPr>
        <w:tcBorders>
          <w:top w:val="nil"/>
          <w:bottom w:val="nil"/>
          <w:insideH w:val="nil"/>
          <w:insideV w:val="nil"/>
        </w:tcBorders>
        <w:shd w:val="clear" w:color="auto" w:fill="F4BA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EBB700" w:themeColor="accent2"/>
        <w:left w:val="single" w:sz="8" w:space="0" w:color="EBB700" w:themeColor="accent2"/>
        <w:bottom w:val="single" w:sz="8" w:space="0" w:color="EBB700" w:themeColor="accent2"/>
        <w:right w:val="single" w:sz="8" w:space="0" w:color="EBB700" w:themeColor="accent2"/>
      </w:tblBorders>
    </w:tblPr>
    <w:tblStylePr w:type="firstRow">
      <w:rPr>
        <w:sz w:val="24"/>
        <w:szCs w:val="24"/>
      </w:rPr>
      <w:tblPr/>
      <w:tcPr>
        <w:tcBorders>
          <w:top w:val="nil"/>
          <w:left w:val="nil"/>
          <w:bottom w:val="single" w:sz="24" w:space="0" w:color="EBB7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B700" w:themeColor="accent2"/>
          <w:insideH w:val="nil"/>
          <w:insideV w:val="nil"/>
        </w:tcBorders>
        <w:shd w:val="clear" w:color="auto" w:fill="FFFFFF" w:themeFill="background1"/>
      </w:tcPr>
    </w:tblStylePr>
    <w:tblStylePr w:type="lastCol">
      <w:tblPr/>
      <w:tcPr>
        <w:tcBorders>
          <w:top w:val="nil"/>
          <w:left w:val="single" w:sz="8" w:space="0" w:color="EBB7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B" w:themeFill="accent2" w:themeFillTint="3F"/>
      </w:tcPr>
    </w:tblStylePr>
    <w:tblStylePr w:type="band1Horz">
      <w:tblPr/>
      <w:tcPr>
        <w:tcBorders>
          <w:top w:val="nil"/>
          <w:bottom w:val="nil"/>
          <w:insideH w:val="nil"/>
          <w:insideV w:val="nil"/>
        </w:tcBorders>
        <w:shd w:val="clear" w:color="auto" w:fill="FFEF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6773B6" w:themeColor="accent3"/>
        <w:left w:val="single" w:sz="8" w:space="0" w:color="6773B6" w:themeColor="accent3"/>
        <w:bottom w:val="single" w:sz="8" w:space="0" w:color="6773B6" w:themeColor="accent3"/>
        <w:right w:val="single" w:sz="8" w:space="0" w:color="6773B6" w:themeColor="accent3"/>
      </w:tblBorders>
    </w:tblPr>
    <w:tblStylePr w:type="firstRow">
      <w:rPr>
        <w:sz w:val="24"/>
        <w:szCs w:val="24"/>
      </w:rPr>
      <w:tblPr/>
      <w:tcPr>
        <w:tcBorders>
          <w:top w:val="nil"/>
          <w:left w:val="nil"/>
          <w:bottom w:val="single" w:sz="24" w:space="0" w:color="6773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3B6" w:themeColor="accent3"/>
          <w:insideH w:val="nil"/>
          <w:insideV w:val="nil"/>
        </w:tcBorders>
        <w:shd w:val="clear" w:color="auto" w:fill="FFFFFF" w:themeFill="background1"/>
      </w:tcPr>
    </w:tblStylePr>
    <w:tblStylePr w:type="lastCol">
      <w:tblPr/>
      <w:tcPr>
        <w:tcBorders>
          <w:top w:val="nil"/>
          <w:left w:val="single" w:sz="8" w:space="0" w:color="6773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CED" w:themeFill="accent3" w:themeFillTint="3F"/>
      </w:tcPr>
    </w:tblStylePr>
    <w:tblStylePr w:type="band1Horz">
      <w:tblPr/>
      <w:tcPr>
        <w:tcBorders>
          <w:top w:val="nil"/>
          <w:bottom w:val="nil"/>
          <w:insideH w:val="nil"/>
          <w:insideV w:val="nil"/>
        </w:tcBorders>
        <w:shd w:val="clear" w:color="auto" w:fill="D9DC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A2AD00" w:themeColor="accent4"/>
        <w:left w:val="single" w:sz="8" w:space="0" w:color="A2AD00" w:themeColor="accent4"/>
        <w:bottom w:val="single" w:sz="8" w:space="0" w:color="A2AD00" w:themeColor="accent4"/>
        <w:right w:val="single" w:sz="8" w:space="0" w:color="A2AD00" w:themeColor="accent4"/>
      </w:tblBorders>
    </w:tblPr>
    <w:tblStylePr w:type="firstRow">
      <w:rPr>
        <w:sz w:val="24"/>
        <w:szCs w:val="24"/>
      </w:rPr>
      <w:tblPr/>
      <w:tcPr>
        <w:tcBorders>
          <w:top w:val="nil"/>
          <w:left w:val="nil"/>
          <w:bottom w:val="single" w:sz="24" w:space="0" w:color="A2AD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AD00" w:themeColor="accent4"/>
          <w:insideH w:val="nil"/>
          <w:insideV w:val="nil"/>
        </w:tcBorders>
        <w:shd w:val="clear" w:color="auto" w:fill="FFFFFF" w:themeFill="background1"/>
      </w:tcPr>
    </w:tblStylePr>
    <w:tblStylePr w:type="lastCol">
      <w:tblPr/>
      <w:tcPr>
        <w:tcBorders>
          <w:top w:val="nil"/>
          <w:left w:val="single" w:sz="8" w:space="0" w:color="A2AD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FAB" w:themeFill="accent4" w:themeFillTint="3F"/>
      </w:tcPr>
    </w:tblStylePr>
    <w:tblStylePr w:type="band1Horz">
      <w:tblPr/>
      <w:tcPr>
        <w:tcBorders>
          <w:top w:val="nil"/>
          <w:bottom w:val="nil"/>
          <w:insideH w:val="nil"/>
          <w:insideV w:val="nil"/>
        </w:tcBorders>
        <w:shd w:val="clear" w:color="auto" w:fill="F9FFA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8B8D8E" w:themeColor="accent5"/>
        <w:left w:val="single" w:sz="8" w:space="0" w:color="8B8D8E" w:themeColor="accent5"/>
        <w:bottom w:val="single" w:sz="8" w:space="0" w:color="8B8D8E" w:themeColor="accent5"/>
        <w:right w:val="single" w:sz="8" w:space="0" w:color="8B8D8E" w:themeColor="accent5"/>
      </w:tblBorders>
    </w:tblPr>
    <w:tblStylePr w:type="firstRow">
      <w:rPr>
        <w:sz w:val="24"/>
        <w:szCs w:val="24"/>
      </w:rPr>
      <w:tblPr/>
      <w:tcPr>
        <w:tcBorders>
          <w:top w:val="nil"/>
          <w:left w:val="nil"/>
          <w:bottom w:val="single" w:sz="24" w:space="0" w:color="8B8D8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8D8E" w:themeColor="accent5"/>
          <w:insideH w:val="nil"/>
          <w:insideV w:val="nil"/>
        </w:tcBorders>
        <w:shd w:val="clear" w:color="auto" w:fill="FFFFFF" w:themeFill="background1"/>
      </w:tcPr>
    </w:tblStylePr>
    <w:tblStylePr w:type="lastCol">
      <w:tblPr/>
      <w:tcPr>
        <w:tcBorders>
          <w:top w:val="nil"/>
          <w:left w:val="single" w:sz="8" w:space="0" w:color="8B8D8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2E3" w:themeFill="accent5" w:themeFillTint="3F"/>
      </w:tcPr>
    </w:tblStylePr>
    <w:tblStylePr w:type="band1Horz">
      <w:tblPr/>
      <w:tcPr>
        <w:tcBorders>
          <w:top w:val="nil"/>
          <w:bottom w:val="nil"/>
          <w:insideH w:val="nil"/>
          <w:insideV w:val="nil"/>
        </w:tcBorders>
        <w:shd w:val="clear" w:color="auto" w:fill="E2E2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012E"/>
    <w:rPr>
      <w:rFonts w:asciiTheme="majorHAnsi" w:eastAsiaTheme="majorEastAsia" w:hAnsiTheme="majorHAnsi" w:cstheme="majorBidi"/>
      <w:color w:val="404143" w:themeColor="text1"/>
      <w:sz w:val="22"/>
      <w:szCs w:val="22"/>
      <w:lang w:eastAsia="zh-CN"/>
    </w:rPr>
    <w:tblPr>
      <w:tblStyleRowBandSize w:val="1"/>
      <w:tblStyleColBandSize w:val="1"/>
      <w:tblBorders>
        <w:top w:val="single" w:sz="8" w:space="0" w:color="404143" w:themeColor="accent6"/>
        <w:left w:val="single" w:sz="8" w:space="0" w:color="404143" w:themeColor="accent6"/>
        <w:bottom w:val="single" w:sz="8" w:space="0" w:color="404143" w:themeColor="accent6"/>
        <w:right w:val="single" w:sz="8" w:space="0" w:color="404143" w:themeColor="accent6"/>
      </w:tblBorders>
    </w:tblPr>
    <w:tblStylePr w:type="firstRow">
      <w:rPr>
        <w:sz w:val="24"/>
        <w:szCs w:val="24"/>
      </w:rPr>
      <w:tblPr/>
      <w:tcPr>
        <w:tcBorders>
          <w:top w:val="nil"/>
          <w:left w:val="nil"/>
          <w:bottom w:val="single" w:sz="24" w:space="0" w:color="40414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143" w:themeColor="accent6"/>
          <w:insideH w:val="nil"/>
          <w:insideV w:val="nil"/>
        </w:tcBorders>
        <w:shd w:val="clear" w:color="auto" w:fill="FFFFFF" w:themeFill="background1"/>
      </w:tcPr>
    </w:tblStylePr>
    <w:tblStylePr w:type="lastCol">
      <w:tblPr/>
      <w:tcPr>
        <w:tcBorders>
          <w:top w:val="nil"/>
          <w:left w:val="single" w:sz="8" w:space="0" w:color="40414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1" w:themeFill="accent6" w:themeFillTint="3F"/>
      </w:tcPr>
    </w:tblStylePr>
    <w:tblStylePr w:type="band1Horz">
      <w:tblPr/>
      <w:tcPr>
        <w:tcBorders>
          <w:top w:val="nil"/>
          <w:bottom w:val="nil"/>
          <w:insideH w:val="nil"/>
          <w:insideV w:val="nil"/>
        </w:tcBorders>
        <w:shd w:val="clear" w:color="auto" w:fill="CFCF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single" w:sz="8" w:space="0" w:color="6E7073" w:themeColor="text1" w:themeTint="BF"/>
      </w:tblBorders>
    </w:tblPr>
    <w:tblStylePr w:type="firstRow">
      <w:pPr>
        <w:spacing w:before="0" w:after="0" w:line="240" w:lineRule="auto"/>
      </w:pPr>
      <w:rPr>
        <w:b/>
        <w:bCs/>
        <w:color w:val="FFFFFF" w:themeColor="background1"/>
      </w:rPr>
      <w:tblPr/>
      <w:tcPr>
        <w:tcBorders>
          <w:top w:val="single" w:sz="8"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nil"/>
          <w:insideV w:val="nil"/>
        </w:tcBorders>
        <w:shd w:val="clear" w:color="auto" w:fill="404143" w:themeFill="text1"/>
      </w:tcPr>
    </w:tblStylePr>
    <w:tblStylePr w:type="lastRow">
      <w:pPr>
        <w:spacing w:before="0" w:after="0" w:line="240" w:lineRule="auto"/>
      </w:pPr>
      <w:rPr>
        <w:b/>
        <w:bCs/>
      </w:rPr>
      <w:tblPr/>
      <w:tcPr>
        <w:tcBorders>
          <w:top w:val="double" w:sz="6" w:space="0" w:color="6E7073" w:themeColor="text1" w:themeTint="BF"/>
          <w:left w:val="single" w:sz="8" w:space="0" w:color="6E7073" w:themeColor="text1" w:themeTint="BF"/>
          <w:bottom w:val="single" w:sz="8" w:space="0" w:color="6E7073" w:themeColor="text1" w:themeTint="BF"/>
          <w:right w:val="single" w:sz="8" w:space="0" w:color="6E7073"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1" w:themeFill="text1" w:themeFillTint="3F"/>
      </w:tcPr>
    </w:tblStylePr>
    <w:tblStylePr w:type="band1Horz">
      <w:tblPr/>
      <w:tcPr>
        <w:tcBorders>
          <w:insideH w:val="nil"/>
          <w:insideV w:val="nil"/>
        </w:tcBorders>
        <w:shd w:val="clear" w:color="auto" w:fill="CFCFD1"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single" w:sz="8" w:space="0" w:color="E02F4C" w:themeColor="accent1" w:themeTint="BF"/>
      </w:tblBorders>
    </w:tblPr>
    <w:tblStylePr w:type="firstRow">
      <w:pPr>
        <w:spacing w:before="0" w:after="0" w:line="240" w:lineRule="auto"/>
      </w:pPr>
      <w:rPr>
        <w:b/>
        <w:bCs/>
        <w:color w:val="FFFFFF" w:themeColor="background1"/>
      </w:rPr>
      <w:tblPr/>
      <w:tcPr>
        <w:tcBorders>
          <w:top w:val="single" w:sz="8"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nil"/>
          <w:insideV w:val="nil"/>
        </w:tcBorders>
        <w:shd w:val="clear" w:color="auto" w:fill="A71930" w:themeFill="accent1"/>
      </w:tcPr>
    </w:tblStylePr>
    <w:tblStylePr w:type="lastRow">
      <w:pPr>
        <w:spacing w:before="0" w:after="0" w:line="240" w:lineRule="auto"/>
      </w:pPr>
      <w:rPr>
        <w:b/>
        <w:bCs/>
      </w:rPr>
      <w:tblPr/>
      <w:tcPr>
        <w:tcBorders>
          <w:top w:val="double" w:sz="6" w:space="0" w:color="E02F4C" w:themeColor="accent1" w:themeTint="BF"/>
          <w:left w:val="single" w:sz="8" w:space="0" w:color="E02F4C" w:themeColor="accent1" w:themeTint="BF"/>
          <w:bottom w:val="single" w:sz="8" w:space="0" w:color="E02F4C" w:themeColor="accent1" w:themeTint="BF"/>
          <w:right w:val="single" w:sz="8" w:space="0" w:color="E02F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BAC3" w:themeFill="accent1" w:themeFillTint="3F"/>
      </w:tcPr>
    </w:tblStylePr>
    <w:tblStylePr w:type="band1Horz">
      <w:tblPr/>
      <w:tcPr>
        <w:tcBorders>
          <w:insideH w:val="nil"/>
          <w:insideV w:val="nil"/>
        </w:tcBorders>
        <w:shd w:val="clear" w:color="auto" w:fill="F4BAC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single" w:sz="8" w:space="0" w:color="FFD031" w:themeColor="accent2" w:themeTint="BF"/>
      </w:tblBorders>
    </w:tblPr>
    <w:tblStylePr w:type="firstRow">
      <w:pPr>
        <w:spacing w:before="0" w:after="0" w:line="240" w:lineRule="auto"/>
      </w:pPr>
      <w:rPr>
        <w:b/>
        <w:bCs/>
        <w:color w:val="FFFFFF" w:themeColor="background1"/>
      </w:rPr>
      <w:tblPr/>
      <w:tcPr>
        <w:tcBorders>
          <w:top w:val="single" w:sz="8"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nil"/>
          <w:insideV w:val="nil"/>
        </w:tcBorders>
        <w:shd w:val="clear" w:color="auto" w:fill="EBB700" w:themeFill="accent2"/>
      </w:tcPr>
    </w:tblStylePr>
    <w:tblStylePr w:type="lastRow">
      <w:pPr>
        <w:spacing w:before="0" w:after="0" w:line="240" w:lineRule="auto"/>
      </w:pPr>
      <w:rPr>
        <w:b/>
        <w:bCs/>
      </w:rPr>
      <w:tblPr/>
      <w:tcPr>
        <w:tcBorders>
          <w:top w:val="double" w:sz="6" w:space="0" w:color="FFD031" w:themeColor="accent2" w:themeTint="BF"/>
          <w:left w:val="single" w:sz="8" w:space="0" w:color="FFD031" w:themeColor="accent2" w:themeTint="BF"/>
          <w:bottom w:val="single" w:sz="8" w:space="0" w:color="FFD031" w:themeColor="accent2" w:themeTint="BF"/>
          <w:right w:val="single" w:sz="8" w:space="0" w:color="FFD03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FBB" w:themeFill="accent2" w:themeFillTint="3F"/>
      </w:tcPr>
    </w:tblStylePr>
    <w:tblStylePr w:type="band1Horz">
      <w:tblPr/>
      <w:tcPr>
        <w:tcBorders>
          <w:insideH w:val="nil"/>
          <w:insideV w:val="nil"/>
        </w:tcBorders>
        <w:shd w:val="clear" w:color="auto" w:fill="FFEF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single" w:sz="8" w:space="0" w:color="8D95C8" w:themeColor="accent3" w:themeTint="BF"/>
      </w:tblBorders>
    </w:tblPr>
    <w:tblStylePr w:type="firstRow">
      <w:pPr>
        <w:spacing w:before="0" w:after="0" w:line="240" w:lineRule="auto"/>
      </w:pPr>
      <w:rPr>
        <w:b/>
        <w:bCs/>
        <w:color w:val="FFFFFF" w:themeColor="background1"/>
      </w:rPr>
      <w:tblPr/>
      <w:tcPr>
        <w:tcBorders>
          <w:top w:val="single" w:sz="8"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nil"/>
          <w:insideV w:val="nil"/>
        </w:tcBorders>
        <w:shd w:val="clear" w:color="auto" w:fill="6773B6" w:themeFill="accent3"/>
      </w:tcPr>
    </w:tblStylePr>
    <w:tblStylePr w:type="lastRow">
      <w:pPr>
        <w:spacing w:before="0" w:after="0" w:line="240" w:lineRule="auto"/>
      </w:pPr>
      <w:rPr>
        <w:b/>
        <w:bCs/>
      </w:rPr>
      <w:tblPr/>
      <w:tcPr>
        <w:tcBorders>
          <w:top w:val="double" w:sz="6" w:space="0" w:color="8D95C8" w:themeColor="accent3" w:themeTint="BF"/>
          <w:left w:val="single" w:sz="8" w:space="0" w:color="8D95C8" w:themeColor="accent3" w:themeTint="BF"/>
          <w:bottom w:val="single" w:sz="8" w:space="0" w:color="8D95C8" w:themeColor="accent3" w:themeTint="BF"/>
          <w:right w:val="single" w:sz="8" w:space="0" w:color="8D95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9DCED" w:themeFill="accent3" w:themeFillTint="3F"/>
      </w:tcPr>
    </w:tblStylePr>
    <w:tblStylePr w:type="band1Horz">
      <w:tblPr/>
      <w:tcPr>
        <w:tcBorders>
          <w:insideH w:val="nil"/>
          <w:insideV w:val="nil"/>
        </w:tcBorders>
        <w:shd w:val="clear" w:color="auto" w:fill="D9DC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single" w:sz="8" w:space="0" w:color="EEFF02" w:themeColor="accent4" w:themeTint="BF"/>
      </w:tblBorders>
    </w:tblPr>
    <w:tblStylePr w:type="firstRow">
      <w:pPr>
        <w:spacing w:before="0" w:after="0" w:line="240" w:lineRule="auto"/>
      </w:pPr>
      <w:rPr>
        <w:b/>
        <w:bCs/>
        <w:color w:val="FFFFFF" w:themeColor="background1"/>
      </w:rPr>
      <w:tblPr/>
      <w:tcPr>
        <w:tcBorders>
          <w:top w:val="single" w:sz="8"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nil"/>
          <w:insideV w:val="nil"/>
        </w:tcBorders>
        <w:shd w:val="clear" w:color="auto" w:fill="A2AD00" w:themeFill="accent4"/>
      </w:tcPr>
    </w:tblStylePr>
    <w:tblStylePr w:type="lastRow">
      <w:pPr>
        <w:spacing w:before="0" w:after="0" w:line="240" w:lineRule="auto"/>
      </w:pPr>
      <w:rPr>
        <w:b/>
        <w:bCs/>
      </w:rPr>
      <w:tblPr/>
      <w:tcPr>
        <w:tcBorders>
          <w:top w:val="double" w:sz="6" w:space="0" w:color="EEFF02" w:themeColor="accent4" w:themeTint="BF"/>
          <w:left w:val="single" w:sz="8" w:space="0" w:color="EEFF02" w:themeColor="accent4" w:themeTint="BF"/>
          <w:bottom w:val="single" w:sz="8" w:space="0" w:color="EEFF02" w:themeColor="accent4" w:themeTint="BF"/>
          <w:right w:val="single" w:sz="8" w:space="0" w:color="EEFF0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FAB" w:themeFill="accent4" w:themeFillTint="3F"/>
      </w:tcPr>
    </w:tblStylePr>
    <w:tblStylePr w:type="band1Horz">
      <w:tblPr/>
      <w:tcPr>
        <w:tcBorders>
          <w:insideH w:val="nil"/>
          <w:insideV w:val="nil"/>
        </w:tcBorders>
        <w:shd w:val="clear" w:color="auto" w:fill="F9FFA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single" w:sz="8" w:space="0" w:color="A8A9AA" w:themeColor="accent5" w:themeTint="BF"/>
      </w:tblBorders>
    </w:tblPr>
    <w:tblStylePr w:type="firstRow">
      <w:pPr>
        <w:spacing w:before="0" w:after="0" w:line="240" w:lineRule="auto"/>
      </w:pPr>
      <w:rPr>
        <w:b/>
        <w:bCs/>
        <w:color w:val="FFFFFF" w:themeColor="background1"/>
      </w:rPr>
      <w:tblPr/>
      <w:tcPr>
        <w:tcBorders>
          <w:top w:val="single" w:sz="8"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nil"/>
          <w:insideV w:val="nil"/>
        </w:tcBorders>
        <w:shd w:val="clear" w:color="auto" w:fill="8B8D8E" w:themeFill="accent5"/>
      </w:tcPr>
    </w:tblStylePr>
    <w:tblStylePr w:type="lastRow">
      <w:pPr>
        <w:spacing w:before="0" w:after="0" w:line="240" w:lineRule="auto"/>
      </w:pPr>
      <w:rPr>
        <w:b/>
        <w:bCs/>
      </w:rPr>
      <w:tblPr/>
      <w:tcPr>
        <w:tcBorders>
          <w:top w:val="double" w:sz="6" w:space="0" w:color="A8A9AA" w:themeColor="accent5" w:themeTint="BF"/>
          <w:left w:val="single" w:sz="8" w:space="0" w:color="A8A9AA" w:themeColor="accent5" w:themeTint="BF"/>
          <w:bottom w:val="single" w:sz="8" w:space="0" w:color="A8A9AA" w:themeColor="accent5" w:themeTint="BF"/>
          <w:right w:val="single" w:sz="8" w:space="0" w:color="A8A9A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E2E3" w:themeFill="accent5" w:themeFillTint="3F"/>
      </w:tcPr>
    </w:tblStylePr>
    <w:tblStylePr w:type="band1Horz">
      <w:tblPr/>
      <w:tcPr>
        <w:tcBorders>
          <w:insideH w:val="nil"/>
          <w:insideV w:val="nil"/>
        </w:tcBorders>
        <w:shd w:val="clear" w:color="auto" w:fill="E2E2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012E"/>
    <w:rPr>
      <w:rFonts w:asciiTheme="minorHAnsi" w:hAnsiTheme="minorHAnsi" w:cstheme="minorBidi"/>
      <w:sz w:val="22"/>
      <w:szCs w:val="22"/>
      <w:lang w:eastAsia="zh-CN"/>
    </w:rPr>
    <w:tblPr>
      <w:tblStyleRowBandSize w:val="1"/>
      <w:tblStyleColBandSize w:val="1"/>
      <w:tblBorders>
        <w:top w:val="single" w:sz="8"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single" w:sz="8" w:space="0" w:color="6E7073" w:themeColor="accent6" w:themeTint="BF"/>
      </w:tblBorders>
    </w:tblPr>
    <w:tblStylePr w:type="firstRow">
      <w:pPr>
        <w:spacing w:before="0" w:after="0" w:line="240" w:lineRule="auto"/>
      </w:pPr>
      <w:rPr>
        <w:b/>
        <w:bCs/>
        <w:color w:val="FFFFFF" w:themeColor="background1"/>
      </w:rPr>
      <w:tblPr/>
      <w:tcPr>
        <w:tcBorders>
          <w:top w:val="single" w:sz="8"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nil"/>
          <w:insideV w:val="nil"/>
        </w:tcBorders>
        <w:shd w:val="clear" w:color="auto" w:fill="404143" w:themeFill="accent6"/>
      </w:tcPr>
    </w:tblStylePr>
    <w:tblStylePr w:type="lastRow">
      <w:pPr>
        <w:spacing w:before="0" w:after="0" w:line="240" w:lineRule="auto"/>
      </w:pPr>
      <w:rPr>
        <w:b/>
        <w:bCs/>
      </w:rPr>
      <w:tblPr/>
      <w:tcPr>
        <w:tcBorders>
          <w:top w:val="double" w:sz="6" w:space="0" w:color="6E7073" w:themeColor="accent6" w:themeTint="BF"/>
          <w:left w:val="single" w:sz="8" w:space="0" w:color="6E7073" w:themeColor="accent6" w:themeTint="BF"/>
          <w:bottom w:val="single" w:sz="8" w:space="0" w:color="6E7073" w:themeColor="accent6" w:themeTint="BF"/>
          <w:right w:val="single" w:sz="8" w:space="0" w:color="6E7073"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CFD1" w:themeFill="accent6" w:themeFillTint="3F"/>
      </w:tcPr>
    </w:tblStylePr>
    <w:tblStylePr w:type="band1Horz">
      <w:tblPr/>
      <w:tcPr>
        <w:tcBorders>
          <w:insideH w:val="nil"/>
          <w:insideV w:val="nil"/>
        </w:tcBorders>
        <w:shd w:val="clear" w:color="auto" w:fill="CFCF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14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143" w:themeFill="text1"/>
      </w:tcPr>
    </w:tblStylePr>
    <w:tblStylePr w:type="lastCol">
      <w:rPr>
        <w:b/>
        <w:bCs/>
        <w:color w:val="FFFFFF" w:themeColor="background1"/>
      </w:rPr>
      <w:tblPr/>
      <w:tcPr>
        <w:tcBorders>
          <w:left w:val="nil"/>
          <w:right w:val="nil"/>
          <w:insideH w:val="nil"/>
          <w:insideV w:val="nil"/>
        </w:tcBorders>
        <w:shd w:val="clear" w:color="auto" w:fill="40414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193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1930" w:themeFill="accent1"/>
      </w:tcPr>
    </w:tblStylePr>
    <w:tblStylePr w:type="lastCol">
      <w:rPr>
        <w:b/>
        <w:bCs/>
        <w:color w:val="FFFFFF" w:themeColor="background1"/>
      </w:rPr>
      <w:tblPr/>
      <w:tcPr>
        <w:tcBorders>
          <w:left w:val="nil"/>
          <w:right w:val="nil"/>
          <w:insideH w:val="nil"/>
          <w:insideV w:val="nil"/>
        </w:tcBorders>
        <w:shd w:val="clear" w:color="auto" w:fill="A7193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B7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B700" w:themeFill="accent2"/>
      </w:tcPr>
    </w:tblStylePr>
    <w:tblStylePr w:type="lastCol">
      <w:rPr>
        <w:b/>
        <w:bCs/>
        <w:color w:val="FFFFFF" w:themeColor="background1"/>
      </w:rPr>
      <w:tblPr/>
      <w:tcPr>
        <w:tcBorders>
          <w:left w:val="nil"/>
          <w:right w:val="nil"/>
          <w:insideH w:val="nil"/>
          <w:insideV w:val="nil"/>
        </w:tcBorders>
        <w:shd w:val="clear" w:color="auto" w:fill="EBB7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3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773B6" w:themeFill="accent3"/>
      </w:tcPr>
    </w:tblStylePr>
    <w:tblStylePr w:type="lastCol">
      <w:rPr>
        <w:b/>
        <w:bCs/>
        <w:color w:val="FFFFFF" w:themeColor="background1"/>
      </w:rPr>
      <w:tblPr/>
      <w:tcPr>
        <w:tcBorders>
          <w:left w:val="nil"/>
          <w:right w:val="nil"/>
          <w:insideH w:val="nil"/>
          <w:insideV w:val="nil"/>
        </w:tcBorders>
        <w:shd w:val="clear" w:color="auto" w:fill="6773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AD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2AD00" w:themeFill="accent4"/>
      </w:tcPr>
    </w:tblStylePr>
    <w:tblStylePr w:type="lastCol">
      <w:rPr>
        <w:b/>
        <w:bCs/>
        <w:color w:val="FFFFFF" w:themeColor="background1"/>
      </w:rPr>
      <w:tblPr/>
      <w:tcPr>
        <w:tcBorders>
          <w:left w:val="nil"/>
          <w:right w:val="nil"/>
          <w:insideH w:val="nil"/>
          <w:insideV w:val="nil"/>
        </w:tcBorders>
        <w:shd w:val="clear" w:color="auto" w:fill="A2AD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8D8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B8D8E" w:themeFill="accent5"/>
      </w:tcPr>
    </w:tblStylePr>
    <w:tblStylePr w:type="lastCol">
      <w:rPr>
        <w:b/>
        <w:bCs/>
        <w:color w:val="FFFFFF" w:themeColor="background1"/>
      </w:rPr>
      <w:tblPr/>
      <w:tcPr>
        <w:tcBorders>
          <w:left w:val="nil"/>
          <w:right w:val="nil"/>
          <w:insideH w:val="nil"/>
          <w:insideV w:val="nil"/>
        </w:tcBorders>
        <w:shd w:val="clear" w:color="auto" w:fill="8B8D8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012E"/>
    <w:rPr>
      <w:rFonts w:asciiTheme="minorHAnsi"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14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143" w:themeFill="accent6"/>
      </w:tcPr>
    </w:tblStylePr>
    <w:tblStylePr w:type="lastCol">
      <w:rPr>
        <w:b/>
        <w:bCs/>
        <w:color w:val="FFFFFF" w:themeColor="background1"/>
      </w:rPr>
      <w:tblPr/>
      <w:tcPr>
        <w:tcBorders>
          <w:left w:val="nil"/>
          <w:right w:val="nil"/>
          <w:insideH w:val="nil"/>
          <w:insideV w:val="nil"/>
        </w:tcBorders>
        <w:shd w:val="clear" w:color="auto" w:fill="40414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rsid w:val="00F3012E"/>
    <w:rPr>
      <w:rFonts w:asciiTheme="minorHAnsi" w:hAnsiTheme="minorHAnsi" w:cstheme="minorBidi"/>
      <w:sz w:val="22"/>
      <w:szCs w:val="22"/>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012E"/>
    <w:rPr>
      <w:rFonts w:asciiTheme="minorHAnsi" w:hAnsiTheme="minorHAnsi" w:cstheme="minorBidi"/>
      <w:sz w:val="22"/>
      <w:szCs w:val="22"/>
      <w:lang w:eastAsia="zh-CN"/>
    </w:rPr>
    <w:tblPr>
      <w:tblStyleRowBandSize w:val="1"/>
      <w:tblStyleColBandSize w:val="1"/>
      <w:tblBorders>
        <w:top w:val="single" w:sz="4" w:space="0" w:color="9D9FA2" w:themeColor="text1" w:themeTint="80"/>
        <w:bottom w:val="single" w:sz="4" w:space="0" w:color="9D9FA2" w:themeColor="text1" w:themeTint="80"/>
      </w:tblBorders>
    </w:tblPr>
    <w:tblStylePr w:type="firstRow">
      <w:rPr>
        <w:b/>
        <w:bCs/>
      </w:rPr>
      <w:tblPr/>
      <w:tcPr>
        <w:tcBorders>
          <w:bottom w:val="single" w:sz="4" w:space="0" w:color="9D9FA2" w:themeColor="text1" w:themeTint="80"/>
        </w:tcBorders>
      </w:tcPr>
    </w:tblStylePr>
    <w:tblStylePr w:type="lastRow">
      <w:rPr>
        <w:b/>
        <w:bCs/>
      </w:rPr>
      <w:tblPr/>
      <w:tcPr>
        <w:tcBorders>
          <w:top w:val="single" w:sz="4" w:space="0" w:color="9D9FA2" w:themeColor="text1" w:themeTint="80"/>
        </w:tcBorders>
      </w:tcPr>
    </w:tblStylePr>
    <w:tblStylePr w:type="firstCol">
      <w:rPr>
        <w:b/>
        <w:bCs/>
      </w:rPr>
    </w:tblStylePr>
    <w:tblStylePr w:type="lastCol">
      <w:rPr>
        <w:b/>
        <w:bCs/>
      </w:rPr>
    </w:tblStylePr>
    <w:tblStylePr w:type="band1Vert">
      <w:tblPr/>
      <w:tcPr>
        <w:tcBorders>
          <w:left w:val="single" w:sz="4" w:space="0" w:color="9D9FA2" w:themeColor="text1" w:themeTint="80"/>
          <w:right w:val="single" w:sz="4" w:space="0" w:color="9D9FA2" w:themeColor="text1" w:themeTint="80"/>
        </w:tcBorders>
      </w:tcPr>
    </w:tblStylePr>
    <w:tblStylePr w:type="band2Vert">
      <w:tblPr/>
      <w:tcPr>
        <w:tcBorders>
          <w:left w:val="single" w:sz="4" w:space="0" w:color="9D9FA2" w:themeColor="text1" w:themeTint="80"/>
          <w:right w:val="single" w:sz="4" w:space="0" w:color="9D9FA2" w:themeColor="text1" w:themeTint="80"/>
        </w:tcBorders>
      </w:tcPr>
    </w:tblStylePr>
    <w:tblStylePr w:type="band1Horz">
      <w:tblPr/>
      <w:tcPr>
        <w:tcBorders>
          <w:top w:val="single" w:sz="4" w:space="0" w:color="9D9FA2" w:themeColor="text1" w:themeTint="80"/>
          <w:bottom w:val="single" w:sz="4" w:space="0" w:color="9D9FA2" w:themeColor="text1" w:themeTint="80"/>
        </w:tcBorders>
      </w:tcPr>
    </w:tblStylePr>
  </w:style>
  <w:style w:type="table" w:styleId="PlainTable3">
    <w:name w:val="Plain Table 3"/>
    <w:basedOn w:val="TableNormal"/>
    <w:uiPriority w:val="43"/>
    <w:rsid w:val="00F3012E"/>
    <w:rPr>
      <w:rFonts w:asciiTheme="minorHAnsi" w:hAnsiTheme="minorHAnsi" w:cstheme="minorBidi"/>
      <w:sz w:val="22"/>
      <w:szCs w:val="22"/>
      <w:lang w:eastAsia="zh-CN"/>
    </w:rPr>
    <w:tblPr>
      <w:tblStyleRowBandSize w:val="1"/>
      <w:tblStyleColBandSize w:val="1"/>
    </w:tblPr>
    <w:tblStylePr w:type="firstRow">
      <w:rPr>
        <w:b/>
        <w:bCs/>
        <w:caps/>
      </w:rPr>
      <w:tblPr/>
      <w:tcPr>
        <w:tcBorders>
          <w:bottom w:val="single" w:sz="4" w:space="0" w:color="9D9FA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FA2"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012E"/>
    <w:rPr>
      <w:rFonts w:asciiTheme="minorHAnsi"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012E"/>
    <w:rPr>
      <w:rFonts w:asciiTheme="minorHAnsi" w:hAnsiTheme="minorHAnsi" w:cstheme="minorBidi"/>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FA2"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FA2"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FA2"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FA2"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3012E"/>
    <w:rPr>
      <w:rFonts w:asciiTheme="minorHAnsi" w:hAnsiTheme="minorHAnsi" w:cstheme="minorBidi"/>
      <w:sz w:val="22"/>
      <w:szCs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MPlaceholder">
    <w:name w:val="BM Placeholder"/>
    <w:basedOn w:val="TableNormal"/>
    <w:uiPriority w:val="99"/>
    <w:rsid w:val="00F3012E"/>
    <w:rPr>
      <w:sz w:val="22"/>
      <w:lang w:eastAsia="zh-CN"/>
    </w:rPr>
    <w:tblPr>
      <w:tblCellMar>
        <w:left w:w="0" w:type="dxa"/>
        <w:right w:w="0" w:type="dxa"/>
      </w:tblCellMar>
    </w:tblPr>
  </w:style>
  <w:style w:type="character" w:customStyle="1" w:styleId="HighlightBlack">
    <w:name w:val="Highlight Black"/>
    <w:basedOn w:val="DefaultParagraphFont"/>
    <w:uiPriority w:val="1"/>
    <w:semiHidden/>
    <w:rsid w:val="00F3012E"/>
    <w:rPr>
      <w:color w:val="404143" w:themeColor="text1"/>
      <w:lang w:val="en-US"/>
    </w:rPr>
  </w:style>
  <w:style w:type="character" w:customStyle="1" w:styleId="HighlightGrey">
    <w:name w:val="Highlight Grey"/>
    <w:basedOn w:val="DefaultParagraphFont"/>
    <w:uiPriority w:val="1"/>
    <w:semiHidden/>
    <w:rsid w:val="00F3012E"/>
    <w:rPr>
      <w:color w:val="5F635F"/>
      <w:lang w:val="en-US"/>
    </w:rPr>
  </w:style>
  <w:style w:type="paragraph" w:customStyle="1" w:styleId="OfficeList-City">
    <w:name w:val="Office List - City"/>
    <w:semiHidden/>
    <w:rsid w:val="00F3012E"/>
    <w:pPr>
      <w:spacing w:before="10"/>
    </w:pPr>
    <w:rPr>
      <w:rFonts w:ascii="Arial" w:hAnsi="Arial"/>
      <w:noProof/>
      <w:spacing w:val="2"/>
      <w:sz w:val="11"/>
      <w:szCs w:val="11"/>
      <w:lang w:eastAsia="en-US"/>
    </w:rPr>
  </w:style>
  <w:style w:type="paragraph" w:customStyle="1" w:styleId="OfficeList-Region">
    <w:name w:val="Office List - Region"/>
    <w:basedOn w:val="OfficeList-City"/>
    <w:next w:val="OfficeList-City"/>
    <w:semiHidden/>
    <w:rsid w:val="00F3012E"/>
    <w:pPr>
      <w:spacing w:line="192" w:lineRule="auto"/>
    </w:pPr>
    <w:rPr>
      <w:rFonts w:ascii="Arial Black" w:hAnsi="Arial Black"/>
      <w:szCs w:val="24"/>
    </w:rPr>
  </w:style>
  <w:style w:type="paragraph" w:customStyle="1" w:styleId="OfficeList-Space">
    <w:name w:val="Office List - Space"/>
    <w:basedOn w:val="OfficeList-City"/>
    <w:semiHidden/>
    <w:rsid w:val="00F3012E"/>
    <w:pPr>
      <w:widowControl w:val="0"/>
      <w:spacing w:before="0"/>
    </w:pPr>
    <w:rPr>
      <w:spacing w:val="0"/>
      <w:sz w:val="8"/>
    </w:rPr>
  </w:style>
  <w:style w:type="paragraph" w:customStyle="1" w:styleId="OfficeMultipleListAddress">
    <w:name w:val="Office Multiple List Address"/>
    <w:basedOn w:val="Normal"/>
    <w:uiPriority w:val="11"/>
    <w:semiHidden/>
    <w:rsid w:val="00F3012E"/>
    <w:pPr>
      <w:spacing w:before="10"/>
    </w:pPr>
    <w:rPr>
      <w:rFonts w:ascii="Arial" w:eastAsiaTheme="minorEastAsia" w:hAnsi="Arial" w:cstheme="minorBidi"/>
      <w:bCs/>
      <w:spacing w:val="2"/>
      <w:sz w:val="11"/>
      <w:szCs w:val="28"/>
      <w:lang w:val="en-GB" w:eastAsia="zh-CN"/>
    </w:rPr>
  </w:style>
  <w:style w:type="paragraph" w:customStyle="1" w:styleId="OfficeMultipleListHeading">
    <w:name w:val="Office Multiple List Heading"/>
    <w:basedOn w:val="Normal"/>
    <w:next w:val="Normal"/>
    <w:uiPriority w:val="11"/>
    <w:semiHidden/>
    <w:rsid w:val="00F3012E"/>
    <w:rPr>
      <w:rFonts w:ascii="Arial Black" w:eastAsiaTheme="minorEastAsia" w:hAnsi="Arial Black" w:cstheme="minorBidi"/>
      <w:bCs/>
      <w:spacing w:val="2"/>
      <w:sz w:val="11"/>
      <w:szCs w:val="28"/>
      <w:lang w:val="en-GB" w:eastAsia="zh-CN"/>
    </w:rPr>
  </w:style>
  <w:style w:type="character" w:customStyle="1" w:styleId="Quotation">
    <w:name w:val="Quotation"/>
    <w:basedOn w:val="DefaultParagraphFont"/>
    <w:uiPriority w:val="1"/>
    <w:rsid w:val="00F3012E"/>
    <w:rPr>
      <w:i/>
      <w:caps w:val="0"/>
      <w:smallCaps w:val="0"/>
      <w:strike w:val="0"/>
      <w:dstrike w:val="0"/>
      <w:vanish w:val="0"/>
      <w:vertAlign w:val="baseline"/>
    </w:rPr>
  </w:style>
  <w:style w:type="paragraph" w:customStyle="1" w:styleId="CoverDate">
    <w:name w:val="Cover Date"/>
    <w:basedOn w:val="Normal"/>
    <w:next w:val="Normal"/>
    <w:semiHidden/>
    <w:rsid w:val="00F3012E"/>
    <w:pPr>
      <w:spacing w:before="240" w:line="480" w:lineRule="auto"/>
    </w:pPr>
    <w:rPr>
      <w:bCs/>
      <w:color w:val="6773B6" w:themeColor="accent3"/>
      <w:szCs w:val="22"/>
      <w:lang w:val="en-GB" w:eastAsia="zh-CN"/>
    </w:rPr>
  </w:style>
  <w:style w:type="paragraph" w:customStyle="1" w:styleId="TitleHeading">
    <w:name w:val="Title Heading"/>
    <w:basedOn w:val="Normal"/>
    <w:semiHidden/>
    <w:rsid w:val="00F3012E"/>
    <w:pPr>
      <w:pBdr>
        <w:top w:val="single" w:sz="8" w:space="12" w:color="auto"/>
        <w:bottom w:val="single" w:sz="8" w:space="12" w:color="auto"/>
      </w:pBdr>
      <w:spacing w:line="260" w:lineRule="atLeast"/>
      <w:ind w:left="1152" w:right="1152"/>
      <w:jc w:val="center"/>
    </w:pPr>
    <w:rPr>
      <w:rFonts w:cs="Arial"/>
      <w:b/>
      <w:caps/>
      <w:szCs w:val="22"/>
      <w:lang w:val="en-GB" w:eastAsia="zh-CN"/>
    </w:rPr>
  </w:style>
  <w:style w:type="paragraph" w:customStyle="1" w:styleId="FooterAddress">
    <w:name w:val="FooterAddress"/>
    <w:basedOn w:val="Normal"/>
    <w:semiHidden/>
    <w:rsid w:val="00F3012E"/>
    <w:pPr>
      <w:tabs>
        <w:tab w:val="left" w:pos="1430"/>
      </w:tabs>
      <w:jc w:val="right"/>
    </w:pPr>
    <w:rPr>
      <w:bCs/>
      <w:sz w:val="14"/>
      <w:szCs w:val="20"/>
      <w:lang w:val="en-GB" w:eastAsia="zh-CN"/>
    </w:rPr>
  </w:style>
  <w:style w:type="paragraph" w:customStyle="1" w:styleId="NormalAtt">
    <w:name w:val="Normal Att"/>
    <w:basedOn w:val="Normal"/>
    <w:semiHidden/>
    <w:rsid w:val="00F3012E"/>
    <w:pPr>
      <w:keepNext/>
      <w:jc w:val="both"/>
    </w:pPr>
    <w:rPr>
      <w:bCs/>
      <w:szCs w:val="22"/>
      <w:lang w:val="en-GB" w:eastAsia="zh-CN"/>
    </w:rPr>
  </w:style>
  <w:style w:type="paragraph" w:customStyle="1" w:styleId="FooterCompany">
    <w:name w:val="FooterCompany"/>
    <w:basedOn w:val="Normal"/>
    <w:semiHidden/>
    <w:rsid w:val="00F3012E"/>
    <w:pPr>
      <w:tabs>
        <w:tab w:val="left" w:pos="1430"/>
      </w:tabs>
      <w:jc w:val="right"/>
    </w:pPr>
    <w:rPr>
      <w:b/>
      <w:szCs w:val="22"/>
      <w:lang w:val="en-GB" w:eastAsia="zh-CN"/>
    </w:rPr>
  </w:style>
  <w:style w:type="paragraph" w:customStyle="1" w:styleId="FooterExecution">
    <w:name w:val="FooterExecution"/>
    <w:basedOn w:val="Normal"/>
    <w:semiHidden/>
    <w:rsid w:val="00F3012E"/>
    <w:pPr>
      <w:tabs>
        <w:tab w:val="left" w:pos="1430"/>
      </w:tabs>
      <w:jc w:val="right"/>
    </w:pPr>
    <w:rPr>
      <w:b/>
      <w:i/>
      <w:iCs/>
      <w:sz w:val="20"/>
      <w:szCs w:val="22"/>
      <w:lang w:val="en-GB" w:eastAsia="zh-CN"/>
    </w:rPr>
  </w:style>
  <w:style w:type="paragraph" w:customStyle="1" w:styleId="FooterRef">
    <w:name w:val="FooterRef"/>
    <w:basedOn w:val="Normal"/>
    <w:semiHidden/>
    <w:rsid w:val="00F3012E"/>
    <w:pPr>
      <w:tabs>
        <w:tab w:val="left" w:pos="1430"/>
      </w:tabs>
      <w:spacing w:line="240" w:lineRule="atLeast"/>
      <w:jc w:val="right"/>
    </w:pPr>
    <w:rPr>
      <w:bCs/>
      <w:sz w:val="14"/>
      <w:szCs w:val="20"/>
      <w:lang w:val="en-GB" w:eastAsia="zh-CN"/>
    </w:rPr>
  </w:style>
  <w:style w:type="paragraph" w:customStyle="1" w:styleId="TitleTopLine">
    <w:name w:val="TitleTopLine"/>
    <w:basedOn w:val="Normal"/>
    <w:semiHidden/>
    <w:rsid w:val="00F3012E"/>
    <w:pPr>
      <w:keepNext/>
      <w:keepLines/>
      <w:pBdr>
        <w:bottom w:val="single" w:sz="4" w:space="1" w:color="auto"/>
      </w:pBdr>
      <w:spacing w:after="220" w:line="260" w:lineRule="atLeast"/>
      <w:jc w:val="both"/>
    </w:pPr>
    <w:rPr>
      <w:bCs/>
      <w:szCs w:val="22"/>
      <w:lang w:val="en-GB" w:eastAsia="zh-CN"/>
    </w:rPr>
  </w:style>
  <w:style w:type="paragraph" w:customStyle="1" w:styleId="Executed">
    <w:name w:val="Executed"/>
    <w:basedOn w:val="Normal"/>
    <w:semiHidden/>
    <w:rsid w:val="00F3012E"/>
    <w:pPr>
      <w:spacing w:before="180" w:after="400" w:line="260" w:lineRule="atLeast"/>
      <w:jc w:val="both"/>
    </w:pPr>
    <w:rPr>
      <w:szCs w:val="22"/>
      <w:lang w:val="en-GB" w:eastAsia="zh-CN"/>
    </w:rPr>
  </w:style>
  <w:style w:type="paragraph" w:customStyle="1" w:styleId="FooterTitle">
    <w:name w:val="FooterTitle"/>
    <w:basedOn w:val="Footer"/>
    <w:semiHidden/>
    <w:rsid w:val="00F3012E"/>
    <w:pPr>
      <w:jc w:val="right"/>
    </w:pPr>
    <w:rPr>
      <w:rFonts w:asciiTheme="majorHAnsi" w:eastAsia="Times New Roman" w:hAnsiTheme="majorHAnsi" w:cs="Arial"/>
      <w:szCs w:val="22"/>
      <w:lang w:eastAsia="zh-CN"/>
    </w:rPr>
  </w:style>
  <w:style w:type="paragraph" w:customStyle="1" w:styleId="FooterExecution2">
    <w:name w:val="FooterExecution2"/>
    <w:basedOn w:val="Footer"/>
    <w:semiHidden/>
    <w:rsid w:val="00F3012E"/>
    <w:pPr>
      <w:jc w:val="both"/>
    </w:pPr>
    <w:rPr>
      <w:rFonts w:asciiTheme="minorHAnsi" w:eastAsia="Times New Roman" w:hAnsiTheme="minorHAnsi" w:cs="Arial"/>
      <w:bCs/>
      <w:szCs w:val="22"/>
      <w:lang w:eastAsia="zh-CN"/>
    </w:rPr>
  </w:style>
  <w:style w:type="paragraph" w:customStyle="1" w:styleId="TitleDescription">
    <w:name w:val="Title Description"/>
    <w:basedOn w:val="Normal"/>
    <w:uiPriority w:val="8"/>
    <w:semiHidden/>
    <w:qFormat/>
    <w:rsid w:val="00F3012E"/>
    <w:pPr>
      <w:pBdr>
        <w:bottom w:val="single" w:sz="8" w:space="12" w:color="auto"/>
      </w:pBdr>
      <w:ind w:left="1152" w:right="1152"/>
      <w:jc w:val="center"/>
    </w:pPr>
    <w:rPr>
      <w:b/>
      <w:bCs/>
      <w:szCs w:val="22"/>
      <w:lang w:val="en-GB" w:eastAsia="zh-CN"/>
    </w:rPr>
  </w:style>
  <w:style w:type="paragraph" w:customStyle="1" w:styleId="URL">
    <w:name w:val="URL"/>
    <w:basedOn w:val="Normal"/>
    <w:link w:val="URLChar"/>
    <w:semiHidden/>
    <w:rsid w:val="00F3012E"/>
    <w:pPr>
      <w:spacing w:before="360" w:after="360" w:line="240" w:lineRule="atLeast"/>
      <w:jc w:val="both"/>
    </w:pPr>
    <w:rPr>
      <w:rFonts w:ascii="Arial" w:hAnsi="Arial"/>
      <w:bCs/>
      <w:color w:val="5F5F5F"/>
      <w:sz w:val="28"/>
      <w:szCs w:val="20"/>
      <w:lang w:val="en-GB" w:eastAsia="zh-CN"/>
    </w:rPr>
  </w:style>
  <w:style w:type="character" w:customStyle="1" w:styleId="URLChar">
    <w:name w:val="URL Char"/>
    <w:basedOn w:val="DefaultParagraphFont"/>
    <w:link w:val="URL"/>
    <w:semiHidden/>
    <w:rsid w:val="00F3012E"/>
    <w:rPr>
      <w:rFonts w:ascii="Arial" w:hAnsi="Arial"/>
      <w:bCs/>
      <w:color w:val="5F5F5F"/>
      <w:sz w:val="28"/>
      <w:lang w:val="en-GB" w:eastAsia="zh-CN"/>
    </w:rPr>
  </w:style>
  <w:style w:type="paragraph" w:customStyle="1" w:styleId="Boilerplate3">
    <w:name w:val="Boilerplate 3"/>
    <w:basedOn w:val="Normal"/>
    <w:uiPriority w:val="4"/>
    <w:semiHidden/>
    <w:qFormat/>
    <w:rsid w:val="00F3012E"/>
    <w:pPr>
      <w:jc w:val="both"/>
    </w:pPr>
    <w:rPr>
      <w:bCs/>
      <w:color w:val="5F5F5F"/>
      <w:sz w:val="16"/>
      <w:szCs w:val="22"/>
      <w:lang w:val="en-GB" w:eastAsia="zh-CN"/>
    </w:rPr>
  </w:style>
  <w:style w:type="paragraph" w:customStyle="1" w:styleId="ExecutionSignoff">
    <w:name w:val="Execution Signoff"/>
    <w:basedOn w:val="Normal"/>
    <w:semiHidden/>
    <w:rsid w:val="00F3012E"/>
    <w:pPr>
      <w:spacing w:before="120" w:after="120"/>
    </w:pPr>
    <w:rPr>
      <w:rFonts w:eastAsia="Times New Roman"/>
      <w:bCs/>
      <w:szCs w:val="28"/>
      <w:lang w:val="en-GB" w:eastAsia="zh-CN"/>
    </w:rPr>
  </w:style>
  <w:style w:type="paragraph" w:customStyle="1" w:styleId="FooterExecution20">
    <w:name w:val="Footer Execution 2"/>
    <w:basedOn w:val="Footer"/>
    <w:semiHidden/>
    <w:rsid w:val="00F3012E"/>
    <w:rPr>
      <w:rFonts w:asciiTheme="majorHAnsi" w:eastAsia="Times New Roman" w:hAnsiTheme="majorHAnsi"/>
      <w:szCs w:val="20"/>
      <w:lang w:eastAsia="zh-CN"/>
    </w:rPr>
  </w:style>
  <w:style w:type="paragraph" w:customStyle="1" w:styleId="Section">
    <w:name w:val="Section"/>
    <w:basedOn w:val="Normal"/>
    <w:next w:val="BodyText"/>
    <w:link w:val="SectionChar"/>
    <w:uiPriority w:val="7"/>
    <w:rsid w:val="00F3012E"/>
    <w:pPr>
      <w:keepNext/>
      <w:numPr>
        <w:numId w:val="45"/>
      </w:numPr>
    </w:pPr>
    <w:rPr>
      <w:rFonts w:eastAsia="Times New Roman"/>
      <w:b/>
      <w:bCs/>
      <w:szCs w:val="28"/>
      <w:lang w:val="en-GB" w:eastAsia="zh-CN"/>
    </w:rPr>
  </w:style>
  <w:style w:type="paragraph" w:customStyle="1" w:styleId="TOCSubHeading">
    <w:name w:val="TOCSubHeading"/>
    <w:basedOn w:val="Normal"/>
    <w:semiHidden/>
    <w:rsid w:val="00F3012E"/>
    <w:rPr>
      <w:rFonts w:eastAsia="Times New Roman"/>
      <w:b/>
      <w:bCs/>
      <w:szCs w:val="28"/>
      <w:lang w:val="en-GB" w:eastAsia="zh-CN"/>
    </w:rPr>
  </w:style>
  <w:style w:type="paragraph" w:customStyle="1" w:styleId="AgreementTitle">
    <w:name w:val="Agreement Title"/>
    <w:basedOn w:val="Normal"/>
    <w:next w:val="BodyText"/>
    <w:uiPriority w:val="9"/>
    <w:semiHidden/>
    <w:qFormat/>
    <w:rsid w:val="00F3012E"/>
    <w:pPr>
      <w:jc w:val="both"/>
    </w:pPr>
    <w:rPr>
      <w:b/>
      <w:bCs/>
      <w:szCs w:val="22"/>
      <w:lang w:val="en-GB" w:eastAsia="zh-CN"/>
    </w:rPr>
  </w:style>
  <w:style w:type="paragraph" w:customStyle="1" w:styleId="Annexure1">
    <w:name w:val="Annexure 1"/>
    <w:basedOn w:val="Normal"/>
    <w:next w:val="Annexure3"/>
    <w:link w:val="Annexure1Char"/>
    <w:uiPriority w:val="9"/>
    <w:qFormat/>
    <w:rsid w:val="00F3012E"/>
    <w:pPr>
      <w:keepNext/>
      <w:pageBreakBefore/>
      <w:numPr>
        <w:numId w:val="49"/>
      </w:numPr>
      <w:jc w:val="both"/>
      <w:outlineLvl w:val="0"/>
    </w:pPr>
    <w:rPr>
      <w:rFonts w:asciiTheme="minorHAnsi" w:eastAsiaTheme="minorEastAsia"/>
      <w:b/>
      <w:szCs w:val="22"/>
      <w:lang w:val="en-GB" w:eastAsia="zh-CN"/>
    </w:rPr>
  </w:style>
  <w:style w:type="paragraph" w:customStyle="1" w:styleId="Annexure2">
    <w:name w:val="Annexure 2"/>
    <w:basedOn w:val="Normal"/>
    <w:next w:val="Annexure3"/>
    <w:link w:val="Annexure2Char"/>
    <w:uiPriority w:val="9"/>
    <w:semiHidden/>
    <w:qFormat/>
    <w:rsid w:val="00F3012E"/>
    <w:pPr>
      <w:keepNext/>
      <w:numPr>
        <w:ilvl w:val="1"/>
        <w:numId w:val="49"/>
      </w:numPr>
      <w:jc w:val="both"/>
      <w:outlineLvl w:val="1"/>
    </w:pPr>
    <w:rPr>
      <w:rFonts w:asciiTheme="minorHAnsi" w:eastAsiaTheme="minorEastAsia"/>
      <w:b/>
      <w:szCs w:val="22"/>
      <w:lang w:val="en-GB" w:eastAsia="zh-CN"/>
    </w:rPr>
  </w:style>
  <w:style w:type="paragraph" w:customStyle="1" w:styleId="Annexure3">
    <w:name w:val="Annexure 3"/>
    <w:basedOn w:val="Normal"/>
    <w:next w:val="BodyText2"/>
    <w:link w:val="Annexure3Char"/>
    <w:uiPriority w:val="9"/>
    <w:semiHidden/>
    <w:qFormat/>
    <w:rsid w:val="00F3012E"/>
    <w:pPr>
      <w:numPr>
        <w:ilvl w:val="2"/>
        <w:numId w:val="49"/>
      </w:numPr>
      <w:jc w:val="both"/>
      <w:outlineLvl w:val="2"/>
    </w:pPr>
    <w:rPr>
      <w:rFonts w:asciiTheme="minorHAnsi" w:eastAsiaTheme="minorEastAsia"/>
      <w:b/>
      <w:szCs w:val="22"/>
      <w:lang w:val="en-GB" w:eastAsia="zh-CN"/>
    </w:rPr>
  </w:style>
  <w:style w:type="paragraph" w:customStyle="1" w:styleId="Annexure4">
    <w:name w:val="Annexure 4"/>
    <w:basedOn w:val="Normal"/>
    <w:link w:val="Annexure4Char"/>
    <w:uiPriority w:val="98"/>
    <w:semiHidden/>
    <w:rsid w:val="00F3012E"/>
    <w:pPr>
      <w:numPr>
        <w:ilvl w:val="3"/>
        <w:numId w:val="49"/>
      </w:numPr>
      <w:jc w:val="both"/>
      <w:outlineLvl w:val="3"/>
    </w:pPr>
    <w:rPr>
      <w:rFonts w:asciiTheme="minorHAnsi" w:eastAsiaTheme="minorEastAsia"/>
      <w:b/>
      <w:szCs w:val="22"/>
      <w:lang w:val="en-GB" w:eastAsia="zh-CN"/>
    </w:rPr>
  </w:style>
  <w:style w:type="paragraph" w:customStyle="1" w:styleId="Annexure5">
    <w:name w:val="Annexure 5"/>
    <w:basedOn w:val="Normal"/>
    <w:link w:val="Annexure5Char"/>
    <w:uiPriority w:val="98"/>
    <w:semiHidden/>
    <w:rsid w:val="00F3012E"/>
    <w:pPr>
      <w:numPr>
        <w:ilvl w:val="4"/>
        <w:numId w:val="49"/>
      </w:numPr>
      <w:jc w:val="both"/>
      <w:outlineLvl w:val="4"/>
    </w:pPr>
    <w:rPr>
      <w:rFonts w:asciiTheme="minorHAnsi" w:eastAsiaTheme="minorEastAsia"/>
      <w:szCs w:val="22"/>
      <w:lang w:val="en-GB" w:eastAsia="zh-CN"/>
    </w:rPr>
  </w:style>
  <w:style w:type="paragraph" w:customStyle="1" w:styleId="Annexure6">
    <w:name w:val="Annexure 6"/>
    <w:basedOn w:val="Normal"/>
    <w:link w:val="Annexure6Char"/>
    <w:uiPriority w:val="98"/>
    <w:semiHidden/>
    <w:rsid w:val="00F3012E"/>
    <w:pPr>
      <w:numPr>
        <w:ilvl w:val="5"/>
        <w:numId w:val="49"/>
      </w:numPr>
      <w:jc w:val="both"/>
      <w:outlineLvl w:val="5"/>
    </w:pPr>
    <w:rPr>
      <w:rFonts w:asciiTheme="minorHAnsi" w:eastAsiaTheme="minorEastAsia"/>
      <w:szCs w:val="22"/>
      <w:lang w:val="en-GB" w:eastAsia="zh-CN"/>
    </w:rPr>
  </w:style>
  <w:style w:type="paragraph" w:customStyle="1" w:styleId="Annexure7">
    <w:name w:val="Annexure 7"/>
    <w:basedOn w:val="Normal"/>
    <w:link w:val="Annexure7Char"/>
    <w:uiPriority w:val="98"/>
    <w:semiHidden/>
    <w:rsid w:val="00F3012E"/>
    <w:pPr>
      <w:numPr>
        <w:ilvl w:val="6"/>
        <w:numId w:val="49"/>
      </w:numPr>
      <w:jc w:val="both"/>
      <w:outlineLvl w:val="6"/>
    </w:pPr>
    <w:rPr>
      <w:rFonts w:asciiTheme="minorHAnsi" w:eastAsiaTheme="minorEastAsia"/>
      <w:szCs w:val="22"/>
      <w:lang w:val="en-GB" w:eastAsia="zh-CN"/>
    </w:rPr>
  </w:style>
  <w:style w:type="paragraph" w:customStyle="1" w:styleId="Annexure8">
    <w:name w:val="Annexure 8"/>
    <w:basedOn w:val="Normal"/>
    <w:link w:val="Annexure8Char"/>
    <w:uiPriority w:val="98"/>
    <w:semiHidden/>
    <w:rsid w:val="00F3012E"/>
    <w:pPr>
      <w:numPr>
        <w:ilvl w:val="7"/>
        <w:numId w:val="49"/>
      </w:numPr>
      <w:jc w:val="both"/>
      <w:outlineLvl w:val="7"/>
    </w:pPr>
    <w:rPr>
      <w:rFonts w:asciiTheme="minorHAnsi" w:eastAsiaTheme="minorEastAsia"/>
      <w:szCs w:val="22"/>
      <w:lang w:val="en-GB" w:eastAsia="zh-CN"/>
    </w:rPr>
  </w:style>
  <w:style w:type="paragraph" w:customStyle="1" w:styleId="Annexure9">
    <w:name w:val="Annexure 9"/>
    <w:basedOn w:val="Normal"/>
    <w:link w:val="Annexure9Char"/>
    <w:uiPriority w:val="98"/>
    <w:semiHidden/>
    <w:rsid w:val="00F3012E"/>
    <w:pPr>
      <w:numPr>
        <w:ilvl w:val="8"/>
        <w:numId w:val="49"/>
      </w:numPr>
      <w:jc w:val="both"/>
      <w:outlineLvl w:val="8"/>
    </w:pPr>
    <w:rPr>
      <w:rFonts w:asciiTheme="minorHAnsi" w:eastAsiaTheme="minorEastAsia"/>
      <w:szCs w:val="22"/>
      <w:lang w:val="en-GB" w:eastAsia="zh-CN"/>
    </w:rPr>
  </w:style>
  <w:style w:type="paragraph" w:customStyle="1" w:styleId="Exhibit1">
    <w:name w:val="Exhibit 1"/>
    <w:basedOn w:val="Normal"/>
    <w:next w:val="Exhibit3"/>
    <w:link w:val="Exhibit1Char"/>
    <w:uiPriority w:val="9"/>
    <w:qFormat/>
    <w:rsid w:val="00F3012E"/>
    <w:pPr>
      <w:keepNext/>
      <w:pageBreakBefore/>
      <w:numPr>
        <w:numId w:val="48"/>
      </w:numPr>
      <w:jc w:val="both"/>
      <w:outlineLvl w:val="0"/>
    </w:pPr>
    <w:rPr>
      <w:rFonts w:asciiTheme="minorHAnsi" w:eastAsiaTheme="minorEastAsia"/>
      <w:b/>
      <w:szCs w:val="22"/>
      <w:lang w:val="en-GB" w:eastAsia="zh-CN"/>
    </w:rPr>
  </w:style>
  <w:style w:type="paragraph" w:customStyle="1" w:styleId="Exhibit2">
    <w:name w:val="Exhibit 2"/>
    <w:basedOn w:val="Normal"/>
    <w:next w:val="Exhibit3"/>
    <w:link w:val="Exhibit2Char"/>
    <w:uiPriority w:val="9"/>
    <w:semiHidden/>
    <w:qFormat/>
    <w:rsid w:val="00F3012E"/>
    <w:pPr>
      <w:keepNext/>
      <w:numPr>
        <w:ilvl w:val="1"/>
        <w:numId w:val="48"/>
      </w:numPr>
      <w:jc w:val="both"/>
      <w:outlineLvl w:val="1"/>
    </w:pPr>
    <w:rPr>
      <w:rFonts w:asciiTheme="minorHAnsi" w:eastAsiaTheme="minorEastAsia"/>
      <w:b/>
      <w:szCs w:val="22"/>
      <w:lang w:val="en-GB" w:eastAsia="zh-CN"/>
    </w:rPr>
  </w:style>
  <w:style w:type="paragraph" w:customStyle="1" w:styleId="Exhibit3">
    <w:name w:val="Exhibit 3"/>
    <w:basedOn w:val="Normal"/>
    <w:next w:val="BodyText2"/>
    <w:link w:val="Exhibit3Char"/>
    <w:uiPriority w:val="9"/>
    <w:semiHidden/>
    <w:qFormat/>
    <w:rsid w:val="00F3012E"/>
    <w:pPr>
      <w:numPr>
        <w:ilvl w:val="2"/>
        <w:numId w:val="48"/>
      </w:numPr>
      <w:jc w:val="both"/>
      <w:outlineLvl w:val="2"/>
    </w:pPr>
    <w:rPr>
      <w:rFonts w:asciiTheme="minorHAnsi" w:eastAsiaTheme="minorEastAsia"/>
      <w:b/>
      <w:szCs w:val="22"/>
      <w:lang w:val="en-GB" w:eastAsia="zh-CN"/>
    </w:rPr>
  </w:style>
  <w:style w:type="paragraph" w:customStyle="1" w:styleId="Exhibit4">
    <w:name w:val="Exhibit 4"/>
    <w:basedOn w:val="Normal"/>
    <w:next w:val="Exhibit5"/>
    <w:link w:val="Exhibit4Char"/>
    <w:uiPriority w:val="98"/>
    <w:semiHidden/>
    <w:rsid w:val="00F3012E"/>
    <w:pPr>
      <w:numPr>
        <w:ilvl w:val="3"/>
        <w:numId w:val="48"/>
      </w:numPr>
      <w:jc w:val="both"/>
      <w:outlineLvl w:val="3"/>
    </w:pPr>
    <w:rPr>
      <w:rFonts w:asciiTheme="minorHAnsi" w:eastAsiaTheme="minorEastAsia"/>
      <w:b/>
      <w:szCs w:val="22"/>
      <w:lang w:val="en-GB" w:eastAsia="zh-CN"/>
    </w:rPr>
  </w:style>
  <w:style w:type="paragraph" w:customStyle="1" w:styleId="Exhibit5">
    <w:name w:val="Exhibit 5"/>
    <w:basedOn w:val="Normal"/>
    <w:link w:val="Exhibit5Char"/>
    <w:uiPriority w:val="98"/>
    <w:semiHidden/>
    <w:rsid w:val="00F3012E"/>
    <w:pPr>
      <w:numPr>
        <w:ilvl w:val="4"/>
        <w:numId w:val="48"/>
      </w:numPr>
      <w:jc w:val="both"/>
      <w:outlineLvl w:val="4"/>
    </w:pPr>
    <w:rPr>
      <w:rFonts w:asciiTheme="minorHAnsi" w:eastAsiaTheme="minorEastAsia"/>
      <w:szCs w:val="22"/>
      <w:lang w:val="en-GB" w:eastAsia="zh-CN"/>
    </w:rPr>
  </w:style>
  <w:style w:type="paragraph" w:customStyle="1" w:styleId="Exhibit6">
    <w:name w:val="Exhibit 6"/>
    <w:basedOn w:val="Normal"/>
    <w:link w:val="Exhibit6Char"/>
    <w:uiPriority w:val="98"/>
    <w:semiHidden/>
    <w:rsid w:val="00F3012E"/>
    <w:pPr>
      <w:numPr>
        <w:ilvl w:val="5"/>
        <w:numId w:val="48"/>
      </w:numPr>
      <w:jc w:val="both"/>
      <w:outlineLvl w:val="5"/>
    </w:pPr>
    <w:rPr>
      <w:rFonts w:asciiTheme="minorHAnsi" w:eastAsiaTheme="minorEastAsia"/>
      <w:szCs w:val="22"/>
      <w:lang w:val="en-GB" w:eastAsia="zh-CN"/>
    </w:rPr>
  </w:style>
  <w:style w:type="paragraph" w:customStyle="1" w:styleId="CoverDocumentDescription">
    <w:name w:val="Cover Document Description"/>
    <w:basedOn w:val="Normal"/>
    <w:next w:val="CoverText0"/>
    <w:uiPriority w:val="8"/>
    <w:semiHidden/>
    <w:qFormat/>
    <w:rsid w:val="00F3012E"/>
    <w:rPr>
      <w:bCs/>
      <w:szCs w:val="22"/>
      <w:lang w:val="en-GB" w:eastAsia="zh-CN"/>
    </w:rPr>
  </w:style>
  <w:style w:type="paragraph" w:customStyle="1" w:styleId="CoverPartyRole">
    <w:name w:val="Cover Party Role"/>
    <w:basedOn w:val="Normal"/>
    <w:next w:val="CoverDocumentDescription"/>
    <w:uiPriority w:val="8"/>
    <w:semiHidden/>
    <w:qFormat/>
    <w:rsid w:val="00F3012E"/>
    <w:rPr>
      <w:b/>
      <w:szCs w:val="22"/>
      <w:lang w:val="en-GB" w:eastAsia="zh-CN"/>
    </w:rPr>
  </w:style>
  <w:style w:type="paragraph" w:customStyle="1" w:styleId="CoverText0">
    <w:name w:val="Cover Text"/>
    <w:basedOn w:val="Normal"/>
    <w:semiHidden/>
    <w:rsid w:val="00F3012E"/>
    <w:pPr>
      <w:spacing w:before="240"/>
    </w:pPr>
    <w:rPr>
      <w:bCs/>
      <w:szCs w:val="22"/>
      <w:lang w:val="en-GB" w:eastAsia="zh-CN"/>
    </w:rPr>
  </w:style>
  <w:style w:type="paragraph" w:customStyle="1" w:styleId="PartiesRecitals1">
    <w:name w:val="Parties/Recitals 1"/>
    <w:basedOn w:val="Normal"/>
    <w:link w:val="PartiesRecitals1Char"/>
    <w:uiPriority w:val="98"/>
    <w:rsid w:val="00F3012E"/>
    <w:pPr>
      <w:numPr>
        <w:numId w:val="47"/>
      </w:numPr>
      <w:jc w:val="both"/>
      <w:outlineLvl w:val="0"/>
    </w:pPr>
    <w:rPr>
      <w:rFonts w:asciiTheme="minorHAnsi" w:eastAsia="Times New Roman"/>
      <w:bCs/>
      <w:szCs w:val="28"/>
      <w:lang w:val="en-GB" w:eastAsia="zh-CN"/>
    </w:rPr>
  </w:style>
  <w:style w:type="paragraph" w:customStyle="1" w:styleId="PartiesRecitals2">
    <w:name w:val="Parties/Recitals 2"/>
    <w:basedOn w:val="Normal"/>
    <w:link w:val="PartiesRecitals2Char"/>
    <w:uiPriority w:val="98"/>
    <w:rsid w:val="00F3012E"/>
    <w:pPr>
      <w:numPr>
        <w:ilvl w:val="1"/>
        <w:numId w:val="47"/>
      </w:numPr>
      <w:jc w:val="both"/>
      <w:outlineLvl w:val="1"/>
    </w:pPr>
    <w:rPr>
      <w:rFonts w:asciiTheme="minorHAnsi" w:eastAsia="Times New Roman"/>
      <w:bCs/>
      <w:szCs w:val="28"/>
      <w:lang w:val="en-GB" w:eastAsia="zh-CN"/>
    </w:rPr>
  </w:style>
  <w:style w:type="paragraph" w:customStyle="1" w:styleId="PartiesRecitals3">
    <w:name w:val="Parties/Recitals 3"/>
    <w:basedOn w:val="Normal"/>
    <w:uiPriority w:val="98"/>
    <w:semiHidden/>
    <w:rsid w:val="00F3012E"/>
    <w:pPr>
      <w:numPr>
        <w:ilvl w:val="2"/>
        <w:numId w:val="47"/>
      </w:numPr>
      <w:jc w:val="both"/>
      <w:outlineLvl w:val="2"/>
    </w:pPr>
    <w:rPr>
      <w:rFonts w:asciiTheme="minorHAnsi" w:eastAsia="Times New Roman"/>
      <w:bCs/>
      <w:szCs w:val="28"/>
      <w:lang w:val="en-GB" w:eastAsia="zh-CN"/>
    </w:rPr>
  </w:style>
  <w:style w:type="paragraph" w:customStyle="1" w:styleId="PartiesRecitals4">
    <w:name w:val="Parties/Recitals 4"/>
    <w:basedOn w:val="Normal"/>
    <w:next w:val="BodyText"/>
    <w:uiPriority w:val="98"/>
    <w:semiHidden/>
    <w:rsid w:val="00F3012E"/>
    <w:pPr>
      <w:numPr>
        <w:ilvl w:val="3"/>
        <w:numId w:val="47"/>
      </w:numPr>
      <w:jc w:val="both"/>
      <w:outlineLvl w:val="3"/>
    </w:pPr>
    <w:rPr>
      <w:rFonts w:asciiTheme="minorHAnsi" w:eastAsia="Times New Roman"/>
      <w:bCs/>
      <w:szCs w:val="28"/>
      <w:lang w:val="en-GB" w:eastAsia="zh-CN"/>
    </w:rPr>
  </w:style>
  <w:style w:type="paragraph" w:customStyle="1" w:styleId="PartiesRecitals5">
    <w:name w:val="Parties/Recitals 5"/>
    <w:basedOn w:val="Normal"/>
    <w:next w:val="BodyText"/>
    <w:uiPriority w:val="98"/>
    <w:semiHidden/>
    <w:rsid w:val="00F3012E"/>
    <w:pPr>
      <w:numPr>
        <w:ilvl w:val="4"/>
        <w:numId w:val="47"/>
      </w:numPr>
      <w:jc w:val="both"/>
      <w:outlineLvl w:val="4"/>
    </w:pPr>
    <w:rPr>
      <w:rFonts w:asciiTheme="minorHAnsi" w:eastAsia="Times New Roman"/>
      <w:bCs/>
      <w:szCs w:val="28"/>
      <w:lang w:val="en-GB" w:eastAsia="zh-CN"/>
    </w:rPr>
  </w:style>
  <w:style w:type="paragraph" w:customStyle="1" w:styleId="PartiesRecitals6">
    <w:name w:val="Parties/Recitals 6"/>
    <w:basedOn w:val="Normal"/>
    <w:next w:val="BodyText"/>
    <w:uiPriority w:val="98"/>
    <w:semiHidden/>
    <w:rsid w:val="00F3012E"/>
    <w:pPr>
      <w:numPr>
        <w:ilvl w:val="5"/>
        <w:numId w:val="47"/>
      </w:numPr>
      <w:jc w:val="both"/>
      <w:outlineLvl w:val="5"/>
    </w:pPr>
    <w:rPr>
      <w:rFonts w:asciiTheme="minorHAnsi" w:eastAsia="Times New Roman"/>
      <w:bCs/>
      <w:szCs w:val="28"/>
      <w:lang w:val="en-GB" w:eastAsia="zh-CN"/>
    </w:rPr>
  </w:style>
  <w:style w:type="paragraph" w:customStyle="1" w:styleId="PartiesRecitals7">
    <w:name w:val="Parties/Recitals 7"/>
    <w:basedOn w:val="Normal"/>
    <w:next w:val="BodyText"/>
    <w:uiPriority w:val="98"/>
    <w:semiHidden/>
    <w:rsid w:val="00F3012E"/>
    <w:pPr>
      <w:numPr>
        <w:ilvl w:val="6"/>
        <w:numId w:val="47"/>
      </w:numPr>
      <w:jc w:val="both"/>
      <w:outlineLvl w:val="6"/>
    </w:pPr>
    <w:rPr>
      <w:rFonts w:asciiTheme="minorHAnsi" w:eastAsia="Times New Roman"/>
      <w:bCs/>
      <w:szCs w:val="28"/>
      <w:lang w:val="en-GB" w:eastAsia="zh-CN"/>
    </w:rPr>
  </w:style>
  <w:style w:type="paragraph" w:customStyle="1" w:styleId="PartiesRecitals8">
    <w:name w:val="Parties/Recitals 8"/>
    <w:basedOn w:val="Normal"/>
    <w:next w:val="BodyText"/>
    <w:uiPriority w:val="98"/>
    <w:semiHidden/>
    <w:rsid w:val="00F3012E"/>
    <w:pPr>
      <w:numPr>
        <w:ilvl w:val="7"/>
        <w:numId w:val="47"/>
      </w:numPr>
      <w:jc w:val="both"/>
      <w:outlineLvl w:val="7"/>
    </w:pPr>
    <w:rPr>
      <w:rFonts w:asciiTheme="minorHAnsi" w:eastAsia="Times New Roman"/>
      <w:bCs/>
      <w:szCs w:val="28"/>
      <w:lang w:val="en-GB" w:eastAsia="zh-CN"/>
    </w:rPr>
  </w:style>
  <w:style w:type="paragraph" w:customStyle="1" w:styleId="PartiesRecitals9">
    <w:name w:val="Parties/Recitals 9"/>
    <w:basedOn w:val="Normal"/>
    <w:next w:val="BodyText"/>
    <w:uiPriority w:val="98"/>
    <w:semiHidden/>
    <w:rsid w:val="00F3012E"/>
    <w:pPr>
      <w:numPr>
        <w:ilvl w:val="8"/>
        <w:numId w:val="47"/>
      </w:numPr>
      <w:jc w:val="both"/>
      <w:outlineLvl w:val="8"/>
    </w:pPr>
    <w:rPr>
      <w:rFonts w:asciiTheme="minorHAnsi" w:eastAsia="Times New Roman"/>
      <w:bCs/>
      <w:szCs w:val="28"/>
      <w:lang w:val="en-GB" w:eastAsia="zh-CN"/>
    </w:rPr>
  </w:style>
  <w:style w:type="paragraph" w:customStyle="1" w:styleId="SchH1">
    <w:name w:val="SchH 1"/>
    <w:basedOn w:val="Normal"/>
    <w:next w:val="SchH3"/>
    <w:link w:val="SchH1Char"/>
    <w:uiPriority w:val="98"/>
    <w:qFormat/>
    <w:rsid w:val="00F3012E"/>
    <w:pPr>
      <w:keepNext/>
      <w:pageBreakBefore/>
      <w:numPr>
        <w:numId w:val="50"/>
      </w:numPr>
      <w:jc w:val="both"/>
      <w:outlineLvl w:val="0"/>
    </w:pPr>
    <w:rPr>
      <w:rFonts w:asciiTheme="minorHAnsi" w:eastAsia="Times New Roman"/>
      <w:b/>
      <w:bCs/>
      <w:szCs w:val="28"/>
      <w:lang w:val="en-GB" w:eastAsia="zh-CN"/>
    </w:rPr>
  </w:style>
  <w:style w:type="paragraph" w:customStyle="1" w:styleId="SchH2">
    <w:name w:val="SchH 2"/>
    <w:basedOn w:val="Normal"/>
    <w:next w:val="SchH3"/>
    <w:link w:val="SchH2Char"/>
    <w:uiPriority w:val="98"/>
    <w:qFormat/>
    <w:rsid w:val="00F3012E"/>
    <w:pPr>
      <w:keepNext/>
      <w:numPr>
        <w:ilvl w:val="1"/>
        <w:numId w:val="50"/>
      </w:numPr>
      <w:jc w:val="both"/>
      <w:outlineLvl w:val="1"/>
    </w:pPr>
    <w:rPr>
      <w:rFonts w:asciiTheme="minorHAnsi" w:eastAsia="Times New Roman"/>
      <w:b/>
      <w:bCs/>
      <w:szCs w:val="28"/>
      <w:lang w:val="en-GB" w:eastAsia="zh-CN"/>
    </w:rPr>
  </w:style>
  <w:style w:type="paragraph" w:customStyle="1" w:styleId="SchH3">
    <w:name w:val="SchH 3"/>
    <w:basedOn w:val="Normal"/>
    <w:next w:val="BodyText2"/>
    <w:link w:val="SchH3Char"/>
    <w:uiPriority w:val="98"/>
    <w:qFormat/>
    <w:rsid w:val="00F3012E"/>
    <w:pPr>
      <w:numPr>
        <w:ilvl w:val="2"/>
        <w:numId w:val="50"/>
      </w:numPr>
      <w:jc w:val="both"/>
      <w:outlineLvl w:val="2"/>
    </w:pPr>
    <w:rPr>
      <w:rFonts w:asciiTheme="minorHAnsi" w:eastAsia="Times New Roman"/>
      <w:b/>
      <w:bCs/>
      <w:szCs w:val="28"/>
      <w:lang w:val="en-GB" w:eastAsia="zh-CN"/>
    </w:rPr>
  </w:style>
  <w:style w:type="paragraph" w:customStyle="1" w:styleId="SchH4">
    <w:name w:val="SchH 4"/>
    <w:basedOn w:val="Normal"/>
    <w:link w:val="SchH4Char"/>
    <w:uiPriority w:val="98"/>
    <w:qFormat/>
    <w:rsid w:val="00F3012E"/>
    <w:pPr>
      <w:numPr>
        <w:ilvl w:val="3"/>
        <w:numId w:val="50"/>
      </w:numPr>
      <w:jc w:val="both"/>
      <w:outlineLvl w:val="3"/>
    </w:pPr>
    <w:rPr>
      <w:rFonts w:asciiTheme="minorHAnsi" w:eastAsia="Times New Roman"/>
      <w:b/>
      <w:bCs/>
      <w:szCs w:val="28"/>
      <w:lang w:val="en-GB" w:eastAsia="zh-CN"/>
    </w:rPr>
  </w:style>
  <w:style w:type="paragraph" w:customStyle="1" w:styleId="SchH5">
    <w:name w:val="SchH 5"/>
    <w:basedOn w:val="Normal"/>
    <w:link w:val="SchH5Char"/>
    <w:uiPriority w:val="98"/>
    <w:qFormat/>
    <w:rsid w:val="00F3012E"/>
    <w:pPr>
      <w:numPr>
        <w:ilvl w:val="4"/>
        <w:numId w:val="50"/>
      </w:numPr>
      <w:jc w:val="both"/>
      <w:outlineLvl w:val="4"/>
    </w:pPr>
    <w:rPr>
      <w:rFonts w:asciiTheme="minorHAnsi" w:eastAsia="Times New Roman"/>
      <w:bCs/>
      <w:szCs w:val="28"/>
      <w:lang w:val="en-GB" w:eastAsia="zh-CN"/>
    </w:rPr>
  </w:style>
  <w:style w:type="paragraph" w:customStyle="1" w:styleId="SchH6">
    <w:name w:val="SchH 6"/>
    <w:basedOn w:val="Normal"/>
    <w:link w:val="SchH6Char"/>
    <w:uiPriority w:val="98"/>
    <w:qFormat/>
    <w:rsid w:val="00F3012E"/>
    <w:pPr>
      <w:numPr>
        <w:ilvl w:val="5"/>
        <w:numId w:val="50"/>
      </w:numPr>
      <w:jc w:val="both"/>
      <w:outlineLvl w:val="5"/>
    </w:pPr>
    <w:rPr>
      <w:rFonts w:asciiTheme="minorHAnsi" w:eastAsia="Times New Roman"/>
      <w:bCs/>
      <w:szCs w:val="28"/>
      <w:lang w:val="en-GB" w:eastAsia="zh-CN"/>
    </w:rPr>
  </w:style>
  <w:style w:type="paragraph" w:customStyle="1" w:styleId="SchH7">
    <w:name w:val="SchH 7"/>
    <w:basedOn w:val="Normal"/>
    <w:link w:val="SchH7Char"/>
    <w:uiPriority w:val="98"/>
    <w:qFormat/>
    <w:rsid w:val="00F3012E"/>
    <w:pPr>
      <w:numPr>
        <w:ilvl w:val="6"/>
        <w:numId w:val="50"/>
      </w:numPr>
      <w:jc w:val="both"/>
      <w:outlineLvl w:val="6"/>
    </w:pPr>
    <w:rPr>
      <w:rFonts w:asciiTheme="minorHAnsi" w:eastAsia="Times New Roman"/>
      <w:bCs/>
      <w:szCs w:val="28"/>
      <w:lang w:val="en-GB" w:eastAsia="zh-CN"/>
    </w:rPr>
  </w:style>
  <w:style w:type="paragraph" w:customStyle="1" w:styleId="SchH8">
    <w:name w:val="SchH 8"/>
    <w:basedOn w:val="Normal"/>
    <w:link w:val="SchH8Char"/>
    <w:uiPriority w:val="98"/>
    <w:rsid w:val="00F3012E"/>
    <w:pPr>
      <w:numPr>
        <w:ilvl w:val="7"/>
        <w:numId w:val="50"/>
      </w:numPr>
      <w:jc w:val="both"/>
      <w:outlineLvl w:val="7"/>
    </w:pPr>
    <w:rPr>
      <w:rFonts w:asciiTheme="minorHAnsi" w:eastAsia="Times New Roman"/>
      <w:bCs/>
      <w:szCs w:val="28"/>
      <w:lang w:val="en-GB" w:eastAsia="zh-CN"/>
    </w:rPr>
  </w:style>
  <w:style w:type="paragraph" w:customStyle="1" w:styleId="SchH9">
    <w:name w:val="SchH 9"/>
    <w:basedOn w:val="Normal"/>
    <w:link w:val="SchH9Char"/>
    <w:uiPriority w:val="98"/>
    <w:rsid w:val="00F3012E"/>
    <w:pPr>
      <w:numPr>
        <w:ilvl w:val="8"/>
        <w:numId w:val="50"/>
      </w:numPr>
      <w:jc w:val="both"/>
      <w:outlineLvl w:val="8"/>
    </w:pPr>
    <w:rPr>
      <w:rFonts w:asciiTheme="minorHAnsi" w:eastAsia="Times New Roman"/>
      <w:bCs/>
      <w:szCs w:val="28"/>
      <w:lang w:val="en-GB" w:eastAsia="zh-CN"/>
    </w:rPr>
  </w:style>
  <w:style w:type="paragraph" w:customStyle="1" w:styleId="CoverAddress">
    <w:name w:val="Cover Address"/>
    <w:basedOn w:val="Normal"/>
    <w:uiPriority w:val="8"/>
    <w:semiHidden/>
    <w:rsid w:val="00F3012E"/>
    <w:pPr>
      <w:ind w:left="-115"/>
    </w:pPr>
    <w:rPr>
      <w:rFonts w:eastAsia="Times New Roman"/>
      <w:bCs/>
      <w:color w:val="404144" w:themeColor="text2"/>
      <w:sz w:val="16"/>
      <w:szCs w:val="22"/>
      <w:lang w:val="en-GB" w:eastAsia="zh-CN"/>
    </w:rPr>
  </w:style>
  <w:style w:type="paragraph" w:customStyle="1" w:styleId="CoverDraft">
    <w:name w:val="Cover Draft"/>
    <w:basedOn w:val="Normal"/>
    <w:next w:val="Header"/>
    <w:uiPriority w:val="8"/>
    <w:semiHidden/>
    <w:qFormat/>
    <w:rsid w:val="00F3012E"/>
    <w:pPr>
      <w:jc w:val="right"/>
    </w:pPr>
    <w:rPr>
      <w:rFonts w:eastAsia="Times New Roman"/>
      <w:b/>
      <w:bCs/>
      <w:i/>
      <w:color w:val="404143" w:themeColor="text1"/>
      <w:sz w:val="20"/>
      <w:szCs w:val="28"/>
      <w:lang w:val="en-GB" w:eastAsia="zh-CN"/>
    </w:rPr>
  </w:style>
  <w:style w:type="paragraph" w:customStyle="1" w:styleId="Exhibit7">
    <w:name w:val="Exhibit 7"/>
    <w:basedOn w:val="Normal"/>
    <w:link w:val="Exhibit7Char"/>
    <w:uiPriority w:val="98"/>
    <w:semiHidden/>
    <w:rsid w:val="00F3012E"/>
    <w:pPr>
      <w:numPr>
        <w:ilvl w:val="6"/>
        <w:numId w:val="48"/>
      </w:numPr>
      <w:jc w:val="both"/>
      <w:outlineLvl w:val="6"/>
    </w:pPr>
    <w:rPr>
      <w:rFonts w:asciiTheme="minorHAnsi" w:eastAsiaTheme="minorEastAsia"/>
      <w:szCs w:val="22"/>
      <w:lang w:val="en-GB" w:eastAsia="zh-CN"/>
    </w:rPr>
  </w:style>
  <w:style w:type="paragraph" w:customStyle="1" w:styleId="Exhibit8">
    <w:name w:val="Exhibit 8"/>
    <w:basedOn w:val="Normal"/>
    <w:link w:val="Exhibit8Char"/>
    <w:uiPriority w:val="98"/>
    <w:semiHidden/>
    <w:rsid w:val="00F3012E"/>
    <w:pPr>
      <w:numPr>
        <w:ilvl w:val="7"/>
        <w:numId w:val="48"/>
      </w:numPr>
      <w:jc w:val="both"/>
      <w:outlineLvl w:val="7"/>
    </w:pPr>
    <w:rPr>
      <w:rFonts w:asciiTheme="minorHAnsi" w:eastAsiaTheme="minorEastAsia"/>
      <w:szCs w:val="22"/>
      <w:lang w:val="en-GB" w:eastAsia="zh-CN"/>
    </w:rPr>
  </w:style>
  <w:style w:type="paragraph" w:customStyle="1" w:styleId="Exhibit9">
    <w:name w:val="Exhibit 9"/>
    <w:basedOn w:val="Normal"/>
    <w:link w:val="Exhibit9Char"/>
    <w:uiPriority w:val="98"/>
    <w:semiHidden/>
    <w:rsid w:val="00F3012E"/>
    <w:pPr>
      <w:numPr>
        <w:ilvl w:val="8"/>
        <w:numId w:val="48"/>
      </w:numPr>
      <w:jc w:val="both"/>
      <w:outlineLvl w:val="8"/>
    </w:pPr>
    <w:rPr>
      <w:rFonts w:asciiTheme="minorHAnsi" w:eastAsiaTheme="minorEastAsia"/>
      <w:szCs w:val="22"/>
      <w:lang w:val="en-GB" w:eastAsia="zh-CN"/>
    </w:rPr>
  </w:style>
  <w:style w:type="character" w:customStyle="1" w:styleId="Definition1Char">
    <w:name w:val="Definition 1 Char"/>
    <w:basedOn w:val="DefaultParagraphFont"/>
    <w:link w:val="Definition1"/>
    <w:rsid w:val="00F3012E"/>
    <w:rPr>
      <w:rFonts w:eastAsia="Times New Roman"/>
      <w:lang w:val="en-GB"/>
    </w:rPr>
  </w:style>
  <w:style w:type="character" w:customStyle="1" w:styleId="Definition2Char">
    <w:name w:val="Definition 2 Char"/>
    <w:basedOn w:val="DefaultParagraphFont"/>
    <w:link w:val="Definition2"/>
    <w:rsid w:val="00F3012E"/>
    <w:rPr>
      <w:rFonts w:eastAsia="Times New Roman"/>
      <w:lang w:val="en-GB"/>
    </w:rPr>
  </w:style>
  <w:style w:type="paragraph" w:customStyle="1" w:styleId="Definition1">
    <w:name w:val="Definition 1"/>
    <w:basedOn w:val="Normal"/>
    <w:link w:val="Definition1Char"/>
    <w:qFormat/>
    <w:rsid w:val="00F3012E"/>
    <w:pPr>
      <w:numPr>
        <w:numId w:val="46"/>
      </w:numPr>
      <w:jc w:val="both"/>
      <w:outlineLvl w:val="0"/>
    </w:pPr>
    <w:rPr>
      <w:rFonts w:eastAsia="Times New Roman"/>
      <w:sz w:val="20"/>
      <w:szCs w:val="20"/>
      <w:lang w:val="en-GB" w:eastAsia="en-AU"/>
    </w:rPr>
  </w:style>
  <w:style w:type="paragraph" w:customStyle="1" w:styleId="Definition2">
    <w:name w:val="Definition 2"/>
    <w:basedOn w:val="Normal"/>
    <w:link w:val="Definition2Char"/>
    <w:qFormat/>
    <w:rsid w:val="00F3012E"/>
    <w:pPr>
      <w:numPr>
        <w:ilvl w:val="1"/>
        <w:numId w:val="46"/>
      </w:numPr>
      <w:jc w:val="both"/>
      <w:outlineLvl w:val="1"/>
    </w:pPr>
    <w:rPr>
      <w:rFonts w:eastAsia="Times New Roman"/>
      <w:sz w:val="20"/>
      <w:szCs w:val="20"/>
      <w:lang w:val="en-GB" w:eastAsia="en-AU"/>
    </w:rPr>
  </w:style>
  <w:style w:type="paragraph" w:customStyle="1" w:styleId="Definition3">
    <w:name w:val="Definition 3"/>
    <w:basedOn w:val="Normal"/>
    <w:link w:val="Definition3Char"/>
    <w:qFormat/>
    <w:rsid w:val="00F3012E"/>
    <w:pPr>
      <w:numPr>
        <w:ilvl w:val="2"/>
        <w:numId w:val="46"/>
      </w:numPr>
      <w:jc w:val="both"/>
      <w:outlineLvl w:val="2"/>
    </w:pPr>
    <w:rPr>
      <w:rFonts w:asciiTheme="minorHAnsi" w:eastAsia="Times New Roman"/>
      <w:bCs/>
      <w:szCs w:val="22"/>
      <w:lang w:val="en-GB" w:eastAsia="zh-CN"/>
    </w:rPr>
  </w:style>
  <w:style w:type="paragraph" w:customStyle="1" w:styleId="Definition4">
    <w:name w:val="Definition 4"/>
    <w:basedOn w:val="Normal"/>
    <w:link w:val="Definition4Char"/>
    <w:qFormat/>
    <w:rsid w:val="00F3012E"/>
    <w:pPr>
      <w:numPr>
        <w:ilvl w:val="3"/>
        <w:numId w:val="46"/>
      </w:numPr>
      <w:jc w:val="both"/>
      <w:outlineLvl w:val="3"/>
    </w:pPr>
    <w:rPr>
      <w:rFonts w:asciiTheme="minorHAnsi" w:eastAsia="Times New Roman"/>
      <w:bCs/>
      <w:szCs w:val="22"/>
      <w:lang w:val="en-GB" w:eastAsia="zh-CN"/>
    </w:rPr>
  </w:style>
  <w:style w:type="paragraph" w:customStyle="1" w:styleId="Definition5">
    <w:name w:val="Definition 5"/>
    <w:basedOn w:val="Normal"/>
    <w:next w:val="BodyText"/>
    <w:link w:val="Definition5Char"/>
    <w:semiHidden/>
    <w:rsid w:val="00F3012E"/>
    <w:pPr>
      <w:numPr>
        <w:ilvl w:val="4"/>
        <w:numId w:val="46"/>
      </w:numPr>
      <w:jc w:val="both"/>
    </w:pPr>
    <w:rPr>
      <w:rFonts w:asciiTheme="minorHAnsi" w:eastAsia="Times New Roman"/>
      <w:bCs/>
      <w:szCs w:val="22"/>
      <w:lang w:val="en-GB" w:eastAsia="zh-CN"/>
    </w:rPr>
  </w:style>
  <w:style w:type="character" w:customStyle="1" w:styleId="Definition5Char">
    <w:name w:val="Definition 5 Char"/>
    <w:basedOn w:val="DefaultParagraphFont"/>
    <w:link w:val="Definition5"/>
    <w:semiHidden/>
    <w:rsid w:val="00F3012E"/>
    <w:rPr>
      <w:rFonts w:asciiTheme="minorHAnsi" w:eastAsia="Times New Roman"/>
      <w:bCs/>
      <w:sz w:val="22"/>
      <w:szCs w:val="22"/>
      <w:lang w:val="en-GB" w:eastAsia="zh-CN"/>
    </w:rPr>
  </w:style>
  <w:style w:type="paragraph" w:customStyle="1" w:styleId="Definition6">
    <w:name w:val="Definition 6"/>
    <w:basedOn w:val="Normal"/>
    <w:next w:val="BodyText"/>
    <w:link w:val="Definition6Char"/>
    <w:semiHidden/>
    <w:rsid w:val="00F3012E"/>
    <w:pPr>
      <w:numPr>
        <w:ilvl w:val="5"/>
        <w:numId w:val="46"/>
      </w:numPr>
      <w:jc w:val="both"/>
    </w:pPr>
    <w:rPr>
      <w:rFonts w:asciiTheme="minorHAnsi" w:eastAsia="Times New Roman"/>
      <w:bCs/>
      <w:szCs w:val="22"/>
      <w:lang w:val="en-GB" w:eastAsia="zh-CN"/>
    </w:rPr>
  </w:style>
  <w:style w:type="character" w:customStyle="1" w:styleId="Definition6Char">
    <w:name w:val="Definition 6 Char"/>
    <w:basedOn w:val="DefaultParagraphFont"/>
    <w:link w:val="Definition6"/>
    <w:semiHidden/>
    <w:rsid w:val="00F3012E"/>
    <w:rPr>
      <w:rFonts w:asciiTheme="minorHAnsi" w:eastAsia="Times New Roman"/>
      <w:bCs/>
      <w:sz w:val="22"/>
      <w:szCs w:val="22"/>
      <w:lang w:val="en-GB" w:eastAsia="zh-CN"/>
    </w:rPr>
  </w:style>
  <w:style w:type="paragraph" w:customStyle="1" w:styleId="Definition7">
    <w:name w:val="Definition 7"/>
    <w:basedOn w:val="Normal"/>
    <w:next w:val="BodyText"/>
    <w:link w:val="Definition7Char"/>
    <w:semiHidden/>
    <w:rsid w:val="00F3012E"/>
    <w:pPr>
      <w:numPr>
        <w:ilvl w:val="6"/>
        <w:numId w:val="46"/>
      </w:numPr>
      <w:jc w:val="both"/>
    </w:pPr>
    <w:rPr>
      <w:rFonts w:asciiTheme="minorHAnsi" w:eastAsia="Times New Roman"/>
      <w:bCs/>
      <w:szCs w:val="22"/>
      <w:lang w:val="en-GB" w:eastAsia="zh-CN"/>
    </w:rPr>
  </w:style>
  <w:style w:type="character" w:customStyle="1" w:styleId="Definition7Char">
    <w:name w:val="Definition 7 Char"/>
    <w:basedOn w:val="DefaultParagraphFont"/>
    <w:link w:val="Definition7"/>
    <w:semiHidden/>
    <w:rsid w:val="00F3012E"/>
    <w:rPr>
      <w:rFonts w:asciiTheme="minorHAnsi" w:eastAsia="Times New Roman"/>
      <w:bCs/>
      <w:sz w:val="22"/>
      <w:szCs w:val="22"/>
      <w:lang w:val="en-GB" w:eastAsia="zh-CN"/>
    </w:rPr>
  </w:style>
  <w:style w:type="paragraph" w:customStyle="1" w:styleId="Definition8">
    <w:name w:val="Definition 8"/>
    <w:basedOn w:val="Normal"/>
    <w:next w:val="BodyText"/>
    <w:link w:val="Definition8Char"/>
    <w:semiHidden/>
    <w:rsid w:val="00F3012E"/>
    <w:pPr>
      <w:numPr>
        <w:ilvl w:val="7"/>
        <w:numId w:val="46"/>
      </w:numPr>
      <w:jc w:val="both"/>
    </w:pPr>
    <w:rPr>
      <w:rFonts w:asciiTheme="minorHAnsi" w:eastAsia="Times New Roman"/>
      <w:bCs/>
      <w:szCs w:val="22"/>
      <w:lang w:val="en-GB" w:eastAsia="zh-CN"/>
    </w:rPr>
  </w:style>
  <w:style w:type="character" w:customStyle="1" w:styleId="Definition8Char">
    <w:name w:val="Definition 8 Char"/>
    <w:basedOn w:val="DefaultParagraphFont"/>
    <w:link w:val="Definition8"/>
    <w:semiHidden/>
    <w:rsid w:val="00F3012E"/>
    <w:rPr>
      <w:rFonts w:asciiTheme="minorHAnsi" w:eastAsia="Times New Roman"/>
      <w:bCs/>
      <w:sz w:val="22"/>
      <w:szCs w:val="22"/>
      <w:lang w:val="en-GB" w:eastAsia="zh-CN"/>
    </w:rPr>
  </w:style>
  <w:style w:type="paragraph" w:customStyle="1" w:styleId="Definition9">
    <w:name w:val="Definition 9"/>
    <w:basedOn w:val="Normal"/>
    <w:next w:val="BodyText"/>
    <w:link w:val="Definition9Char"/>
    <w:semiHidden/>
    <w:rsid w:val="00F3012E"/>
    <w:pPr>
      <w:numPr>
        <w:ilvl w:val="8"/>
        <w:numId w:val="46"/>
      </w:numPr>
      <w:jc w:val="both"/>
    </w:pPr>
    <w:rPr>
      <w:rFonts w:asciiTheme="minorHAnsi" w:eastAsia="Times New Roman"/>
      <w:bCs/>
      <w:szCs w:val="22"/>
      <w:lang w:val="en-GB" w:eastAsia="zh-CN"/>
    </w:rPr>
  </w:style>
  <w:style w:type="character" w:customStyle="1" w:styleId="Definition9Char">
    <w:name w:val="Definition 9 Char"/>
    <w:basedOn w:val="DefaultParagraphFont"/>
    <w:link w:val="Definition9"/>
    <w:semiHidden/>
    <w:rsid w:val="00F3012E"/>
    <w:rPr>
      <w:rFonts w:asciiTheme="minorHAnsi" w:eastAsia="Times New Roman"/>
      <w:bCs/>
      <w:sz w:val="22"/>
      <w:szCs w:val="22"/>
      <w:lang w:val="en-GB" w:eastAsia="zh-CN"/>
    </w:rPr>
  </w:style>
  <w:style w:type="character" w:customStyle="1" w:styleId="Definition3Char">
    <w:name w:val="Definition 3 Char"/>
    <w:basedOn w:val="DefaultParagraphFont"/>
    <w:link w:val="Definition3"/>
    <w:rsid w:val="00F3012E"/>
    <w:rPr>
      <w:rFonts w:asciiTheme="minorHAnsi" w:eastAsia="Times New Roman"/>
      <w:bCs/>
      <w:sz w:val="22"/>
      <w:szCs w:val="22"/>
      <w:lang w:val="en-GB" w:eastAsia="zh-CN"/>
    </w:rPr>
  </w:style>
  <w:style w:type="character" w:customStyle="1" w:styleId="Definition4Char">
    <w:name w:val="Definition 4 Char"/>
    <w:basedOn w:val="DefaultParagraphFont"/>
    <w:link w:val="Definition4"/>
    <w:rsid w:val="00F3012E"/>
    <w:rPr>
      <w:rFonts w:asciiTheme="minorHAnsi" w:eastAsia="Times New Roman"/>
      <w:bCs/>
      <w:sz w:val="22"/>
      <w:szCs w:val="22"/>
      <w:lang w:val="en-GB" w:eastAsia="zh-CN"/>
    </w:rPr>
  </w:style>
  <w:style w:type="character" w:customStyle="1" w:styleId="Exhibit1Char">
    <w:name w:val="Exhibit 1 Char"/>
    <w:basedOn w:val="DefaultParagraphFont"/>
    <w:link w:val="Exhibit1"/>
    <w:uiPriority w:val="9"/>
    <w:rsid w:val="00F3012E"/>
    <w:rPr>
      <w:rFonts w:asciiTheme="minorHAnsi" w:eastAsiaTheme="minorEastAsia"/>
      <w:b/>
      <w:sz w:val="22"/>
      <w:szCs w:val="22"/>
      <w:lang w:val="en-GB" w:eastAsia="zh-CN"/>
    </w:rPr>
  </w:style>
  <w:style w:type="character" w:customStyle="1" w:styleId="Exhibit2Char">
    <w:name w:val="Exhibit 2 Char"/>
    <w:basedOn w:val="DefaultParagraphFont"/>
    <w:link w:val="Exhibit2"/>
    <w:uiPriority w:val="9"/>
    <w:semiHidden/>
    <w:rsid w:val="00F3012E"/>
    <w:rPr>
      <w:rFonts w:asciiTheme="minorHAnsi" w:eastAsiaTheme="minorEastAsia"/>
      <w:b/>
      <w:sz w:val="22"/>
      <w:szCs w:val="22"/>
      <w:lang w:val="en-GB" w:eastAsia="zh-CN"/>
    </w:rPr>
  </w:style>
  <w:style w:type="character" w:customStyle="1" w:styleId="Exhibit3Char">
    <w:name w:val="Exhibit 3 Char"/>
    <w:basedOn w:val="DefaultParagraphFont"/>
    <w:link w:val="Exhibit3"/>
    <w:uiPriority w:val="9"/>
    <w:semiHidden/>
    <w:rsid w:val="00F3012E"/>
    <w:rPr>
      <w:rFonts w:asciiTheme="minorHAnsi" w:eastAsiaTheme="minorEastAsia"/>
      <w:b/>
      <w:sz w:val="22"/>
      <w:szCs w:val="22"/>
      <w:lang w:val="en-GB" w:eastAsia="zh-CN"/>
    </w:rPr>
  </w:style>
  <w:style w:type="character" w:customStyle="1" w:styleId="Exhibit4Char">
    <w:name w:val="Exhibit 4 Char"/>
    <w:basedOn w:val="DefaultParagraphFont"/>
    <w:link w:val="Exhibit4"/>
    <w:uiPriority w:val="98"/>
    <w:semiHidden/>
    <w:rsid w:val="00F3012E"/>
    <w:rPr>
      <w:rFonts w:asciiTheme="minorHAnsi" w:eastAsiaTheme="minorEastAsia"/>
      <w:b/>
      <w:sz w:val="22"/>
      <w:szCs w:val="22"/>
      <w:lang w:val="en-GB" w:eastAsia="zh-CN"/>
    </w:rPr>
  </w:style>
  <w:style w:type="character" w:customStyle="1" w:styleId="Exhibit5Char">
    <w:name w:val="Exhibit 5 Char"/>
    <w:basedOn w:val="DefaultParagraphFont"/>
    <w:link w:val="Exhibit5"/>
    <w:uiPriority w:val="98"/>
    <w:semiHidden/>
    <w:rsid w:val="00F3012E"/>
    <w:rPr>
      <w:rFonts w:asciiTheme="minorHAnsi" w:eastAsiaTheme="minorEastAsia"/>
      <w:sz w:val="22"/>
      <w:szCs w:val="22"/>
      <w:lang w:val="en-GB" w:eastAsia="zh-CN"/>
    </w:rPr>
  </w:style>
  <w:style w:type="character" w:customStyle="1" w:styleId="Exhibit6Char">
    <w:name w:val="Exhibit 6 Char"/>
    <w:basedOn w:val="DefaultParagraphFont"/>
    <w:link w:val="Exhibit6"/>
    <w:uiPriority w:val="98"/>
    <w:semiHidden/>
    <w:rsid w:val="00F3012E"/>
    <w:rPr>
      <w:rFonts w:asciiTheme="minorHAnsi" w:eastAsiaTheme="minorEastAsia"/>
      <w:sz w:val="22"/>
      <w:szCs w:val="22"/>
      <w:lang w:val="en-GB" w:eastAsia="zh-CN"/>
    </w:rPr>
  </w:style>
  <w:style w:type="character" w:customStyle="1" w:styleId="Exhibit7Char">
    <w:name w:val="Exhibit 7 Char"/>
    <w:basedOn w:val="DefaultParagraphFont"/>
    <w:link w:val="Exhibit7"/>
    <w:uiPriority w:val="98"/>
    <w:semiHidden/>
    <w:rsid w:val="00F3012E"/>
    <w:rPr>
      <w:rFonts w:asciiTheme="minorHAnsi" w:eastAsiaTheme="minorEastAsia"/>
      <w:sz w:val="22"/>
      <w:szCs w:val="22"/>
      <w:lang w:val="en-GB" w:eastAsia="zh-CN"/>
    </w:rPr>
  </w:style>
  <w:style w:type="character" w:customStyle="1" w:styleId="Exhibit8Char">
    <w:name w:val="Exhibit 8 Char"/>
    <w:basedOn w:val="DefaultParagraphFont"/>
    <w:link w:val="Exhibit8"/>
    <w:uiPriority w:val="98"/>
    <w:semiHidden/>
    <w:rsid w:val="00F3012E"/>
    <w:rPr>
      <w:rFonts w:asciiTheme="minorHAnsi" w:eastAsiaTheme="minorEastAsia"/>
      <w:sz w:val="22"/>
      <w:szCs w:val="22"/>
      <w:lang w:val="en-GB" w:eastAsia="zh-CN"/>
    </w:rPr>
  </w:style>
  <w:style w:type="character" w:customStyle="1" w:styleId="Exhibit9Char">
    <w:name w:val="Exhibit 9 Char"/>
    <w:basedOn w:val="DefaultParagraphFont"/>
    <w:link w:val="Exhibit9"/>
    <w:uiPriority w:val="98"/>
    <w:semiHidden/>
    <w:rsid w:val="00F3012E"/>
    <w:rPr>
      <w:rFonts w:asciiTheme="minorHAnsi" w:eastAsiaTheme="minorEastAsia"/>
      <w:sz w:val="22"/>
      <w:szCs w:val="22"/>
      <w:lang w:val="en-GB" w:eastAsia="zh-CN"/>
    </w:rPr>
  </w:style>
  <w:style w:type="character" w:customStyle="1" w:styleId="Annexure1Char">
    <w:name w:val="Annexure 1 Char"/>
    <w:basedOn w:val="DefaultParagraphFont"/>
    <w:link w:val="Annexure1"/>
    <w:uiPriority w:val="9"/>
    <w:rsid w:val="00F3012E"/>
    <w:rPr>
      <w:rFonts w:asciiTheme="minorHAnsi" w:eastAsiaTheme="minorEastAsia"/>
      <w:b/>
      <w:sz w:val="22"/>
      <w:szCs w:val="22"/>
      <w:lang w:val="en-GB" w:eastAsia="zh-CN"/>
    </w:rPr>
  </w:style>
  <w:style w:type="character" w:customStyle="1" w:styleId="Annexure2Char">
    <w:name w:val="Annexure 2 Char"/>
    <w:basedOn w:val="DefaultParagraphFont"/>
    <w:link w:val="Annexure2"/>
    <w:uiPriority w:val="9"/>
    <w:semiHidden/>
    <w:rsid w:val="00F3012E"/>
    <w:rPr>
      <w:rFonts w:asciiTheme="minorHAnsi" w:eastAsiaTheme="minorEastAsia"/>
      <w:b/>
      <w:sz w:val="22"/>
      <w:szCs w:val="22"/>
      <w:lang w:val="en-GB" w:eastAsia="zh-CN"/>
    </w:rPr>
  </w:style>
  <w:style w:type="character" w:customStyle="1" w:styleId="Annexure3Char">
    <w:name w:val="Annexure 3 Char"/>
    <w:basedOn w:val="DefaultParagraphFont"/>
    <w:link w:val="Annexure3"/>
    <w:uiPriority w:val="9"/>
    <w:semiHidden/>
    <w:rsid w:val="00F3012E"/>
    <w:rPr>
      <w:rFonts w:asciiTheme="minorHAnsi" w:eastAsiaTheme="minorEastAsia"/>
      <w:b/>
      <w:sz w:val="22"/>
      <w:szCs w:val="22"/>
      <w:lang w:val="en-GB" w:eastAsia="zh-CN"/>
    </w:rPr>
  </w:style>
  <w:style w:type="character" w:customStyle="1" w:styleId="Annexure4Char">
    <w:name w:val="Annexure 4 Char"/>
    <w:basedOn w:val="DefaultParagraphFont"/>
    <w:link w:val="Annexure4"/>
    <w:uiPriority w:val="98"/>
    <w:semiHidden/>
    <w:rsid w:val="00F3012E"/>
    <w:rPr>
      <w:rFonts w:asciiTheme="minorHAnsi" w:eastAsiaTheme="minorEastAsia"/>
      <w:b/>
      <w:sz w:val="22"/>
      <w:szCs w:val="22"/>
      <w:lang w:val="en-GB" w:eastAsia="zh-CN"/>
    </w:rPr>
  </w:style>
  <w:style w:type="character" w:customStyle="1" w:styleId="Annexure5Char">
    <w:name w:val="Annexure 5 Char"/>
    <w:basedOn w:val="DefaultParagraphFont"/>
    <w:link w:val="Annexure5"/>
    <w:uiPriority w:val="98"/>
    <w:semiHidden/>
    <w:rsid w:val="00F3012E"/>
    <w:rPr>
      <w:rFonts w:asciiTheme="minorHAnsi" w:eastAsiaTheme="minorEastAsia"/>
      <w:sz w:val="22"/>
      <w:szCs w:val="22"/>
      <w:lang w:val="en-GB" w:eastAsia="zh-CN"/>
    </w:rPr>
  </w:style>
  <w:style w:type="character" w:customStyle="1" w:styleId="Annexure6Char">
    <w:name w:val="Annexure 6 Char"/>
    <w:basedOn w:val="DefaultParagraphFont"/>
    <w:link w:val="Annexure6"/>
    <w:uiPriority w:val="98"/>
    <w:semiHidden/>
    <w:rsid w:val="00F3012E"/>
    <w:rPr>
      <w:rFonts w:asciiTheme="minorHAnsi" w:eastAsiaTheme="minorEastAsia"/>
      <w:sz w:val="22"/>
      <w:szCs w:val="22"/>
      <w:lang w:val="en-GB" w:eastAsia="zh-CN"/>
    </w:rPr>
  </w:style>
  <w:style w:type="character" w:customStyle="1" w:styleId="Annexure7Char">
    <w:name w:val="Annexure 7 Char"/>
    <w:basedOn w:val="DefaultParagraphFont"/>
    <w:link w:val="Annexure7"/>
    <w:uiPriority w:val="98"/>
    <w:semiHidden/>
    <w:rsid w:val="00F3012E"/>
    <w:rPr>
      <w:rFonts w:asciiTheme="minorHAnsi" w:eastAsiaTheme="minorEastAsia"/>
      <w:sz w:val="22"/>
      <w:szCs w:val="22"/>
      <w:lang w:val="en-GB" w:eastAsia="zh-CN"/>
    </w:rPr>
  </w:style>
  <w:style w:type="character" w:customStyle="1" w:styleId="Annexure8Char">
    <w:name w:val="Annexure 8 Char"/>
    <w:basedOn w:val="DefaultParagraphFont"/>
    <w:link w:val="Annexure8"/>
    <w:uiPriority w:val="98"/>
    <w:semiHidden/>
    <w:rsid w:val="00F3012E"/>
    <w:rPr>
      <w:rFonts w:asciiTheme="minorHAnsi" w:eastAsiaTheme="minorEastAsia"/>
      <w:sz w:val="22"/>
      <w:szCs w:val="22"/>
      <w:lang w:val="en-GB" w:eastAsia="zh-CN"/>
    </w:rPr>
  </w:style>
  <w:style w:type="character" w:customStyle="1" w:styleId="Annexure9Char">
    <w:name w:val="Annexure 9 Char"/>
    <w:basedOn w:val="DefaultParagraphFont"/>
    <w:link w:val="Annexure9"/>
    <w:uiPriority w:val="98"/>
    <w:semiHidden/>
    <w:rsid w:val="00F3012E"/>
    <w:rPr>
      <w:rFonts w:asciiTheme="minorHAnsi" w:eastAsiaTheme="minorEastAsia"/>
      <w:sz w:val="22"/>
      <w:szCs w:val="22"/>
      <w:lang w:val="en-GB" w:eastAsia="zh-CN"/>
    </w:rPr>
  </w:style>
  <w:style w:type="character" w:customStyle="1" w:styleId="PartiesRecitals1Char">
    <w:name w:val="Parties/Recitals 1 Char"/>
    <w:basedOn w:val="DefaultParagraphFont"/>
    <w:link w:val="PartiesRecitals1"/>
    <w:uiPriority w:val="98"/>
    <w:rsid w:val="00F3012E"/>
    <w:rPr>
      <w:rFonts w:asciiTheme="minorHAnsi" w:eastAsia="Times New Roman"/>
      <w:bCs/>
      <w:sz w:val="22"/>
      <w:szCs w:val="28"/>
      <w:lang w:val="en-GB" w:eastAsia="zh-CN"/>
    </w:rPr>
  </w:style>
  <w:style w:type="character" w:customStyle="1" w:styleId="PartiesRecitals2Char">
    <w:name w:val="Parties/Recitals 2 Char"/>
    <w:basedOn w:val="DefaultParagraphFont"/>
    <w:link w:val="PartiesRecitals2"/>
    <w:uiPriority w:val="98"/>
    <w:rsid w:val="00F3012E"/>
    <w:rPr>
      <w:rFonts w:asciiTheme="minorHAnsi" w:eastAsia="Times New Roman"/>
      <w:bCs/>
      <w:sz w:val="22"/>
      <w:szCs w:val="28"/>
      <w:lang w:val="en-GB" w:eastAsia="zh-CN"/>
    </w:rPr>
  </w:style>
  <w:style w:type="character" w:customStyle="1" w:styleId="SchH1Char">
    <w:name w:val="SchH 1 Char"/>
    <w:basedOn w:val="DefaultParagraphFont"/>
    <w:link w:val="SchH1"/>
    <w:uiPriority w:val="98"/>
    <w:rsid w:val="00F3012E"/>
    <w:rPr>
      <w:rFonts w:asciiTheme="minorHAnsi" w:eastAsia="Times New Roman"/>
      <w:b/>
      <w:bCs/>
      <w:sz w:val="22"/>
      <w:szCs w:val="28"/>
      <w:lang w:val="en-GB" w:eastAsia="zh-CN"/>
    </w:rPr>
  </w:style>
  <w:style w:type="character" w:customStyle="1" w:styleId="SchH2Char">
    <w:name w:val="SchH 2 Char"/>
    <w:basedOn w:val="DefaultParagraphFont"/>
    <w:link w:val="SchH2"/>
    <w:uiPriority w:val="98"/>
    <w:rsid w:val="00F3012E"/>
    <w:rPr>
      <w:rFonts w:asciiTheme="minorHAnsi" w:eastAsia="Times New Roman"/>
      <w:b/>
      <w:bCs/>
      <w:sz w:val="22"/>
      <w:szCs w:val="28"/>
      <w:lang w:val="en-GB" w:eastAsia="zh-CN"/>
    </w:rPr>
  </w:style>
  <w:style w:type="character" w:customStyle="1" w:styleId="SchH3Char">
    <w:name w:val="SchH 3 Char"/>
    <w:basedOn w:val="DefaultParagraphFont"/>
    <w:link w:val="SchH3"/>
    <w:uiPriority w:val="98"/>
    <w:rsid w:val="00F3012E"/>
    <w:rPr>
      <w:rFonts w:asciiTheme="minorHAnsi" w:eastAsia="Times New Roman"/>
      <w:b/>
      <w:bCs/>
      <w:sz w:val="22"/>
      <w:szCs w:val="28"/>
      <w:lang w:val="en-GB" w:eastAsia="zh-CN"/>
    </w:rPr>
  </w:style>
  <w:style w:type="character" w:customStyle="1" w:styleId="SchH4Char">
    <w:name w:val="SchH 4 Char"/>
    <w:basedOn w:val="DefaultParagraphFont"/>
    <w:link w:val="SchH4"/>
    <w:uiPriority w:val="98"/>
    <w:rsid w:val="00F3012E"/>
    <w:rPr>
      <w:rFonts w:asciiTheme="minorHAnsi" w:eastAsia="Times New Roman"/>
      <w:b/>
      <w:bCs/>
      <w:sz w:val="22"/>
      <w:szCs w:val="28"/>
      <w:lang w:val="en-GB" w:eastAsia="zh-CN"/>
    </w:rPr>
  </w:style>
  <w:style w:type="character" w:customStyle="1" w:styleId="SchH5Char">
    <w:name w:val="SchH 5 Char"/>
    <w:basedOn w:val="DefaultParagraphFont"/>
    <w:link w:val="SchH5"/>
    <w:uiPriority w:val="98"/>
    <w:rsid w:val="00F3012E"/>
    <w:rPr>
      <w:rFonts w:asciiTheme="minorHAnsi" w:eastAsia="Times New Roman"/>
      <w:bCs/>
      <w:sz w:val="22"/>
      <w:szCs w:val="28"/>
      <w:lang w:val="en-GB" w:eastAsia="zh-CN"/>
    </w:rPr>
  </w:style>
  <w:style w:type="character" w:customStyle="1" w:styleId="SchH6Char">
    <w:name w:val="SchH 6 Char"/>
    <w:basedOn w:val="DefaultParagraphFont"/>
    <w:link w:val="SchH6"/>
    <w:uiPriority w:val="98"/>
    <w:rsid w:val="00F3012E"/>
    <w:rPr>
      <w:rFonts w:asciiTheme="minorHAnsi" w:eastAsia="Times New Roman"/>
      <w:bCs/>
      <w:sz w:val="22"/>
      <w:szCs w:val="28"/>
      <w:lang w:val="en-GB" w:eastAsia="zh-CN"/>
    </w:rPr>
  </w:style>
  <w:style w:type="character" w:customStyle="1" w:styleId="SchH7Char">
    <w:name w:val="SchH 7 Char"/>
    <w:basedOn w:val="DefaultParagraphFont"/>
    <w:link w:val="SchH7"/>
    <w:uiPriority w:val="98"/>
    <w:rsid w:val="00F3012E"/>
    <w:rPr>
      <w:rFonts w:asciiTheme="minorHAnsi" w:eastAsia="Times New Roman"/>
      <w:bCs/>
      <w:sz w:val="22"/>
      <w:szCs w:val="28"/>
      <w:lang w:val="en-GB" w:eastAsia="zh-CN"/>
    </w:rPr>
  </w:style>
  <w:style w:type="character" w:customStyle="1" w:styleId="SchH8Char">
    <w:name w:val="SchH 8 Char"/>
    <w:basedOn w:val="DefaultParagraphFont"/>
    <w:link w:val="SchH8"/>
    <w:uiPriority w:val="98"/>
    <w:rsid w:val="00F3012E"/>
    <w:rPr>
      <w:rFonts w:asciiTheme="minorHAnsi" w:eastAsia="Times New Roman"/>
      <w:bCs/>
      <w:sz w:val="22"/>
      <w:szCs w:val="28"/>
      <w:lang w:val="en-GB" w:eastAsia="zh-CN"/>
    </w:rPr>
  </w:style>
  <w:style w:type="character" w:customStyle="1" w:styleId="SchH9Char">
    <w:name w:val="SchH 9 Char"/>
    <w:basedOn w:val="DefaultParagraphFont"/>
    <w:link w:val="SchH9"/>
    <w:uiPriority w:val="98"/>
    <w:rsid w:val="00F3012E"/>
    <w:rPr>
      <w:rFonts w:asciiTheme="minorHAnsi" w:eastAsia="Times New Roman"/>
      <w:bCs/>
      <w:sz w:val="22"/>
      <w:szCs w:val="28"/>
      <w:lang w:val="en-GB" w:eastAsia="zh-CN"/>
    </w:rPr>
  </w:style>
  <w:style w:type="character" w:customStyle="1" w:styleId="SectionChar">
    <w:name w:val="Section Char"/>
    <w:basedOn w:val="DefaultParagraphFont"/>
    <w:link w:val="Section"/>
    <w:uiPriority w:val="7"/>
    <w:rsid w:val="00F3012E"/>
    <w:rPr>
      <w:rFonts w:eastAsia="Times New Roman"/>
      <w:b/>
      <w:bCs/>
      <w:sz w:val="22"/>
      <w:szCs w:val="28"/>
      <w:lang w:val="en-GB" w:eastAsia="zh-CN"/>
    </w:rPr>
  </w:style>
  <w:style w:type="numbering" w:customStyle="1" w:styleId="BMSchedules0">
    <w:name w:val="BMSchedules"/>
    <w:rsid w:val="00F3012E"/>
  </w:style>
  <w:style w:type="numbering" w:customStyle="1" w:styleId="1111110">
    <w:name w:val="111111"/>
    <w:rsid w:val="00F3012E"/>
    <w:pPr>
      <w:numPr>
        <w:numId w:val="31"/>
      </w:numPr>
    </w:pPr>
  </w:style>
  <w:style w:type="numbering" w:customStyle="1" w:styleId="BMIndents">
    <w:name w:val="BMIndents"/>
    <w:rsid w:val="00F3012E"/>
    <w:pPr>
      <w:numPr>
        <w:numId w:val="32"/>
      </w:numPr>
    </w:pPr>
  </w:style>
  <w:style w:type="numbering" w:customStyle="1" w:styleId="BMHeadings0">
    <w:name w:val="BMHeadings"/>
    <w:rsid w:val="00F3012E"/>
  </w:style>
  <w:style w:type="numbering" w:customStyle="1" w:styleId="BMListNumbers0">
    <w:name w:val="BMListNumbers"/>
    <w:rsid w:val="00F3012E"/>
  </w:style>
  <w:style w:type="numbering" w:customStyle="1" w:styleId="BMDefinitions0">
    <w:name w:val="BMDefinitions"/>
    <w:rsid w:val="00F3012E"/>
  </w:style>
  <w:style w:type="numbering" w:customStyle="1" w:styleId="1ai">
    <w:name w:val="1ai"/>
    <w:rsid w:val="00F3012E"/>
    <w:pPr>
      <w:numPr>
        <w:numId w:val="29"/>
      </w:numPr>
    </w:pPr>
  </w:style>
  <w:style w:type="numbering" w:customStyle="1" w:styleId="ArticleSection">
    <w:name w:val="ArticleSection"/>
    <w:rsid w:val="00F3012E"/>
    <w:pPr>
      <w:numPr>
        <w:numId w:val="30"/>
      </w:numPr>
    </w:pPr>
  </w:style>
  <w:style w:type="table" w:customStyle="1" w:styleId="TableHorizontalShaded">
    <w:name w:val="Table Horizontal Shaded"/>
    <w:basedOn w:val="TableNormal"/>
    <w:rsid w:val="00F3012E"/>
    <w:rPr>
      <w:rFonts w:ascii="Arial" w:eastAsia="Times New Roman" w:hAnsi="Arial"/>
      <w:lang w:eastAsia="zh-CN"/>
    </w:rPr>
    <w:tblPr>
      <w:tblInd w:w="113" w:type="dxa"/>
      <w:tblBorders>
        <w:top w:val="single" w:sz="4" w:space="0" w:color="A2AD00" w:themeColor="accent4"/>
        <w:bottom w:val="single" w:sz="4" w:space="0" w:color="A2AD00" w:themeColor="accent4"/>
        <w:insideH w:val="single" w:sz="4" w:space="0" w:color="A2AD00" w:themeColor="accent4"/>
        <w:insideV w:val="single" w:sz="4" w:space="0" w:color="A2AD00"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A2AD00" w:themeFill="accent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881">
      <w:bodyDiv w:val="1"/>
      <w:marLeft w:val="0"/>
      <w:marRight w:val="0"/>
      <w:marTop w:val="0"/>
      <w:marBottom w:val="0"/>
      <w:divBdr>
        <w:top w:val="none" w:sz="0" w:space="0" w:color="auto"/>
        <w:left w:val="none" w:sz="0" w:space="0" w:color="auto"/>
        <w:bottom w:val="none" w:sz="0" w:space="0" w:color="auto"/>
        <w:right w:val="none" w:sz="0" w:space="0" w:color="auto"/>
      </w:divBdr>
    </w:div>
    <w:div w:id="44646110">
      <w:bodyDiv w:val="1"/>
      <w:marLeft w:val="0"/>
      <w:marRight w:val="0"/>
      <w:marTop w:val="0"/>
      <w:marBottom w:val="0"/>
      <w:divBdr>
        <w:top w:val="none" w:sz="0" w:space="0" w:color="auto"/>
        <w:left w:val="none" w:sz="0" w:space="0" w:color="auto"/>
        <w:bottom w:val="none" w:sz="0" w:space="0" w:color="auto"/>
        <w:right w:val="none" w:sz="0" w:space="0" w:color="auto"/>
      </w:divBdr>
    </w:div>
    <w:div w:id="58863517">
      <w:bodyDiv w:val="1"/>
      <w:marLeft w:val="0"/>
      <w:marRight w:val="0"/>
      <w:marTop w:val="0"/>
      <w:marBottom w:val="0"/>
      <w:divBdr>
        <w:top w:val="none" w:sz="0" w:space="0" w:color="auto"/>
        <w:left w:val="none" w:sz="0" w:space="0" w:color="auto"/>
        <w:bottom w:val="none" w:sz="0" w:space="0" w:color="auto"/>
        <w:right w:val="none" w:sz="0" w:space="0" w:color="auto"/>
      </w:divBdr>
    </w:div>
    <w:div w:id="107282580">
      <w:bodyDiv w:val="1"/>
      <w:marLeft w:val="0"/>
      <w:marRight w:val="0"/>
      <w:marTop w:val="0"/>
      <w:marBottom w:val="0"/>
      <w:divBdr>
        <w:top w:val="none" w:sz="0" w:space="0" w:color="auto"/>
        <w:left w:val="none" w:sz="0" w:space="0" w:color="auto"/>
        <w:bottom w:val="none" w:sz="0" w:space="0" w:color="auto"/>
        <w:right w:val="none" w:sz="0" w:space="0" w:color="auto"/>
      </w:divBdr>
    </w:div>
    <w:div w:id="115762459">
      <w:bodyDiv w:val="1"/>
      <w:marLeft w:val="0"/>
      <w:marRight w:val="0"/>
      <w:marTop w:val="0"/>
      <w:marBottom w:val="0"/>
      <w:divBdr>
        <w:top w:val="none" w:sz="0" w:space="0" w:color="auto"/>
        <w:left w:val="none" w:sz="0" w:space="0" w:color="auto"/>
        <w:bottom w:val="none" w:sz="0" w:space="0" w:color="auto"/>
        <w:right w:val="none" w:sz="0" w:space="0" w:color="auto"/>
      </w:divBdr>
    </w:div>
    <w:div w:id="126438430">
      <w:bodyDiv w:val="1"/>
      <w:marLeft w:val="0"/>
      <w:marRight w:val="0"/>
      <w:marTop w:val="0"/>
      <w:marBottom w:val="0"/>
      <w:divBdr>
        <w:top w:val="none" w:sz="0" w:space="0" w:color="auto"/>
        <w:left w:val="none" w:sz="0" w:space="0" w:color="auto"/>
        <w:bottom w:val="none" w:sz="0" w:space="0" w:color="auto"/>
        <w:right w:val="none" w:sz="0" w:space="0" w:color="auto"/>
      </w:divBdr>
    </w:div>
    <w:div w:id="167989781">
      <w:bodyDiv w:val="1"/>
      <w:marLeft w:val="0"/>
      <w:marRight w:val="0"/>
      <w:marTop w:val="0"/>
      <w:marBottom w:val="0"/>
      <w:divBdr>
        <w:top w:val="none" w:sz="0" w:space="0" w:color="auto"/>
        <w:left w:val="none" w:sz="0" w:space="0" w:color="auto"/>
        <w:bottom w:val="none" w:sz="0" w:space="0" w:color="auto"/>
        <w:right w:val="none" w:sz="0" w:space="0" w:color="auto"/>
      </w:divBdr>
    </w:div>
    <w:div w:id="184639718">
      <w:bodyDiv w:val="1"/>
      <w:marLeft w:val="0"/>
      <w:marRight w:val="0"/>
      <w:marTop w:val="0"/>
      <w:marBottom w:val="0"/>
      <w:divBdr>
        <w:top w:val="none" w:sz="0" w:space="0" w:color="auto"/>
        <w:left w:val="none" w:sz="0" w:space="0" w:color="auto"/>
        <w:bottom w:val="none" w:sz="0" w:space="0" w:color="auto"/>
        <w:right w:val="none" w:sz="0" w:space="0" w:color="auto"/>
      </w:divBdr>
    </w:div>
    <w:div w:id="199557796">
      <w:bodyDiv w:val="1"/>
      <w:marLeft w:val="0"/>
      <w:marRight w:val="0"/>
      <w:marTop w:val="0"/>
      <w:marBottom w:val="0"/>
      <w:divBdr>
        <w:top w:val="none" w:sz="0" w:space="0" w:color="auto"/>
        <w:left w:val="none" w:sz="0" w:space="0" w:color="auto"/>
        <w:bottom w:val="none" w:sz="0" w:space="0" w:color="auto"/>
        <w:right w:val="none" w:sz="0" w:space="0" w:color="auto"/>
      </w:divBdr>
    </w:div>
    <w:div w:id="202838679">
      <w:bodyDiv w:val="1"/>
      <w:marLeft w:val="0"/>
      <w:marRight w:val="0"/>
      <w:marTop w:val="0"/>
      <w:marBottom w:val="0"/>
      <w:divBdr>
        <w:top w:val="none" w:sz="0" w:space="0" w:color="auto"/>
        <w:left w:val="none" w:sz="0" w:space="0" w:color="auto"/>
        <w:bottom w:val="none" w:sz="0" w:space="0" w:color="auto"/>
        <w:right w:val="none" w:sz="0" w:space="0" w:color="auto"/>
      </w:divBdr>
    </w:div>
    <w:div w:id="231699055">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320427635">
      <w:bodyDiv w:val="1"/>
      <w:marLeft w:val="0"/>
      <w:marRight w:val="0"/>
      <w:marTop w:val="0"/>
      <w:marBottom w:val="0"/>
      <w:divBdr>
        <w:top w:val="none" w:sz="0" w:space="0" w:color="auto"/>
        <w:left w:val="none" w:sz="0" w:space="0" w:color="auto"/>
        <w:bottom w:val="none" w:sz="0" w:space="0" w:color="auto"/>
        <w:right w:val="none" w:sz="0" w:space="0" w:color="auto"/>
      </w:divBdr>
    </w:div>
    <w:div w:id="327483785">
      <w:bodyDiv w:val="1"/>
      <w:marLeft w:val="0"/>
      <w:marRight w:val="0"/>
      <w:marTop w:val="0"/>
      <w:marBottom w:val="0"/>
      <w:divBdr>
        <w:top w:val="none" w:sz="0" w:space="0" w:color="auto"/>
        <w:left w:val="none" w:sz="0" w:space="0" w:color="auto"/>
        <w:bottom w:val="none" w:sz="0" w:space="0" w:color="auto"/>
        <w:right w:val="none" w:sz="0" w:space="0" w:color="auto"/>
      </w:divBdr>
    </w:div>
    <w:div w:id="342441076">
      <w:bodyDiv w:val="1"/>
      <w:marLeft w:val="0"/>
      <w:marRight w:val="0"/>
      <w:marTop w:val="0"/>
      <w:marBottom w:val="0"/>
      <w:divBdr>
        <w:top w:val="none" w:sz="0" w:space="0" w:color="auto"/>
        <w:left w:val="none" w:sz="0" w:space="0" w:color="auto"/>
        <w:bottom w:val="none" w:sz="0" w:space="0" w:color="auto"/>
        <w:right w:val="none" w:sz="0" w:space="0" w:color="auto"/>
      </w:divBdr>
    </w:div>
    <w:div w:id="345597638">
      <w:bodyDiv w:val="1"/>
      <w:marLeft w:val="0"/>
      <w:marRight w:val="0"/>
      <w:marTop w:val="0"/>
      <w:marBottom w:val="0"/>
      <w:divBdr>
        <w:top w:val="none" w:sz="0" w:space="0" w:color="auto"/>
        <w:left w:val="none" w:sz="0" w:space="0" w:color="auto"/>
        <w:bottom w:val="none" w:sz="0" w:space="0" w:color="auto"/>
        <w:right w:val="none" w:sz="0" w:space="0" w:color="auto"/>
      </w:divBdr>
    </w:div>
    <w:div w:id="359471699">
      <w:bodyDiv w:val="1"/>
      <w:marLeft w:val="0"/>
      <w:marRight w:val="0"/>
      <w:marTop w:val="0"/>
      <w:marBottom w:val="0"/>
      <w:divBdr>
        <w:top w:val="none" w:sz="0" w:space="0" w:color="auto"/>
        <w:left w:val="none" w:sz="0" w:space="0" w:color="auto"/>
        <w:bottom w:val="none" w:sz="0" w:space="0" w:color="auto"/>
        <w:right w:val="none" w:sz="0" w:space="0" w:color="auto"/>
      </w:divBdr>
    </w:div>
    <w:div w:id="423305537">
      <w:bodyDiv w:val="1"/>
      <w:marLeft w:val="0"/>
      <w:marRight w:val="0"/>
      <w:marTop w:val="0"/>
      <w:marBottom w:val="0"/>
      <w:divBdr>
        <w:top w:val="none" w:sz="0" w:space="0" w:color="auto"/>
        <w:left w:val="none" w:sz="0" w:space="0" w:color="auto"/>
        <w:bottom w:val="none" w:sz="0" w:space="0" w:color="auto"/>
        <w:right w:val="none" w:sz="0" w:space="0" w:color="auto"/>
      </w:divBdr>
    </w:div>
    <w:div w:id="442070536">
      <w:bodyDiv w:val="1"/>
      <w:marLeft w:val="0"/>
      <w:marRight w:val="0"/>
      <w:marTop w:val="0"/>
      <w:marBottom w:val="0"/>
      <w:divBdr>
        <w:top w:val="none" w:sz="0" w:space="0" w:color="auto"/>
        <w:left w:val="none" w:sz="0" w:space="0" w:color="auto"/>
        <w:bottom w:val="none" w:sz="0" w:space="0" w:color="auto"/>
        <w:right w:val="none" w:sz="0" w:space="0" w:color="auto"/>
      </w:divBdr>
    </w:div>
    <w:div w:id="471026719">
      <w:bodyDiv w:val="1"/>
      <w:marLeft w:val="0"/>
      <w:marRight w:val="0"/>
      <w:marTop w:val="0"/>
      <w:marBottom w:val="0"/>
      <w:divBdr>
        <w:top w:val="none" w:sz="0" w:space="0" w:color="auto"/>
        <w:left w:val="none" w:sz="0" w:space="0" w:color="auto"/>
        <w:bottom w:val="none" w:sz="0" w:space="0" w:color="auto"/>
        <w:right w:val="none" w:sz="0" w:space="0" w:color="auto"/>
      </w:divBdr>
    </w:div>
    <w:div w:id="490803366">
      <w:bodyDiv w:val="1"/>
      <w:marLeft w:val="0"/>
      <w:marRight w:val="0"/>
      <w:marTop w:val="0"/>
      <w:marBottom w:val="0"/>
      <w:divBdr>
        <w:top w:val="none" w:sz="0" w:space="0" w:color="auto"/>
        <w:left w:val="none" w:sz="0" w:space="0" w:color="auto"/>
        <w:bottom w:val="none" w:sz="0" w:space="0" w:color="auto"/>
        <w:right w:val="none" w:sz="0" w:space="0" w:color="auto"/>
      </w:divBdr>
    </w:div>
    <w:div w:id="513113980">
      <w:bodyDiv w:val="1"/>
      <w:marLeft w:val="0"/>
      <w:marRight w:val="0"/>
      <w:marTop w:val="0"/>
      <w:marBottom w:val="0"/>
      <w:divBdr>
        <w:top w:val="none" w:sz="0" w:space="0" w:color="auto"/>
        <w:left w:val="none" w:sz="0" w:space="0" w:color="auto"/>
        <w:bottom w:val="none" w:sz="0" w:space="0" w:color="auto"/>
        <w:right w:val="none" w:sz="0" w:space="0" w:color="auto"/>
      </w:divBdr>
    </w:div>
    <w:div w:id="527183682">
      <w:bodyDiv w:val="1"/>
      <w:marLeft w:val="0"/>
      <w:marRight w:val="0"/>
      <w:marTop w:val="0"/>
      <w:marBottom w:val="0"/>
      <w:divBdr>
        <w:top w:val="none" w:sz="0" w:space="0" w:color="auto"/>
        <w:left w:val="none" w:sz="0" w:space="0" w:color="auto"/>
        <w:bottom w:val="none" w:sz="0" w:space="0" w:color="auto"/>
        <w:right w:val="none" w:sz="0" w:space="0" w:color="auto"/>
      </w:divBdr>
    </w:div>
    <w:div w:id="535579566">
      <w:bodyDiv w:val="1"/>
      <w:marLeft w:val="0"/>
      <w:marRight w:val="0"/>
      <w:marTop w:val="0"/>
      <w:marBottom w:val="0"/>
      <w:divBdr>
        <w:top w:val="none" w:sz="0" w:space="0" w:color="auto"/>
        <w:left w:val="none" w:sz="0" w:space="0" w:color="auto"/>
        <w:bottom w:val="none" w:sz="0" w:space="0" w:color="auto"/>
        <w:right w:val="none" w:sz="0" w:space="0" w:color="auto"/>
      </w:divBdr>
    </w:div>
    <w:div w:id="601766130">
      <w:bodyDiv w:val="1"/>
      <w:marLeft w:val="0"/>
      <w:marRight w:val="0"/>
      <w:marTop w:val="0"/>
      <w:marBottom w:val="0"/>
      <w:divBdr>
        <w:top w:val="none" w:sz="0" w:space="0" w:color="auto"/>
        <w:left w:val="none" w:sz="0" w:space="0" w:color="auto"/>
        <w:bottom w:val="none" w:sz="0" w:space="0" w:color="auto"/>
        <w:right w:val="none" w:sz="0" w:space="0" w:color="auto"/>
      </w:divBdr>
    </w:div>
    <w:div w:id="671878824">
      <w:bodyDiv w:val="1"/>
      <w:marLeft w:val="0"/>
      <w:marRight w:val="0"/>
      <w:marTop w:val="0"/>
      <w:marBottom w:val="0"/>
      <w:divBdr>
        <w:top w:val="none" w:sz="0" w:space="0" w:color="auto"/>
        <w:left w:val="none" w:sz="0" w:space="0" w:color="auto"/>
        <w:bottom w:val="none" w:sz="0" w:space="0" w:color="auto"/>
        <w:right w:val="none" w:sz="0" w:space="0" w:color="auto"/>
      </w:divBdr>
    </w:div>
    <w:div w:id="682784614">
      <w:bodyDiv w:val="1"/>
      <w:marLeft w:val="0"/>
      <w:marRight w:val="0"/>
      <w:marTop w:val="0"/>
      <w:marBottom w:val="0"/>
      <w:divBdr>
        <w:top w:val="none" w:sz="0" w:space="0" w:color="auto"/>
        <w:left w:val="none" w:sz="0" w:space="0" w:color="auto"/>
        <w:bottom w:val="none" w:sz="0" w:space="0" w:color="auto"/>
        <w:right w:val="none" w:sz="0" w:space="0" w:color="auto"/>
      </w:divBdr>
    </w:div>
    <w:div w:id="699597105">
      <w:bodyDiv w:val="1"/>
      <w:marLeft w:val="0"/>
      <w:marRight w:val="0"/>
      <w:marTop w:val="0"/>
      <w:marBottom w:val="0"/>
      <w:divBdr>
        <w:top w:val="none" w:sz="0" w:space="0" w:color="auto"/>
        <w:left w:val="none" w:sz="0" w:space="0" w:color="auto"/>
        <w:bottom w:val="none" w:sz="0" w:space="0" w:color="auto"/>
        <w:right w:val="none" w:sz="0" w:space="0" w:color="auto"/>
      </w:divBdr>
    </w:div>
    <w:div w:id="710148493">
      <w:bodyDiv w:val="1"/>
      <w:marLeft w:val="0"/>
      <w:marRight w:val="0"/>
      <w:marTop w:val="0"/>
      <w:marBottom w:val="0"/>
      <w:divBdr>
        <w:top w:val="none" w:sz="0" w:space="0" w:color="auto"/>
        <w:left w:val="none" w:sz="0" w:space="0" w:color="auto"/>
        <w:bottom w:val="none" w:sz="0" w:space="0" w:color="auto"/>
        <w:right w:val="none" w:sz="0" w:space="0" w:color="auto"/>
      </w:divBdr>
    </w:div>
    <w:div w:id="736167001">
      <w:bodyDiv w:val="1"/>
      <w:marLeft w:val="0"/>
      <w:marRight w:val="0"/>
      <w:marTop w:val="0"/>
      <w:marBottom w:val="0"/>
      <w:divBdr>
        <w:top w:val="none" w:sz="0" w:space="0" w:color="auto"/>
        <w:left w:val="none" w:sz="0" w:space="0" w:color="auto"/>
        <w:bottom w:val="none" w:sz="0" w:space="0" w:color="auto"/>
        <w:right w:val="none" w:sz="0" w:space="0" w:color="auto"/>
      </w:divBdr>
    </w:div>
    <w:div w:id="797265417">
      <w:bodyDiv w:val="1"/>
      <w:marLeft w:val="0"/>
      <w:marRight w:val="0"/>
      <w:marTop w:val="0"/>
      <w:marBottom w:val="0"/>
      <w:divBdr>
        <w:top w:val="none" w:sz="0" w:space="0" w:color="auto"/>
        <w:left w:val="none" w:sz="0" w:space="0" w:color="auto"/>
        <w:bottom w:val="none" w:sz="0" w:space="0" w:color="auto"/>
        <w:right w:val="none" w:sz="0" w:space="0" w:color="auto"/>
      </w:divBdr>
    </w:div>
    <w:div w:id="823353572">
      <w:bodyDiv w:val="1"/>
      <w:marLeft w:val="0"/>
      <w:marRight w:val="0"/>
      <w:marTop w:val="0"/>
      <w:marBottom w:val="0"/>
      <w:divBdr>
        <w:top w:val="none" w:sz="0" w:space="0" w:color="auto"/>
        <w:left w:val="none" w:sz="0" w:space="0" w:color="auto"/>
        <w:bottom w:val="none" w:sz="0" w:space="0" w:color="auto"/>
        <w:right w:val="none" w:sz="0" w:space="0" w:color="auto"/>
      </w:divBdr>
    </w:div>
    <w:div w:id="831216958">
      <w:bodyDiv w:val="1"/>
      <w:marLeft w:val="0"/>
      <w:marRight w:val="0"/>
      <w:marTop w:val="0"/>
      <w:marBottom w:val="0"/>
      <w:divBdr>
        <w:top w:val="none" w:sz="0" w:space="0" w:color="auto"/>
        <w:left w:val="none" w:sz="0" w:space="0" w:color="auto"/>
        <w:bottom w:val="none" w:sz="0" w:space="0" w:color="auto"/>
        <w:right w:val="none" w:sz="0" w:space="0" w:color="auto"/>
      </w:divBdr>
    </w:div>
    <w:div w:id="860701807">
      <w:bodyDiv w:val="1"/>
      <w:marLeft w:val="0"/>
      <w:marRight w:val="0"/>
      <w:marTop w:val="0"/>
      <w:marBottom w:val="0"/>
      <w:divBdr>
        <w:top w:val="none" w:sz="0" w:space="0" w:color="auto"/>
        <w:left w:val="none" w:sz="0" w:space="0" w:color="auto"/>
        <w:bottom w:val="none" w:sz="0" w:space="0" w:color="auto"/>
        <w:right w:val="none" w:sz="0" w:space="0" w:color="auto"/>
      </w:divBdr>
    </w:div>
    <w:div w:id="873075855">
      <w:bodyDiv w:val="1"/>
      <w:marLeft w:val="0"/>
      <w:marRight w:val="0"/>
      <w:marTop w:val="0"/>
      <w:marBottom w:val="0"/>
      <w:divBdr>
        <w:top w:val="none" w:sz="0" w:space="0" w:color="auto"/>
        <w:left w:val="none" w:sz="0" w:space="0" w:color="auto"/>
        <w:bottom w:val="none" w:sz="0" w:space="0" w:color="auto"/>
        <w:right w:val="none" w:sz="0" w:space="0" w:color="auto"/>
      </w:divBdr>
    </w:div>
    <w:div w:id="873621042">
      <w:bodyDiv w:val="1"/>
      <w:marLeft w:val="0"/>
      <w:marRight w:val="0"/>
      <w:marTop w:val="0"/>
      <w:marBottom w:val="0"/>
      <w:divBdr>
        <w:top w:val="none" w:sz="0" w:space="0" w:color="auto"/>
        <w:left w:val="none" w:sz="0" w:space="0" w:color="auto"/>
        <w:bottom w:val="none" w:sz="0" w:space="0" w:color="auto"/>
        <w:right w:val="none" w:sz="0" w:space="0" w:color="auto"/>
      </w:divBdr>
    </w:div>
    <w:div w:id="881592798">
      <w:bodyDiv w:val="1"/>
      <w:marLeft w:val="0"/>
      <w:marRight w:val="0"/>
      <w:marTop w:val="0"/>
      <w:marBottom w:val="0"/>
      <w:divBdr>
        <w:top w:val="none" w:sz="0" w:space="0" w:color="auto"/>
        <w:left w:val="none" w:sz="0" w:space="0" w:color="auto"/>
        <w:bottom w:val="none" w:sz="0" w:space="0" w:color="auto"/>
        <w:right w:val="none" w:sz="0" w:space="0" w:color="auto"/>
      </w:divBdr>
    </w:div>
    <w:div w:id="915553976">
      <w:bodyDiv w:val="1"/>
      <w:marLeft w:val="0"/>
      <w:marRight w:val="0"/>
      <w:marTop w:val="0"/>
      <w:marBottom w:val="0"/>
      <w:divBdr>
        <w:top w:val="none" w:sz="0" w:space="0" w:color="auto"/>
        <w:left w:val="none" w:sz="0" w:space="0" w:color="auto"/>
        <w:bottom w:val="none" w:sz="0" w:space="0" w:color="auto"/>
        <w:right w:val="none" w:sz="0" w:space="0" w:color="auto"/>
      </w:divBdr>
    </w:div>
    <w:div w:id="926157072">
      <w:bodyDiv w:val="1"/>
      <w:marLeft w:val="0"/>
      <w:marRight w:val="0"/>
      <w:marTop w:val="0"/>
      <w:marBottom w:val="0"/>
      <w:divBdr>
        <w:top w:val="none" w:sz="0" w:space="0" w:color="auto"/>
        <w:left w:val="none" w:sz="0" w:space="0" w:color="auto"/>
        <w:bottom w:val="none" w:sz="0" w:space="0" w:color="auto"/>
        <w:right w:val="none" w:sz="0" w:space="0" w:color="auto"/>
      </w:divBdr>
    </w:div>
    <w:div w:id="926884724">
      <w:bodyDiv w:val="1"/>
      <w:marLeft w:val="0"/>
      <w:marRight w:val="0"/>
      <w:marTop w:val="0"/>
      <w:marBottom w:val="0"/>
      <w:divBdr>
        <w:top w:val="none" w:sz="0" w:space="0" w:color="auto"/>
        <w:left w:val="none" w:sz="0" w:space="0" w:color="auto"/>
        <w:bottom w:val="none" w:sz="0" w:space="0" w:color="auto"/>
        <w:right w:val="none" w:sz="0" w:space="0" w:color="auto"/>
      </w:divBdr>
    </w:div>
    <w:div w:id="956330494">
      <w:bodyDiv w:val="1"/>
      <w:marLeft w:val="0"/>
      <w:marRight w:val="0"/>
      <w:marTop w:val="0"/>
      <w:marBottom w:val="0"/>
      <w:divBdr>
        <w:top w:val="none" w:sz="0" w:space="0" w:color="auto"/>
        <w:left w:val="none" w:sz="0" w:space="0" w:color="auto"/>
        <w:bottom w:val="none" w:sz="0" w:space="0" w:color="auto"/>
        <w:right w:val="none" w:sz="0" w:space="0" w:color="auto"/>
      </w:divBdr>
    </w:div>
    <w:div w:id="991716300">
      <w:bodyDiv w:val="1"/>
      <w:marLeft w:val="0"/>
      <w:marRight w:val="0"/>
      <w:marTop w:val="0"/>
      <w:marBottom w:val="0"/>
      <w:divBdr>
        <w:top w:val="none" w:sz="0" w:space="0" w:color="auto"/>
        <w:left w:val="none" w:sz="0" w:space="0" w:color="auto"/>
        <w:bottom w:val="none" w:sz="0" w:space="0" w:color="auto"/>
        <w:right w:val="none" w:sz="0" w:space="0" w:color="auto"/>
      </w:divBdr>
    </w:div>
    <w:div w:id="1093626152">
      <w:bodyDiv w:val="1"/>
      <w:marLeft w:val="0"/>
      <w:marRight w:val="0"/>
      <w:marTop w:val="0"/>
      <w:marBottom w:val="0"/>
      <w:divBdr>
        <w:top w:val="none" w:sz="0" w:space="0" w:color="auto"/>
        <w:left w:val="none" w:sz="0" w:space="0" w:color="auto"/>
        <w:bottom w:val="none" w:sz="0" w:space="0" w:color="auto"/>
        <w:right w:val="none" w:sz="0" w:space="0" w:color="auto"/>
      </w:divBdr>
    </w:div>
    <w:div w:id="1111822752">
      <w:bodyDiv w:val="1"/>
      <w:marLeft w:val="0"/>
      <w:marRight w:val="0"/>
      <w:marTop w:val="0"/>
      <w:marBottom w:val="0"/>
      <w:divBdr>
        <w:top w:val="none" w:sz="0" w:space="0" w:color="auto"/>
        <w:left w:val="none" w:sz="0" w:space="0" w:color="auto"/>
        <w:bottom w:val="none" w:sz="0" w:space="0" w:color="auto"/>
        <w:right w:val="none" w:sz="0" w:space="0" w:color="auto"/>
      </w:divBdr>
    </w:div>
    <w:div w:id="1158498893">
      <w:bodyDiv w:val="1"/>
      <w:marLeft w:val="0"/>
      <w:marRight w:val="0"/>
      <w:marTop w:val="0"/>
      <w:marBottom w:val="0"/>
      <w:divBdr>
        <w:top w:val="none" w:sz="0" w:space="0" w:color="auto"/>
        <w:left w:val="none" w:sz="0" w:space="0" w:color="auto"/>
        <w:bottom w:val="none" w:sz="0" w:space="0" w:color="auto"/>
        <w:right w:val="none" w:sz="0" w:space="0" w:color="auto"/>
      </w:divBdr>
    </w:div>
    <w:div w:id="1171944059">
      <w:bodyDiv w:val="1"/>
      <w:marLeft w:val="0"/>
      <w:marRight w:val="0"/>
      <w:marTop w:val="0"/>
      <w:marBottom w:val="0"/>
      <w:divBdr>
        <w:top w:val="none" w:sz="0" w:space="0" w:color="auto"/>
        <w:left w:val="none" w:sz="0" w:space="0" w:color="auto"/>
        <w:bottom w:val="none" w:sz="0" w:space="0" w:color="auto"/>
        <w:right w:val="none" w:sz="0" w:space="0" w:color="auto"/>
      </w:divBdr>
    </w:div>
    <w:div w:id="1188644152">
      <w:bodyDiv w:val="1"/>
      <w:marLeft w:val="0"/>
      <w:marRight w:val="0"/>
      <w:marTop w:val="0"/>
      <w:marBottom w:val="0"/>
      <w:divBdr>
        <w:top w:val="none" w:sz="0" w:space="0" w:color="auto"/>
        <w:left w:val="none" w:sz="0" w:space="0" w:color="auto"/>
        <w:bottom w:val="none" w:sz="0" w:space="0" w:color="auto"/>
        <w:right w:val="none" w:sz="0" w:space="0" w:color="auto"/>
      </w:divBdr>
    </w:div>
    <w:div w:id="1207178249">
      <w:bodyDiv w:val="1"/>
      <w:marLeft w:val="0"/>
      <w:marRight w:val="0"/>
      <w:marTop w:val="0"/>
      <w:marBottom w:val="0"/>
      <w:divBdr>
        <w:top w:val="none" w:sz="0" w:space="0" w:color="auto"/>
        <w:left w:val="none" w:sz="0" w:space="0" w:color="auto"/>
        <w:bottom w:val="none" w:sz="0" w:space="0" w:color="auto"/>
        <w:right w:val="none" w:sz="0" w:space="0" w:color="auto"/>
      </w:divBdr>
    </w:div>
    <w:div w:id="1207454724">
      <w:bodyDiv w:val="1"/>
      <w:marLeft w:val="0"/>
      <w:marRight w:val="0"/>
      <w:marTop w:val="0"/>
      <w:marBottom w:val="0"/>
      <w:divBdr>
        <w:top w:val="none" w:sz="0" w:space="0" w:color="auto"/>
        <w:left w:val="none" w:sz="0" w:space="0" w:color="auto"/>
        <w:bottom w:val="none" w:sz="0" w:space="0" w:color="auto"/>
        <w:right w:val="none" w:sz="0" w:space="0" w:color="auto"/>
      </w:divBdr>
    </w:div>
    <w:div w:id="1227379101">
      <w:bodyDiv w:val="1"/>
      <w:marLeft w:val="0"/>
      <w:marRight w:val="0"/>
      <w:marTop w:val="0"/>
      <w:marBottom w:val="0"/>
      <w:divBdr>
        <w:top w:val="none" w:sz="0" w:space="0" w:color="auto"/>
        <w:left w:val="none" w:sz="0" w:space="0" w:color="auto"/>
        <w:bottom w:val="none" w:sz="0" w:space="0" w:color="auto"/>
        <w:right w:val="none" w:sz="0" w:space="0" w:color="auto"/>
      </w:divBdr>
    </w:div>
    <w:div w:id="1238171996">
      <w:bodyDiv w:val="1"/>
      <w:marLeft w:val="0"/>
      <w:marRight w:val="0"/>
      <w:marTop w:val="0"/>
      <w:marBottom w:val="0"/>
      <w:divBdr>
        <w:top w:val="none" w:sz="0" w:space="0" w:color="auto"/>
        <w:left w:val="none" w:sz="0" w:space="0" w:color="auto"/>
        <w:bottom w:val="none" w:sz="0" w:space="0" w:color="auto"/>
        <w:right w:val="none" w:sz="0" w:space="0" w:color="auto"/>
      </w:divBdr>
    </w:div>
    <w:div w:id="1258950824">
      <w:bodyDiv w:val="1"/>
      <w:marLeft w:val="0"/>
      <w:marRight w:val="0"/>
      <w:marTop w:val="0"/>
      <w:marBottom w:val="0"/>
      <w:divBdr>
        <w:top w:val="none" w:sz="0" w:space="0" w:color="auto"/>
        <w:left w:val="none" w:sz="0" w:space="0" w:color="auto"/>
        <w:bottom w:val="none" w:sz="0" w:space="0" w:color="auto"/>
        <w:right w:val="none" w:sz="0" w:space="0" w:color="auto"/>
      </w:divBdr>
    </w:div>
    <w:div w:id="1316372789">
      <w:bodyDiv w:val="1"/>
      <w:marLeft w:val="0"/>
      <w:marRight w:val="0"/>
      <w:marTop w:val="0"/>
      <w:marBottom w:val="0"/>
      <w:divBdr>
        <w:top w:val="none" w:sz="0" w:space="0" w:color="auto"/>
        <w:left w:val="none" w:sz="0" w:space="0" w:color="auto"/>
        <w:bottom w:val="none" w:sz="0" w:space="0" w:color="auto"/>
        <w:right w:val="none" w:sz="0" w:space="0" w:color="auto"/>
      </w:divBdr>
    </w:div>
    <w:div w:id="1342008951">
      <w:bodyDiv w:val="1"/>
      <w:marLeft w:val="0"/>
      <w:marRight w:val="0"/>
      <w:marTop w:val="0"/>
      <w:marBottom w:val="0"/>
      <w:divBdr>
        <w:top w:val="none" w:sz="0" w:space="0" w:color="auto"/>
        <w:left w:val="none" w:sz="0" w:space="0" w:color="auto"/>
        <w:bottom w:val="none" w:sz="0" w:space="0" w:color="auto"/>
        <w:right w:val="none" w:sz="0" w:space="0" w:color="auto"/>
      </w:divBdr>
    </w:div>
    <w:div w:id="1350907532">
      <w:bodyDiv w:val="1"/>
      <w:marLeft w:val="0"/>
      <w:marRight w:val="0"/>
      <w:marTop w:val="0"/>
      <w:marBottom w:val="0"/>
      <w:divBdr>
        <w:top w:val="none" w:sz="0" w:space="0" w:color="auto"/>
        <w:left w:val="none" w:sz="0" w:space="0" w:color="auto"/>
        <w:bottom w:val="none" w:sz="0" w:space="0" w:color="auto"/>
        <w:right w:val="none" w:sz="0" w:space="0" w:color="auto"/>
      </w:divBdr>
    </w:div>
    <w:div w:id="1418332525">
      <w:bodyDiv w:val="1"/>
      <w:marLeft w:val="0"/>
      <w:marRight w:val="0"/>
      <w:marTop w:val="0"/>
      <w:marBottom w:val="0"/>
      <w:divBdr>
        <w:top w:val="none" w:sz="0" w:space="0" w:color="auto"/>
        <w:left w:val="none" w:sz="0" w:space="0" w:color="auto"/>
        <w:bottom w:val="none" w:sz="0" w:space="0" w:color="auto"/>
        <w:right w:val="none" w:sz="0" w:space="0" w:color="auto"/>
      </w:divBdr>
    </w:div>
    <w:div w:id="1420834021">
      <w:bodyDiv w:val="1"/>
      <w:marLeft w:val="0"/>
      <w:marRight w:val="0"/>
      <w:marTop w:val="0"/>
      <w:marBottom w:val="0"/>
      <w:divBdr>
        <w:top w:val="none" w:sz="0" w:space="0" w:color="auto"/>
        <w:left w:val="none" w:sz="0" w:space="0" w:color="auto"/>
        <w:bottom w:val="none" w:sz="0" w:space="0" w:color="auto"/>
        <w:right w:val="none" w:sz="0" w:space="0" w:color="auto"/>
      </w:divBdr>
    </w:div>
    <w:div w:id="1439638013">
      <w:bodyDiv w:val="1"/>
      <w:marLeft w:val="0"/>
      <w:marRight w:val="0"/>
      <w:marTop w:val="0"/>
      <w:marBottom w:val="0"/>
      <w:divBdr>
        <w:top w:val="none" w:sz="0" w:space="0" w:color="auto"/>
        <w:left w:val="none" w:sz="0" w:space="0" w:color="auto"/>
        <w:bottom w:val="none" w:sz="0" w:space="0" w:color="auto"/>
        <w:right w:val="none" w:sz="0" w:space="0" w:color="auto"/>
      </w:divBdr>
    </w:div>
    <w:div w:id="1447970372">
      <w:bodyDiv w:val="1"/>
      <w:marLeft w:val="0"/>
      <w:marRight w:val="0"/>
      <w:marTop w:val="0"/>
      <w:marBottom w:val="0"/>
      <w:divBdr>
        <w:top w:val="none" w:sz="0" w:space="0" w:color="auto"/>
        <w:left w:val="none" w:sz="0" w:space="0" w:color="auto"/>
        <w:bottom w:val="none" w:sz="0" w:space="0" w:color="auto"/>
        <w:right w:val="none" w:sz="0" w:space="0" w:color="auto"/>
      </w:divBdr>
    </w:div>
    <w:div w:id="1453474457">
      <w:bodyDiv w:val="1"/>
      <w:marLeft w:val="0"/>
      <w:marRight w:val="0"/>
      <w:marTop w:val="0"/>
      <w:marBottom w:val="0"/>
      <w:divBdr>
        <w:top w:val="none" w:sz="0" w:space="0" w:color="auto"/>
        <w:left w:val="none" w:sz="0" w:space="0" w:color="auto"/>
        <w:bottom w:val="none" w:sz="0" w:space="0" w:color="auto"/>
        <w:right w:val="none" w:sz="0" w:space="0" w:color="auto"/>
      </w:divBdr>
    </w:div>
    <w:div w:id="1454473209">
      <w:bodyDiv w:val="1"/>
      <w:marLeft w:val="0"/>
      <w:marRight w:val="0"/>
      <w:marTop w:val="0"/>
      <w:marBottom w:val="0"/>
      <w:divBdr>
        <w:top w:val="none" w:sz="0" w:space="0" w:color="auto"/>
        <w:left w:val="none" w:sz="0" w:space="0" w:color="auto"/>
        <w:bottom w:val="none" w:sz="0" w:space="0" w:color="auto"/>
        <w:right w:val="none" w:sz="0" w:space="0" w:color="auto"/>
      </w:divBdr>
    </w:div>
    <w:div w:id="1463620647">
      <w:bodyDiv w:val="1"/>
      <w:marLeft w:val="0"/>
      <w:marRight w:val="0"/>
      <w:marTop w:val="0"/>
      <w:marBottom w:val="0"/>
      <w:divBdr>
        <w:top w:val="none" w:sz="0" w:space="0" w:color="auto"/>
        <w:left w:val="none" w:sz="0" w:space="0" w:color="auto"/>
        <w:bottom w:val="none" w:sz="0" w:space="0" w:color="auto"/>
        <w:right w:val="none" w:sz="0" w:space="0" w:color="auto"/>
      </w:divBdr>
    </w:div>
    <w:div w:id="1507789447">
      <w:bodyDiv w:val="1"/>
      <w:marLeft w:val="0"/>
      <w:marRight w:val="0"/>
      <w:marTop w:val="0"/>
      <w:marBottom w:val="0"/>
      <w:divBdr>
        <w:top w:val="none" w:sz="0" w:space="0" w:color="auto"/>
        <w:left w:val="none" w:sz="0" w:space="0" w:color="auto"/>
        <w:bottom w:val="none" w:sz="0" w:space="0" w:color="auto"/>
        <w:right w:val="none" w:sz="0" w:space="0" w:color="auto"/>
      </w:divBdr>
    </w:div>
    <w:div w:id="1513105786">
      <w:bodyDiv w:val="1"/>
      <w:marLeft w:val="0"/>
      <w:marRight w:val="0"/>
      <w:marTop w:val="0"/>
      <w:marBottom w:val="0"/>
      <w:divBdr>
        <w:top w:val="none" w:sz="0" w:space="0" w:color="auto"/>
        <w:left w:val="none" w:sz="0" w:space="0" w:color="auto"/>
        <w:bottom w:val="none" w:sz="0" w:space="0" w:color="auto"/>
        <w:right w:val="none" w:sz="0" w:space="0" w:color="auto"/>
      </w:divBdr>
    </w:div>
    <w:div w:id="1548838989">
      <w:bodyDiv w:val="1"/>
      <w:marLeft w:val="0"/>
      <w:marRight w:val="0"/>
      <w:marTop w:val="0"/>
      <w:marBottom w:val="0"/>
      <w:divBdr>
        <w:top w:val="none" w:sz="0" w:space="0" w:color="auto"/>
        <w:left w:val="none" w:sz="0" w:space="0" w:color="auto"/>
        <w:bottom w:val="none" w:sz="0" w:space="0" w:color="auto"/>
        <w:right w:val="none" w:sz="0" w:space="0" w:color="auto"/>
      </w:divBdr>
    </w:div>
    <w:div w:id="1552352231">
      <w:bodyDiv w:val="1"/>
      <w:marLeft w:val="0"/>
      <w:marRight w:val="0"/>
      <w:marTop w:val="0"/>
      <w:marBottom w:val="0"/>
      <w:divBdr>
        <w:top w:val="none" w:sz="0" w:space="0" w:color="auto"/>
        <w:left w:val="none" w:sz="0" w:space="0" w:color="auto"/>
        <w:bottom w:val="none" w:sz="0" w:space="0" w:color="auto"/>
        <w:right w:val="none" w:sz="0" w:space="0" w:color="auto"/>
      </w:divBdr>
    </w:div>
    <w:div w:id="1558739945">
      <w:bodyDiv w:val="1"/>
      <w:marLeft w:val="0"/>
      <w:marRight w:val="0"/>
      <w:marTop w:val="0"/>
      <w:marBottom w:val="0"/>
      <w:divBdr>
        <w:top w:val="none" w:sz="0" w:space="0" w:color="auto"/>
        <w:left w:val="none" w:sz="0" w:space="0" w:color="auto"/>
        <w:bottom w:val="none" w:sz="0" w:space="0" w:color="auto"/>
        <w:right w:val="none" w:sz="0" w:space="0" w:color="auto"/>
      </w:divBdr>
    </w:div>
    <w:div w:id="1574047159">
      <w:bodyDiv w:val="1"/>
      <w:marLeft w:val="0"/>
      <w:marRight w:val="0"/>
      <w:marTop w:val="0"/>
      <w:marBottom w:val="0"/>
      <w:divBdr>
        <w:top w:val="none" w:sz="0" w:space="0" w:color="auto"/>
        <w:left w:val="none" w:sz="0" w:space="0" w:color="auto"/>
        <w:bottom w:val="none" w:sz="0" w:space="0" w:color="auto"/>
        <w:right w:val="none" w:sz="0" w:space="0" w:color="auto"/>
      </w:divBdr>
    </w:div>
    <w:div w:id="1605914330">
      <w:bodyDiv w:val="1"/>
      <w:marLeft w:val="0"/>
      <w:marRight w:val="0"/>
      <w:marTop w:val="0"/>
      <w:marBottom w:val="0"/>
      <w:divBdr>
        <w:top w:val="none" w:sz="0" w:space="0" w:color="auto"/>
        <w:left w:val="none" w:sz="0" w:space="0" w:color="auto"/>
        <w:bottom w:val="none" w:sz="0" w:space="0" w:color="auto"/>
        <w:right w:val="none" w:sz="0" w:space="0" w:color="auto"/>
      </w:divBdr>
    </w:div>
    <w:div w:id="1605962776">
      <w:bodyDiv w:val="1"/>
      <w:marLeft w:val="0"/>
      <w:marRight w:val="0"/>
      <w:marTop w:val="0"/>
      <w:marBottom w:val="0"/>
      <w:divBdr>
        <w:top w:val="none" w:sz="0" w:space="0" w:color="auto"/>
        <w:left w:val="none" w:sz="0" w:space="0" w:color="auto"/>
        <w:bottom w:val="none" w:sz="0" w:space="0" w:color="auto"/>
        <w:right w:val="none" w:sz="0" w:space="0" w:color="auto"/>
      </w:divBdr>
    </w:div>
    <w:div w:id="1646086959">
      <w:bodyDiv w:val="1"/>
      <w:marLeft w:val="0"/>
      <w:marRight w:val="0"/>
      <w:marTop w:val="0"/>
      <w:marBottom w:val="0"/>
      <w:divBdr>
        <w:top w:val="none" w:sz="0" w:space="0" w:color="auto"/>
        <w:left w:val="none" w:sz="0" w:space="0" w:color="auto"/>
        <w:bottom w:val="none" w:sz="0" w:space="0" w:color="auto"/>
        <w:right w:val="none" w:sz="0" w:space="0" w:color="auto"/>
      </w:divBdr>
    </w:div>
    <w:div w:id="1650790408">
      <w:bodyDiv w:val="1"/>
      <w:marLeft w:val="0"/>
      <w:marRight w:val="0"/>
      <w:marTop w:val="0"/>
      <w:marBottom w:val="0"/>
      <w:divBdr>
        <w:top w:val="none" w:sz="0" w:space="0" w:color="auto"/>
        <w:left w:val="none" w:sz="0" w:space="0" w:color="auto"/>
        <w:bottom w:val="none" w:sz="0" w:space="0" w:color="auto"/>
        <w:right w:val="none" w:sz="0" w:space="0" w:color="auto"/>
      </w:divBdr>
    </w:div>
    <w:div w:id="1667593253">
      <w:bodyDiv w:val="1"/>
      <w:marLeft w:val="0"/>
      <w:marRight w:val="0"/>
      <w:marTop w:val="0"/>
      <w:marBottom w:val="0"/>
      <w:divBdr>
        <w:top w:val="none" w:sz="0" w:space="0" w:color="auto"/>
        <w:left w:val="none" w:sz="0" w:space="0" w:color="auto"/>
        <w:bottom w:val="none" w:sz="0" w:space="0" w:color="auto"/>
        <w:right w:val="none" w:sz="0" w:space="0" w:color="auto"/>
      </w:divBdr>
    </w:div>
    <w:div w:id="1763988345">
      <w:bodyDiv w:val="1"/>
      <w:marLeft w:val="0"/>
      <w:marRight w:val="0"/>
      <w:marTop w:val="0"/>
      <w:marBottom w:val="0"/>
      <w:divBdr>
        <w:top w:val="none" w:sz="0" w:space="0" w:color="auto"/>
        <w:left w:val="none" w:sz="0" w:space="0" w:color="auto"/>
        <w:bottom w:val="none" w:sz="0" w:space="0" w:color="auto"/>
        <w:right w:val="none" w:sz="0" w:space="0" w:color="auto"/>
      </w:divBdr>
    </w:div>
    <w:div w:id="1770848792">
      <w:bodyDiv w:val="1"/>
      <w:marLeft w:val="0"/>
      <w:marRight w:val="0"/>
      <w:marTop w:val="0"/>
      <w:marBottom w:val="0"/>
      <w:divBdr>
        <w:top w:val="none" w:sz="0" w:space="0" w:color="auto"/>
        <w:left w:val="none" w:sz="0" w:space="0" w:color="auto"/>
        <w:bottom w:val="none" w:sz="0" w:space="0" w:color="auto"/>
        <w:right w:val="none" w:sz="0" w:space="0" w:color="auto"/>
      </w:divBdr>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
    <w:div w:id="1827357492">
      <w:bodyDiv w:val="1"/>
      <w:marLeft w:val="0"/>
      <w:marRight w:val="0"/>
      <w:marTop w:val="0"/>
      <w:marBottom w:val="0"/>
      <w:divBdr>
        <w:top w:val="none" w:sz="0" w:space="0" w:color="auto"/>
        <w:left w:val="none" w:sz="0" w:space="0" w:color="auto"/>
        <w:bottom w:val="none" w:sz="0" w:space="0" w:color="auto"/>
        <w:right w:val="none" w:sz="0" w:space="0" w:color="auto"/>
      </w:divBdr>
    </w:div>
    <w:div w:id="1838377838">
      <w:bodyDiv w:val="1"/>
      <w:marLeft w:val="0"/>
      <w:marRight w:val="0"/>
      <w:marTop w:val="0"/>
      <w:marBottom w:val="0"/>
      <w:divBdr>
        <w:top w:val="none" w:sz="0" w:space="0" w:color="auto"/>
        <w:left w:val="none" w:sz="0" w:space="0" w:color="auto"/>
        <w:bottom w:val="none" w:sz="0" w:space="0" w:color="auto"/>
        <w:right w:val="none" w:sz="0" w:space="0" w:color="auto"/>
      </w:divBdr>
    </w:div>
    <w:div w:id="1839879755">
      <w:bodyDiv w:val="1"/>
      <w:marLeft w:val="0"/>
      <w:marRight w:val="0"/>
      <w:marTop w:val="0"/>
      <w:marBottom w:val="0"/>
      <w:divBdr>
        <w:top w:val="none" w:sz="0" w:space="0" w:color="auto"/>
        <w:left w:val="none" w:sz="0" w:space="0" w:color="auto"/>
        <w:bottom w:val="none" w:sz="0" w:space="0" w:color="auto"/>
        <w:right w:val="none" w:sz="0" w:space="0" w:color="auto"/>
      </w:divBdr>
    </w:div>
    <w:div w:id="1842236127">
      <w:bodyDiv w:val="1"/>
      <w:marLeft w:val="0"/>
      <w:marRight w:val="0"/>
      <w:marTop w:val="0"/>
      <w:marBottom w:val="0"/>
      <w:divBdr>
        <w:top w:val="none" w:sz="0" w:space="0" w:color="auto"/>
        <w:left w:val="none" w:sz="0" w:space="0" w:color="auto"/>
        <w:bottom w:val="none" w:sz="0" w:space="0" w:color="auto"/>
        <w:right w:val="none" w:sz="0" w:space="0" w:color="auto"/>
      </w:divBdr>
    </w:div>
    <w:div w:id="1845708555">
      <w:bodyDiv w:val="1"/>
      <w:marLeft w:val="0"/>
      <w:marRight w:val="0"/>
      <w:marTop w:val="0"/>
      <w:marBottom w:val="0"/>
      <w:divBdr>
        <w:top w:val="none" w:sz="0" w:space="0" w:color="auto"/>
        <w:left w:val="none" w:sz="0" w:space="0" w:color="auto"/>
        <w:bottom w:val="none" w:sz="0" w:space="0" w:color="auto"/>
        <w:right w:val="none" w:sz="0" w:space="0" w:color="auto"/>
      </w:divBdr>
    </w:div>
    <w:div w:id="1857117046">
      <w:bodyDiv w:val="1"/>
      <w:marLeft w:val="0"/>
      <w:marRight w:val="0"/>
      <w:marTop w:val="0"/>
      <w:marBottom w:val="0"/>
      <w:divBdr>
        <w:top w:val="none" w:sz="0" w:space="0" w:color="auto"/>
        <w:left w:val="none" w:sz="0" w:space="0" w:color="auto"/>
        <w:bottom w:val="none" w:sz="0" w:space="0" w:color="auto"/>
        <w:right w:val="none" w:sz="0" w:space="0" w:color="auto"/>
      </w:divBdr>
    </w:div>
    <w:div w:id="1868567695">
      <w:bodyDiv w:val="1"/>
      <w:marLeft w:val="0"/>
      <w:marRight w:val="0"/>
      <w:marTop w:val="0"/>
      <w:marBottom w:val="0"/>
      <w:divBdr>
        <w:top w:val="none" w:sz="0" w:space="0" w:color="auto"/>
        <w:left w:val="none" w:sz="0" w:space="0" w:color="auto"/>
        <w:bottom w:val="none" w:sz="0" w:space="0" w:color="auto"/>
        <w:right w:val="none" w:sz="0" w:space="0" w:color="auto"/>
      </w:divBdr>
    </w:div>
    <w:div w:id="1882132055">
      <w:bodyDiv w:val="1"/>
      <w:marLeft w:val="0"/>
      <w:marRight w:val="0"/>
      <w:marTop w:val="0"/>
      <w:marBottom w:val="0"/>
      <w:divBdr>
        <w:top w:val="none" w:sz="0" w:space="0" w:color="auto"/>
        <w:left w:val="none" w:sz="0" w:space="0" w:color="auto"/>
        <w:bottom w:val="none" w:sz="0" w:space="0" w:color="auto"/>
        <w:right w:val="none" w:sz="0" w:space="0" w:color="auto"/>
      </w:divBdr>
    </w:div>
    <w:div w:id="1906909936">
      <w:bodyDiv w:val="1"/>
      <w:marLeft w:val="0"/>
      <w:marRight w:val="0"/>
      <w:marTop w:val="0"/>
      <w:marBottom w:val="0"/>
      <w:divBdr>
        <w:top w:val="none" w:sz="0" w:space="0" w:color="auto"/>
        <w:left w:val="none" w:sz="0" w:space="0" w:color="auto"/>
        <w:bottom w:val="none" w:sz="0" w:space="0" w:color="auto"/>
        <w:right w:val="none" w:sz="0" w:space="0" w:color="auto"/>
      </w:divBdr>
    </w:div>
    <w:div w:id="1995837291">
      <w:bodyDiv w:val="1"/>
      <w:marLeft w:val="0"/>
      <w:marRight w:val="0"/>
      <w:marTop w:val="0"/>
      <w:marBottom w:val="0"/>
      <w:divBdr>
        <w:top w:val="none" w:sz="0" w:space="0" w:color="auto"/>
        <w:left w:val="none" w:sz="0" w:space="0" w:color="auto"/>
        <w:bottom w:val="none" w:sz="0" w:space="0" w:color="auto"/>
        <w:right w:val="none" w:sz="0" w:space="0" w:color="auto"/>
      </w:divBdr>
    </w:div>
    <w:div w:id="2031368930">
      <w:bodyDiv w:val="1"/>
      <w:marLeft w:val="0"/>
      <w:marRight w:val="0"/>
      <w:marTop w:val="0"/>
      <w:marBottom w:val="0"/>
      <w:divBdr>
        <w:top w:val="none" w:sz="0" w:space="0" w:color="auto"/>
        <w:left w:val="none" w:sz="0" w:space="0" w:color="auto"/>
        <w:bottom w:val="none" w:sz="0" w:space="0" w:color="auto"/>
        <w:right w:val="none" w:sz="0" w:space="0" w:color="auto"/>
      </w:divBdr>
    </w:div>
    <w:div w:id="2056658393">
      <w:bodyDiv w:val="1"/>
      <w:marLeft w:val="0"/>
      <w:marRight w:val="0"/>
      <w:marTop w:val="0"/>
      <w:marBottom w:val="0"/>
      <w:divBdr>
        <w:top w:val="none" w:sz="0" w:space="0" w:color="auto"/>
        <w:left w:val="none" w:sz="0" w:space="0" w:color="auto"/>
        <w:bottom w:val="none" w:sz="0" w:space="0" w:color="auto"/>
        <w:right w:val="none" w:sz="0" w:space="0" w:color="auto"/>
      </w:divBdr>
    </w:div>
    <w:div w:id="2057468201">
      <w:bodyDiv w:val="1"/>
      <w:marLeft w:val="0"/>
      <w:marRight w:val="0"/>
      <w:marTop w:val="0"/>
      <w:marBottom w:val="0"/>
      <w:divBdr>
        <w:top w:val="none" w:sz="0" w:space="0" w:color="auto"/>
        <w:left w:val="none" w:sz="0" w:space="0" w:color="auto"/>
        <w:bottom w:val="none" w:sz="0" w:space="0" w:color="auto"/>
        <w:right w:val="none" w:sz="0" w:space="0" w:color="auto"/>
      </w:divBdr>
    </w:div>
    <w:div w:id="2067222602">
      <w:bodyDiv w:val="1"/>
      <w:marLeft w:val="0"/>
      <w:marRight w:val="0"/>
      <w:marTop w:val="0"/>
      <w:marBottom w:val="0"/>
      <w:divBdr>
        <w:top w:val="none" w:sz="0" w:space="0" w:color="auto"/>
        <w:left w:val="none" w:sz="0" w:space="0" w:color="auto"/>
        <w:bottom w:val="none" w:sz="0" w:space="0" w:color="auto"/>
        <w:right w:val="none" w:sz="0" w:space="0" w:color="auto"/>
      </w:divBdr>
    </w:div>
    <w:div w:id="2075009884">
      <w:bodyDiv w:val="1"/>
      <w:marLeft w:val="0"/>
      <w:marRight w:val="0"/>
      <w:marTop w:val="0"/>
      <w:marBottom w:val="0"/>
      <w:divBdr>
        <w:top w:val="none" w:sz="0" w:space="0" w:color="auto"/>
        <w:left w:val="none" w:sz="0" w:space="0" w:color="auto"/>
        <w:bottom w:val="none" w:sz="0" w:space="0" w:color="auto"/>
        <w:right w:val="none" w:sz="0" w:space="0" w:color="auto"/>
      </w:divBdr>
    </w:div>
    <w:div w:id="21150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404143"/>
      </a:dk1>
      <a:lt1>
        <a:srgbClr val="FFFFFF"/>
      </a:lt1>
      <a:dk2>
        <a:srgbClr val="404144"/>
      </a:dk2>
      <a:lt2>
        <a:srgbClr val="FFFFFF"/>
      </a:lt2>
      <a:accent1>
        <a:srgbClr val="A71930"/>
      </a:accent1>
      <a:accent2>
        <a:srgbClr val="EBB700"/>
      </a:accent2>
      <a:accent3>
        <a:srgbClr val="6773B6"/>
      </a:accent3>
      <a:accent4>
        <a:srgbClr val="A2AD00"/>
      </a:accent4>
      <a:accent5>
        <a:srgbClr val="8B8D8E"/>
      </a:accent5>
      <a:accent6>
        <a:srgbClr val="404143"/>
      </a:accent6>
      <a:hlink>
        <a:srgbClr val="00AEEF"/>
      </a:hlink>
      <a:folHlink>
        <a:srgbClr val="A8BBC6"/>
      </a:folHlink>
    </a:clrScheme>
    <a:fontScheme name="B&amp;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spDef>
    <a:ln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lnDef>
  </a:objectDefaults>
  <a:extraClrSchemeLst>
    <a:extraClrScheme>
      <a:clrScheme name="PowerPoint_blue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PowerPoint_blue 2">
        <a:dk1>
          <a:srgbClr val="404143"/>
        </a:dk1>
        <a:lt1>
          <a:srgbClr val="FFFFFF"/>
        </a:lt1>
        <a:dk2>
          <a:srgbClr val="A50E29"/>
        </a:dk2>
        <a:lt2>
          <a:srgbClr val="404143"/>
        </a:lt2>
        <a:accent1>
          <a:srgbClr val="A50E29"/>
        </a:accent1>
        <a:accent2>
          <a:srgbClr val="C8A004"/>
        </a:accent2>
        <a:accent3>
          <a:srgbClr val="FFFFFF"/>
        </a:accent3>
        <a:accent4>
          <a:srgbClr val="353638"/>
        </a:accent4>
        <a:accent5>
          <a:srgbClr val="CFAAAC"/>
        </a:accent5>
        <a:accent6>
          <a:srgbClr val="B59103"/>
        </a:accent6>
        <a:hlink>
          <a:srgbClr val="546288"/>
        </a:hlink>
        <a:folHlink>
          <a:srgbClr val="7D841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FC5556AD17D4DB929F85475B04455" ma:contentTypeVersion="13" ma:contentTypeDescription="Create a new document." ma:contentTypeScope="" ma:versionID="139c9341f10144348ab48f72482a50c9">
  <xsd:schema xmlns:xsd="http://www.w3.org/2001/XMLSchema" xmlns:xs="http://www.w3.org/2001/XMLSchema" xmlns:p="http://schemas.microsoft.com/office/2006/metadata/properties" xmlns:ns2="23270c9c-e45e-42b6-aea9-300f72c371d8" xmlns:ns3="0d0b48b2-d9af-47f9-bcb5-2ead2bd14af0" targetNamespace="http://schemas.microsoft.com/office/2006/metadata/properties" ma:root="true" ma:fieldsID="77e9d456a2f866a2f7794f061fca714b" ns2:_="" ns3:_="">
    <xsd:import namespace="23270c9c-e45e-42b6-aea9-300f72c371d8"/>
    <xsd:import namespace="0d0b48b2-d9af-47f9-bcb5-2ead2bd14a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70c9c-e45e-42b6-aea9-300f72c37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dfc541-f8d4-4487-b8a8-c1cdd530a1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0b48b2-d9af-47f9-bcb5-2ead2bd14a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8ebb4b-65c1-4a55-abbe-05f564e8835e}" ma:internalName="TaxCatchAll" ma:showField="CatchAllData" ma:web="0d0b48b2-d9af-47f9-bcb5-2ead2bd14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0b48b2-d9af-47f9-bcb5-2ead2bd14af0" xsi:nil="true"/>
    <lcf76f155ced4ddcb4097134ff3c332f xmlns="23270c9c-e45e-42b6-aea9-300f72c371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5DA82E-BC87-4C0E-B1C3-DEB31C882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70c9c-e45e-42b6-aea9-300f72c371d8"/>
    <ds:schemaRef ds:uri="0d0b48b2-d9af-47f9-bcb5-2ead2bd14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EF46E-E3B1-44A6-B448-ACCC6EECD5C3}">
  <ds:schemaRefs>
    <ds:schemaRef ds:uri="http://schemas.microsoft.com/sharepoint/v3/contenttype/forms"/>
  </ds:schemaRefs>
</ds:datastoreItem>
</file>

<file path=customXml/itemProps3.xml><?xml version="1.0" encoding="utf-8"?>
<ds:datastoreItem xmlns:ds="http://schemas.openxmlformats.org/officeDocument/2006/customXml" ds:itemID="{C9846A4B-3034-437D-9764-83DB7512BBA7}">
  <ds:schemaRefs>
    <ds:schemaRef ds:uri="http://schemas.microsoft.com/office/2006/metadata/properties"/>
    <ds:schemaRef ds:uri="http://schemas.microsoft.com/office/infopath/2007/PartnerControls"/>
    <ds:schemaRef ds:uri="0d0b48b2-d9af-47f9-bcb5-2ead2bd14af0"/>
    <ds:schemaRef ds:uri="23270c9c-e45e-42b6-aea9-300f72c371d8"/>
  </ds:schemaRefs>
</ds:datastoreItem>
</file>

<file path=docMetadata/LabelInfo.xml><?xml version="1.0" encoding="utf-8"?>
<clbl:labelList xmlns:clbl="http://schemas.microsoft.com/office/2020/mipLabelMetadata">
  <clbl:label id="{c3813d9e-7998-4cdb-85fa-c58af80ca59e}" enabled="0" method="" siteId="{c3813d9e-7998-4cdb-85fa-c58af80ca59e}" removed="1"/>
</clbl:labelList>
</file>

<file path=docProps/app.xml><?xml version="1.0" encoding="utf-8"?>
<Properties xmlns="http://schemas.openxmlformats.org/officeDocument/2006/extended-properties" xmlns:vt="http://schemas.openxmlformats.org/officeDocument/2006/docPropsVTypes">
  <Template>Blank</Template>
  <TotalTime>13</TotalTime>
  <Pages>32</Pages>
  <Words>16387</Words>
  <Characters>96894</Characters>
  <Application>Microsoft Office Word</Application>
  <DocSecurity>0</DocSecurity>
  <Lines>807</Lines>
  <Paragraphs>226</Paragraphs>
  <ScaleCrop>false</ScaleCrop>
  <Company>Biovica International AB</Company>
  <LinksUpToDate>false</LinksUpToDate>
  <CharactersWithSpaces>113055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 Morén</cp:lastModifiedBy>
  <cp:revision>3</cp:revision>
  <dcterms:created xsi:type="dcterms:W3CDTF">2025-08-21T11:09:00Z</dcterms:created>
  <dcterms:modified xsi:type="dcterms:W3CDTF">2025-08-21T11:22:00Z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rem_Ipsum_Template_String">
    <vt:lpwstr>Loremipsumlolorsitamet</vt:lpwstr>
  </property>
  <property fmtid="{D5CDD505-2E9C-101B-9397-08002B2CF9AE}" pid="3" name="ContentTypeId">
    <vt:lpwstr>0x0101002E9FC5556AD17D4DB929F85475B04455</vt:lpwstr>
  </property>
  <property fmtid="{D5CDD505-2E9C-101B-9397-08002B2CF9AE}" pid="4" name="MediaServiceImageTags">
    <vt:lpwstr/>
  </property>
</Properties>
</file>