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F410" w14:textId="704BE43D" w:rsidR="00AA12B6" w:rsidRPr="00545E05" w:rsidRDefault="00AA12B6" w:rsidP="00AA12B6">
      <w:pPr>
        <w:pStyle w:val="Heading1"/>
        <w:pBdr>
          <w:bottom w:val="single" w:sz="12" w:space="1" w:color="auto"/>
        </w:pBdr>
        <w:spacing w:after="0" w:line="240" w:lineRule="auto"/>
        <w:rPr>
          <w:rFonts w:ascii="Times New Roman" w:hAnsi="Times New Roman"/>
          <w:szCs w:val="22"/>
          <w:lang w:val="sv-SE"/>
        </w:rPr>
      </w:pPr>
      <w:r>
        <w:rPr>
          <w:rFonts w:ascii="Times New Roman" w:hAnsi="Times New Roman"/>
          <w:szCs w:val="22"/>
          <w:lang w:val="sv-SE"/>
        </w:rPr>
        <w:t xml:space="preserve">Förslag </w:t>
      </w:r>
      <w:r w:rsidRPr="00A21500">
        <w:rPr>
          <w:rFonts w:ascii="Times New Roman" w:hAnsi="Times New Roman"/>
          <w:color w:val="000000"/>
          <w:szCs w:val="22"/>
          <w:lang w:val="sv-SE"/>
        </w:rPr>
        <w:t xml:space="preserve">till beslut om </w:t>
      </w:r>
      <w:r>
        <w:rPr>
          <w:rFonts w:ascii="Times New Roman" w:hAnsi="Times New Roman"/>
          <w:color w:val="000000"/>
          <w:szCs w:val="22"/>
          <w:lang w:val="sv-SE"/>
        </w:rPr>
        <w:t xml:space="preserve">implementering av </w:t>
      </w:r>
      <w:r w:rsidRPr="00F33587">
        <w:rPr>
          <w:rFonts w:ascii="Times New Roman" w:hAnsi="Times New Roman"/>
          <w:color w:val="000000"/>
          <w:szCs w:val="22"/>
          <w:lang w:val="sv-SE"/>
        </w:rPr>
        <w:t>ett prestationsaktieprogram</w:t>
      </w:r>
      <w:r>
        <w:rPr>
          <w:rFonts w:ascii="Times New Roman" w:hAnsi="Times New Roman"/>
          <w:color w:val="000000"/>
          <w:szCs w:val="22"/>
          <w:lang w:val="sv-SE"/>
        </w:rPr>
        <w:t xml:space="preserve"> 2025/2028:1</w:t>
      </w:r>
      <w:r w:rsidRPr="00F33587">
        <w:rPr>
          <w:rFonts w:ascii="Times New Roman" w:hAnsi="Times New Roman"/>
          <w:color w:val="000000"/>
          <w:szCs w:val="22"/>
          <w:lang w:val="sv-SE"/>
        </w:rPr>
        <w:t xml:space="preserve"> för </w:t>
      </w:r>
      <w:r>
        <w:rPr>
          <w:rFonts w:ascii="Times New Roman" w:hAnsi="Times New Roman"/>
          <w:color w:val="000000"/>
          <w:szCs w:val="22"/>
          <w:lang w:val="sv-SE"/>
        </w:rPr>
        <w:t>Bolagets styrelse</w:t>
      </w:r>
    </w:p>
    <w:p w14:paraId="2A52C021" w14:textId="5A32495E" w:rsidR="00AA12B6" w:rsidRPr="00545E05" w:rsidRDefault="00AA12B6" w:rsidP="00AA12B6">
      <w:pPr>
        <w:pStyle w:val="Heading1"/>
        <w:pBdr>
          <w:bottom w:val="single" w:sz="12" w:space="1" w:color="auto"/>
        </w:pBdr>
        <w:spacing w:after="0" w:line="240" w:lineRule="auto"/>
        <w:rPr>
          <w:rFonts w:ascii="Times New Roman" w:hAnsi="Times New Roman"/>
          <w:i/>
          <w:szCs w:val="22"/>
        </w:rPr>
      </w:pPr>
      <w:r>
        <w:rPr>
          <w:rFonts w:ascii="Times New Roman" w:hAnsi="Times New Roman"/>
          <w:i/>
          <w:szCs w:val="22"/>
        </w:rPr>
        <w:t>Proposal</w:t>
      </w:r>
      <w:r w:rsidRPr="00A21500">
        <w:rPr>
          <w:rFonts w:ascii="Times New Roman" w:hAnsi="Times New Roman"/>
          <w:i/>
          <w:iCs/>
          <w:color w:val="000000"/>
          <w:szCs w:val="22"/>
          <w:lang w:val="en-US"/>
        </w:rPr>
        <w:t xml:space="preserve"> </w:t>
      </w:r>
      <w:r>
        <w:rPr>
          <w:rFonts w:ascii="Times New Roman" w:hAnsi="Times New Roman"/>
          <w:i/>
          <w:iCs/>
          <w:color w:val="000000"/>
          <w:szCs w:val="22"/>
          <w:lang w:val="en-US"/>
        </w:rPr>
        <w:t xml:space="preserve">for resolution </w:t>
      </w:r>
      <w:r w:rsidRPr="00A21500">
        <w:rPr>
          <w:rFonts w:ascii="Times New Roman" w:hAnsi="Times New Roman"/>
          <w:i/>
          <w:color w:val="000000"/>
          <w:szCs w:val="22"/>
          <w:lang w:val="en-US"/>
        </w:rPr>
        <w:t>regarding</w:t>
      </w:r>
      <w:r w:rsidRPr="00A21500">
        <w:rPr>
          <w:rFonts w:ascii="Times New Roman" w:hAnsi="Times New Roman"/>
          <w:i/>
          <w:iCs/>
          <w:color w:val="000000"/>
          <w:szCs w:val="22"/>
          <w:lang w:val="en-US"/>
        </w:rPr>
        <w:t xml:space="preserve"> </w:t>
      </w:r>
      <w:r>
        <w:rPr>
          <w:rFonts w:ascii="Times New Roman" w:hAnsi="Times New Roman"/>
          <w:i/>
          <w:iCs/>
          <w:color w:val="000000"/>
          <w:szCs w:val="22"/>
          <w:lang w:val="en-US"/>
        </w:rPr>
        <w:t xml:space="preserve">implementation of </w:t>
      </w:r>
      <w:r w:rsidRPr="00F33587">
        <w:rPr>
          <w:rFonts w:ascii="Times New Roman" w:hAnsi="Times New Roman"/>
          <w:i/>
          <w:iCs/>
          <w:color w:val="000000"/>
          <w:szCs w:val="22"/>
          <w:lang w:val="en-US"/>
        </w:rPr>
        <w:t xml:space="preserve">a performance share program </w:t>
      </w:r>
      <w:r>
        <w:rPr>
          <w:rFonts w:ascii="Times New Roman" w:hAnsi="Times New Roman"/>
          <w:i/>
          <w:iCs/>
          <w:color w:val="000000"/>
          <w:szCs w:val="22"/>
          <w:lang w:val="en-US"/>
        </w:rPr>
        <w:t xml:space="preserve">2025/2028:1 </w:t>
      </w:r>
      <w:r w:rsidRPr="00F33587">
        <w:rPr>
          <w:rFonts w:ascii="Times New Roman" w:hAnsi="Times New Roman"/>
          <w:i/>
          <w:iCs/>
          <w:color w:val="000000"/>
          <w:szCs w:val="22"/>
          <w:lang w:val="en-US"/>
        </w:rPr>
        <w:t xml:space="preserve">for </w:t>
      </w:r>
      <w:r>
        <w:rPr>
          <w:rFonts w:ascii="Times New Roman" w:hAnsi="Times New Roman"/>
          <w:i/>
          <w:iCs/>
          <w:color w:val="000000"/>
          <w:szCs w:val="22"/>
          <w:lang w:val="en-US"/>
        </w:rPr>
        <w:t>the Company's board of directors</w:t>
      </w:r>
    </w:p>
    <w:p w14:paraId="43A170AA" w14:textId="77777777" w:rsidR="00AA12B6" w:rsidRDefault="00AA12B6" w:rsidP="00AA12B6">
      <w:pPr>
        <w:pStyle w:val="BodyText"/>
        <w:spacing w:after="0"/>
        <w:rPr>
          <w:szCs w:val="22"/>
        </w:rPr>
      </w:pPr>
    </w:p>
    <w:p w14:paraId="059FDFC4" w14:textId="77777777" w:rsidR="006B1763" w:rsidRPr="008E348A" w:rsidRDefault="006B1763" w:rsidP="006B1763">
      <w:pPr>
        <w:pStyle w:val="BodyText"/>
        <w:spacing w:after="0"/>
        <w:rPr>
          <w:b/>
          <w:bCs/>
          <w:szCs w:val="22"/>
          <w:lang w:val="sv-SE"/>
        </w:rPr>
      </w:pPr>
      <w:r w:rsidRPr="008E348A">
        <w:rPr>
          <w:b/>
          <w:bCs/>
          <w:szCs w:val="22"/>
          <w:lang w:val="sv-SE"/>
        </w:rPr>
        <w:t>Bakgrund och motiv</w:t>
      </w:r>
    </w:p>
    <w:p w14:paraId="615810BB" w14:textId="77777777" w:rsidR="006B1763" w:rsidRPr="008E348A" w:rsidRDefault="006B1763" w:rsidP="006B1763">
      <w:pPr>
        <w:pStyle w:val="BodyText"/>
        <w:spacing w:after="0"/>
        <w:rPr>
          <w:b/>
          <w:bCs/>
          <w:i/>
          <w:iCs/>
          <w:szCs w:val="22"/>
          <w:lang w:val="sv-SE"/>
        </w:rPr>
      </w:pPr>
      <w:proofErr w:type="spellStart"/>
      <w:r w:rsidRPr="008E348A">
        <w:rPr>
          <w:b/>
          <w:bCs/>
          <w:i/>
          <w:iCs/>
          <w:szCs w:val="22"/>
          <w:lang w:val="sv-SE"/>
        </w:rPr>
        <w:t>Background</w:t>
      </w:r>
      <w:proofErr w:type="spellEnd"/>
      <w:r w:rsidRPr="008E348A">
        <w:rPr>
          <w:b/>
          <w:bCs/>
          <w:i/>
          <w:iCs/>
          <w:szCs w:val="22"/>
          <w:lang w:val="sv-SE"/>
        </w:rPr>
        <w:t xml:space="preserve"> and </w:t>
      </w:r>
      <w:proofErr w:type="spellStart"/>
      <w:r w:rsidRPr="008E348A">
        <w:rPr>
          <w:b/>
          <w:bCs/>
          <w:i/>
          <w:iCs/>
          <w:szCs w:val="22"/>
          <w:lang w:val="sv-SE"/>
        </w:rPr>
        <w:t>motive</w:t>
      </w:r>
      <w:proofErr w:type="spellEnd"/>
    </w:p>
    <w:p w14:paraId="0A86CE6C" w14:textId="26537C39" w:rsidR="006B1763" w:rsidRPr="008E348A" w:rsidRDefault="006B1763" w:rsidP="006B1763">
      <w:pPr>
        <w:pStyle w:val="BodyText"/>
        <w:spacing w:after="0"/>
        <w:rPr>
          <w:szCs w:val="22"/>
          <w:lang w:val="sv-SE"/>
        </w:rPr>
      </w:pPr>
      <w:r>
        <w:rPr>
          <w:szCs w:val="22"/>
          <w:lang w:val="sv-SE"/>
        </w:rPr>
        <w:t>Aktieägaren ("</w:t>
      </w:r>
      <w:r w:rsidRPr="006B1763">
        <w:rPr>
          <w:b/>
          <w:bCs/>
          <w:szCs w:val="22"/>
          <w:lang w:val="sv-SE"/>
        </w:rPr>
        <w:t>Aktieägaren</w:t>
      </w:r>
      <w:r>
        <w:rPr>
          <w:szCs w:val="22"/>
          <w:lang w:val="sv-SE"/>
        </w:rPr>
        <w:t>")</w:t>
      </w:r>
      <w:r w:rsidRPr="008E348A">
        <w:rPr>
          <w:szCs w:val="22"/>
          <w:lang w:val="sv-SE"/>
        </w:rPr>
        <w:t xml:space="preserve"> </w:t>
      </w:r>
      <w:r>
        <w:rPr>
          <w:szCs w:val="22"/>
          <w:lang w:val="sv-SE"/>
        </w:rPr>
        <w:t>i</w:t>
      </w:r>
      <w:r w:rsidRPr="008E348A">
        <w:rPr>
          <w:szCs w:val="22"/>
          <w:lang w:val="sv-SE"/>
        </w:rPr>
        <w:t xml:space="preserve"> </w:t>
      </w:r>
      <w:r w:rsidRPr="008E348A">
        <w:rPr>
          <w:bCs/>
          <w:iCs/>
          <w:szCs w:val="22"/>
          <w:lang w:val="sv-SE"/>
        </w:rPr>
        <w:t xml:space="preserve">Biovica International AB, org.nr </w:t>
      </w:r>
      <w:proofErr w:type="gramStart"/>
      <w:r w:rsidRPr="008E348A">
        <w:rPr>
          <w:bCs/>
          <w:iCs/>
          <w:szCs w:val="22"/>
          <w:lang w:val="sv-SE"/>
        </w:rPr>
        <w:t>556774-6150</w:t>
      </w:r>
      <w:proofErr w:type="gramEnd"/>
      <w:r w:rsidRPr="008E348A">
        <w:rPr>
          <w:bCs/>
          <w:iCs/>
          <w:szCs w:val="22"/>
          <w:lang w:val="sv-SE"/>
        </w:rPr>
        <w:t xml:space="preserve"> ("</w:t>
      </w:r>
      <w:r w:rsidRPr="008E348A">
        <w:rPr>
          <w:b/>
          <w:bCs/>
          <w:iCs/>
          <w:szCs w:val="22"/>
          <w:lang w:val="sv-SE"/>
        </w:rPr>
        <w:t>Bolaget</w:t>
      </w:r>
      <w:r w:rsidRPr="008E348A">
        <w:rPr>
          <w:bCs/>
          <w:iCs/>
          <w:szCs w:val="22"/>
          <w:lang w:val="sv-SE"/>
        </w:rPr>
        <w:t>")</w:t>
      </w:r>
      <w:r>
        <w:rPr>
          <w:bCs/>
          <w:iCs/>
          <w:szCs w:val="22"/>
          <w:lang w:val="sv-SE"/>
        </w:rPr>
        <w:t>,</w:t>
      </w:r>
      <w:r w:rsidRPr="008E348A">
        <w:rPr>
          <w:szCs w:val="22"/>
          <w:lang w:val="sv-SE"/>
        </w:rPr>
        <w:t xml:space="preserve"> </w:t>
      </w:r>
      <w:bookmarkStart w:id="0" w:name="_Hlk206169123"/>
      <w:r w:rsidRPr="008E348A">
        <w:rPr>
          <w:szCs w:val="22"/>
          <w:lang w:val="sv-SE"/>
        </w:rPr>
        <w:t xml:space="preserve">föreslår att </w:t>
      </w:r>
      <w:r>
        <w:rPr>
          <w:szCs w:val="22"/>
          <w:lang w:val="sv-SE"/>
        </w:rPr>
        <w:t>årsstämman</w:t>
      </w:r>
      <w:r w:rsidRPr="008E348A">
        <w:rPr>
          <w:szCs w:val="22"/>
          <w:lang w:val="sv-SE"/>
        </w:rPr>
        <w:t xml:space="preserve"> beslutar att </w:t>
      </w:r>
      <w:r>
        <w:rPr>
          <w:szCs w:val="22"/>
          <w:lang w:val="sv-SE"/>
        </w:rPr>
        <w:t>implementera</w:t>
      </w:r>
      <w:r w:rsidRPr="008E348A">
        <w:rPr>
          <w:szCs w:val="22"/>
          <w:lang w:val="sv-SE"/>
        </w:rPr>
        <w:t xml:space="preserve"> ett prestationsaktieprogram för</w:t>
      </w:r>
      <w:r>
        <w:rPr>
          <w:szCs w:val="22"/>
          <w:lang w:val="sv-SE"/>
        </w:rPr>
        <w:t xml:space="preserve"> Bolagets styrelse</w:t>
      </w:r>
      <w:r w:rsidRPr="008E348A">
        <w:rPr>
          <w:szCs w:val="22"/>
          <w:lang w:val="sv-SE"/>
        </w:rPr>
        <w:t xml:space="preserve"> ("</w:t>
      </w:r>
      <w:r w:rsidRPr="008E348A">
        <w:rPr>
          <w:b/>
          <w:bCs/>
          <w:szCs w:val="22"/>
          <w:lang w:val="sv-SE"/>
        </w:rPr>
        <w:t xml:space="preserve">Prestationsaktieprogram </w:t>
      </w:r>
      <w:r>
        <w:rPr>
          <w:b/>
          <w:bCs/>
          <w:szCs w:val="22"/>
          <w:lang w:val="sv-SE"/>
        </w:rPr>
        <w:t>2025/2028:</w:t>
      </w:r>
      <w:r w:rsidR="006E2B36">
        <w:rPr>
          <w:b/>
          <w:bCs/>
          <w:szCs w:val="22"/>
          <w:lang w:val="sv-SE"/>
        </w:rPr>
        <w:t>1</w:t>
      </w:r>
      <w:r w:rsidRPr="008E348A">
        <w:rPr>
          <w:szCs w:val="22"/>
          <w:lang w:val="sv-SE"/>
        </w:rPr>
        <w:t>") i enlighet med nedan.</w:t>
      </w:r>
    </w:p>
    <w:bookmarkEnd w:id="0"/>
    <w:p w14:paraId="70A9BBB4" w14:textId="596E2CBD" w:rsidR="006B1763" w:rsidRPr="008E348A" w:rsidRDefault="006B1763" w:rsidP="006B1763">
      <w:pPr>
        <w:pStyle w:val="BodyText"/>
        <w:rPr>
          <w:i/>
          <w:iCs/>
          <w:szCs w:val="22"/>
          <w:lang w:val="en-US"/>
        </w:rPr>
      </w:pPr>
      <w:r w:rsidRPr="008E348A">
        <w:rPr>
          <w:i/>
          <w:iCs/>
          <w:szCs w:val="22"/>
          <w:lang w:val="en-US"/>
        </w:rPr>
        <w:t xml:space="preserve">The </w:t>
      </w:r>
      <w:r>
        <w:rPr>
          <w:i/>
          <w:iCs/>
          <w:szCs w:val="22"/>
          <w:lang w:val="en-US"/>
        </w:rPr>
        <w:t xml:space="preserve">shareholder </w:t>
      </w:r>
      <w:bookmarkStart w:id="1" w:name="_Hlk206581874"/>
      <w:r w:rsidR="003A7A98" w:rsidRPr="003A7A98">
        <w:rPr>
          <w:i/>
          <w:iCs/>
          <w:szCs w:val="22"/>
          <w:lang w:val="en-US"/>
        </w:rPr>
        <w:t>Mats Danielsson</w:t>
      </w:r>
      <w:bookmarkEnd w:id="1"/>
      <w:r>
        <w:rPr>
          <w:i/>
          <w:iCs/>
          <w:szCs w:val="22"/>
          <w:lang w:val="en-US"/>
        </w:rPr>
        <w:t xml:space="preserve"> (the "</w:t>
      </w:r>
      <w:r>
        <w:rPr>
          <w:b/>
          <w:bCs/>
          <w:i/>
          <w:iCs/>
          <w:szCs w:val="22"/>
          <w:lang w:val="en-US"/>
        </w:rPr>
        <w:t>Shareholder</w:t>
      </w:r>
      <w:r>
        <w:rPr>
          <w:i/>
          <w:iCs/>
          <w:szCs w:val="22"/>
          <w:lang w:val="en-US"/>
        </w:rPr>
        <w:t>")</w:t>
      </w:r>
      <w:r w:rsidRPr="008E348A">
        <w:rPr>
          <w:i/>
          <w:iCs/>
          <w:szCs w:val="22"/>
          <w:lang w:val="en-US"/>
        </w:rPr>
        <w:t xml:space="preserve"> </w:t>
      </w:r>
      <w:r>
        <w:rPr>
          <w:i/>
          <w:iCs/>
          <w:szCs w:val="22"/>
          <w:lang w:val="en-US"/>
        </w:rPr>
        <w:t xml:space="preserve">in </w:t>
      </w:r>
      <w:r w:rsidRPr="008E348A">
        <w:rPr>
          <w:i/>
          <w:szCs w:val="22"/>
          <w:lang w:val="en-US"/>
        </w:rPr>
        <w:t>Biovica International AB, reg. no. 556774-6150 (the "</w:t>
      </w:r>
      <w:r w:rsidRPr="008E348A">
        <w:rPr>
          <w:b/>
          <w:i/>
          <w:szCs w:val="22"/>
          <w:lang w:val="en-US"/>
        </w:rPr>
        <w:t>Company</w:t>
      </w:r>
      <w:r w:rsidRPr="008E348A">
        <w:rPr>
          <w:i/>
          <w:szCs w:val="22"/>
          <w:lang w:val="en-US"/>
        </w:rPr>
        <w:t>")</w:t>
      </w:r>
      <w:r>
        <w:rPr>
          <w:i/>
          <w:szCs w:val="22"/>
          <w:lang w:val="en-US"/>
        </w:rPr>
        <w:t>,</w:t>
      </w:r>
      <w:r w:rsidRPr="008E348A">
        <w:rPr>
          <w:szCs w:val="22"/>
        </w:rPr>
        <w:t xml:space="preserve"> </w:t>
      </w:r>
      <w:r w:rsidRPr="008E348A">
        <w:rPr>
          <w:i/>
          <w:iCs/>
          <w:szCs w:val="22"/>
          <w:lang w:val="en-US"/>
        </w:rPr>
        <w:t xml:space="preserve">proposes that the </w:t>
      </w:r>
      <w:r>
        <w:rPr>
          <w:i/>
          <w:iCs/>
          <w:szCs w:val="22"/>
          <w:lang w:val="en-US"/>
        </w:rPr>
        <w:t>annual general</w:t>
      </w:r>
      <w:r w:rsidRPr="008E348A">
        <w:rPr>
          <w:i/>
          <w:iCs/>
          <w:szCs w:val="22"/>
          <w:lang w:val="en-US"/>
        </w:rPr>
        <w:t xml:space="preserve"> meeting resolves to implement a performance share program </w:t>
      </w:r>
      <w:r>
        <w:rPr>
          <w:i/>
          <w:iCs/>
          <w:szCs w:val="22"/>
          <w:lang w:val="en-US"/>
        </w:rPr>
        <w:t>for the Company's board of directors</w:t>
      </w:r>
      <w:r w:rsidRPr="008E348A">
        <w:rPr>
          <w:i/>
          <w:iCs/>
          <w:szCs w:val="22"/>
          <w:lang w:val="en-US"/>
        </w:rPr>
        <w:t xml:space="preserve"> ("</w:t>
      </w:r>
      <w:r w:rsidRPr="008E348A">
        <w:rPr>
          <w:b/>
          <w:bCs/>
          <w:i/>
          <w:iCs/>
          <w:szCs w:val="22"/>
          <w:lang w:val="en-US"/>
        </w:rPr>
        <w:t xml:space="preserve">Performance Share Program </w:t>
      </w:r>
      <w:r>
        <w:rPr>
          <w:b/>
          <w:bCs/>
          <w:i/>
          <w:iCs/>
          <w:szCs w:val="22"/>
          <w:lang w:val="en-US"/>
        </w:rPr>
        <w:t>2025/2028:</w:t>
      </w:r>
      <w:r w:rsidR="006E2B36">
        <w:rPr>
          <w:b/>
          <w:bCs/>
          <w:i/>
          <w:iCs/>
          <w:szCs w:val="22"/>
          <w:lang w:val="en-US"/>
        </w:rPr>
        <w:t>1</w:t>
      </w:r>
      <w:r w:rsidRPr="008E348A">
        <w:rPr>
          <w:i/>
          <w:iCs/>
          <w:szCs w:val="22"/>
          <w:lang w:val="en-US"/>
        </w:rPr>
        <w:t>") in accordance with below.</w:t>
      </w:r>
    </w:p>
    <w:p w14:paraId="3A92EA9E" w14:textId="78CA3A76" w:rsidR="006B1763" w:rsidRPr="008E348A" w:rsidRDefault="006B1763" w:rsidP="006B1763">
      <w:pPr>
        <w:pStyle w:val="BodyText"/>
        <w:spacing w:after="0"/>
        <w:rPr>
          <w:szCs w:val="22"/>
          <w:lang w:val="sv-SE"/>
        </w:rPr>
      </w:pPr>
      <w:bookmarkStart w:id="2" w:name="_Hlk206169150"/>
      <w:r w:rsidRPr="008E348A">
        <w:rPr>
          <w:szCs w:val="22"/>
          <w:lang w:val="sv-SE"/>
        </w:rPr>
        <w:t xml:space="preserve">Syftet med förslaget är att skapa förutsättningar för att behålla samt öka motivationen hos </w:t>
      </w:r>
      <w:r>
        <w:rPr>
          <w:szCs w:val="22"/>
          <w:lang w:val="sv-SE"/>
        </w:rPr>
        <w:t>styrelsen</w:t>
      </w:r>
      <w:r w:rsidRPr="008E348A">
        <w:rPr>
          <w:szCs w:val="22"/>
          <w:lang w:val="sv-SE"/>
        </w:rPr>
        <w:t xml:space="preserve">. </w:t>
      </w:r>
      <w:r w:rsidR="006E2B36">
        <w:rPr>
          <w:szCs w:val="22"/>
          <w:lang w:val="sv-SE"/>
        </w:rPr>
        <w:t>Aktieägaren</w:t>
      </w:r>
      <w:r w:rsidRPr="008E348A">
        <w:rPr>
          <w:szCs w:val="22"/>
          <w:lang w:val="sv-SE"/>
        </w:rPr>
        <w:t xml:space="preserve"> finner att det ligger i samtliga aktieägares intresse att</w:t>
      </w:r>
      <w:r w:rsidR="006E2B36">
        <w:rPr>
          <w:szCs w:val="22"/>
          <w:lang w:val="sv-SE"/>
        </w:rPr>
        <w:t xml:space="preserve"> styrelseledamöterna</w:t>
      </w:r>
      <w:r w:rsidRPr="008E348A">
        <w:rPr>
          <w:szCs w:val="22"/>
          <w:lang w:val="sv-SE"/>
        </w:rPr>
        <w:t xml:space="preserve">, vilka bedöms vara viktiga för koncernens utveckling, har ett långsiktigt intresse av en god värdeutveckling på aktien i Bolaget. Ett långsiktigt ägarengagemang förväntas stimulera ett ökat intresse för verksamheten och resultatutvecklingen i sin helhet samt höja motivationen för deltagarna och syftar till att uppnå ökad intressegemenskap mellan den deltagande och Bolagets aktieägare. </w:t>
      </w:r>
    </w:p>
    <w:p w14:paraId="313F7D8D" w14:textId="24B0D8E0" w:rsidR="006B1763" w:rsidRPr="008E348A" w:rsidRDefault="006B1763" w:rsidP="006B1763">
      <w:pPr>
        <w:pStyle w:val="BodyText"/>
        <w:rPr>
          <w:szCs w:val="22"/>
          <w:lang w:val="en-US"/>
        </w:rPr>
      </w:pPr>
      <w:r w:rsidRPr="008E348A">
        <w:rPr>
          <w:i/>
          <w:iCs/>
          <w:szCs w:val="22"/>
          <w:lang w:val="en-US"/>
        </w:rPr>
        <w:t xml:space="preserve">The purpose of </w:t>
      </w:r>
      <w:proofErr w:type="gramStart"/>
      <w:r w:rsidRPr="008E348A">
        <w:rPr>
          <w:i/>
          <w:iCs/>
          <w:szCs w:val="22"/>
          <w:lang w:val="en-US"/>
        </w:rPr>
        <w:t>the</w:t>
      </w:r>
      <w:proofErr w:type="gramEnd"/>
      <w:r w:rsidRPr="008E348A">
        <w:rPr>
          <w:i/>
          <w:iCs/>
          <w:szCs w:val="22"/>
          <w:lang w:val="en-US"/>
        </w:rPr>
        <w:t xml:space="preserve"> proposal is to create conditions to retain and increase motivation among </w:t>
      </w:r>
      <w:r>
        <w:rPr>
          <w:i/>
          <w:iCs/>
          <w:szCs w:val="22"/>
          <w:lang w:val="en-US"/>
        </w:rPr>
        <w:t>the board of directors</w:t>
      </w:r>
      <w:r w:rsidRPr="008E348A">
        <w:rPr>
          <w:i/>
          <w:iCs/>
          <w:szCs w:val="22"/>
          <w:lang w:val="en-US"/>
        </w:rPr>
        <w:t xml:space="preserve">. The </w:t>
      </w:r>
      <w:r w:rsidR="006E2B36">
        <w:rPr>
          <w:i/>
          <w:iCs/>
          <w:szCs w:val="22"/>
          <w:lang w:val="en-US"/>
        </w:rPr>
        <w:t>S</w:t>
      </w:r>
      <w:r>
        <w:rPr>
          <w:i/>
          <w:iCs/>
          <w:szCs w:val="22"/>
          <w:lang w:val="en-US"/>
        </w:rPr>
        <w:t>hareholder</w:t>
      </w:r>
      <w:r w:rsidRPr="008E348A">
        <w:rPr>
          <w:i/>
          <w:iCs/>
          <w:szCs w:val="22"/>
          <w:lang w:val="en-US"/>
        </w:rPr>
        <w:t xml:space="preserve"> believes that it is in the interest of all shareholders that </w:t>
      </w:r>
      <w:r w:rsidR="006E2B36">
        <w:rPr>
          <w:i/>
          <w:iCs/>
          <w:szCs w:val="22"/>
          <w:lang w:val="en-US"/>
        </w:rPr>
        <w:t>the board members</w:t>
      </w:r>
      <w:r w:rsidRPr="008E348A">
        <w:rPr>
          <w:i/>
          <w:iCs/>
          <w:szCs w:val="22"/>
          <w:lang w:val="en-US"/>
        </w:rPr>
        <w:t>, which are deemed to be important for the group's development, have a long-term interest in a positive development of the Company's share price. Through the proposed program, a long-term ownership commitment is created, which is expected to stimulate an increased interest in the business and the Company's performance in general.</w:t>
      </w:r>
    </w:p>
    <w:p w14:paraId="6BC04F01" w14:textId="77777777" w:rsidR="006B1763" w:rsidRPr="00280326" w:rsidRDefault="006B1763" w:rsidP="006B1763">
      <w:pPr>
        <w:pStyle w:val="BodyText"/>
        <w:spacing w:after="0"/>
        <w:rPr>
          <w:b/>
          <w:bCs/>
          <w:szCs w:val="22"/>
          <w:lang w:val="sv-SE"/>
        </w:rPr>
      </w:pPr>
      <w:r>
        <w:rPr>
          <w:b/>
          <w:bCs/>
          <w:szCs w:val="22"/>
          <w:lang w:val="sv-SE"/>
        </w:rPr>
        <w:t>Säkringsåtgärder och leverans av aktier</w:t>
      </w:r>
    </w:p>
    <w:p w14:paraId="4BA3CFD3" w14:textId="77777777" w:rsidR="006B1763" w:rsidRPr="00EE396E" w:rsidRDefault="006B1763" w:rsidP="006B1763">
      <w:pPr>
        <w:pStyle w:val="BodyText"/>
        <w:spacing w:after="0"/>
        <w:rPr>
          <w:b/>
          <w:bCs/>
          <w:i/>
          <w:iCs/>
          <w:szCs w:val="22"/>
          <w:lang w:val="sv-SE"/>
        </w:rPr>
      </w:pPr>
      <w:proofErr w:type="spellStart"/>
      <w:r w:rsidRPr="00EE396E">
        <w:rPr>
          <w:b/>
          <w:bCs/>
          <w:i/>
          <w:iCs/>
          <w:szCs w:val="22"/>
          <w:lang w:val="sv-SE"/>
        </w:rPr>
        <w:t>Hedging</w:t>
      </w:r>
      <w:proofErr w:type="spellEnd"/>
      <w:r w:rsidRPr="00EE396E">
        <w:rPr>
          <w:b/>
          <w:bCs/>
          <w:i/>
          <w:iCs/>
          <w:szCs w:val="22"/>
          <w:lang w:val="sv-SE"/>
        </w:rPr>
        <w:t xml:space="preserve"> </w:t>
      </w:r>
      <w:proofErr w:type="spellStart"/>
      <w:r w:rsidRPr="00EE396E">
        <w:rPr>
          <w:b/>
          <w:bCs/>
          <w:i/>
          <w:iCs/>
          <w:szCs w:val="22"/>
          <w:lang w:val="sv-SE"/>
        </w:rPr>
        <w:t>measures</w:t>
      </w:r>
      <w:proofErr w:type="spellEnd"/>
      <w:r w:rsidRPr="00EE396E">
        <w:rPr>
          <w:b/>
          <w:bCs/>
          <w:i/>
          <w:iCs/>
          <w:szCs w:val="22"/>
          <w:lang w:val="sv-SE"/>
        </w:rPr>
        <w:t xml:space="preserve"> and </w:t>
      </w:r>
      <w:proofErr w:type="spellStart"/>
      <w:r w:rsidRPr="00EE396E">
        <w:rPr>
          <w:b/>
          <w:bCs/>
          <w:i/>
          <w:iCs/>
          <w:szCs w:val="22"/>
          <w:lang w:val="sv-SE"/>
        </w:rPr>
        <w:t>delivery</w:t>
      </w:r>
      <w:proofErr w:type="spellEnd"/>
      <w:r w:rsidRPr="00EE396E">
        <w:rPr>
          <w:b/>
          <w:bCs/>
          <w:i/>
          <w:iCs/>
          <w:szCs w:val="22"/>
          <w:lang w:val="sv-SE"/>
        </w:rPr>
        <w:t xml:space="preserve"> of </w:t>
      </w:r>
      <w:proofErr w:type="spellStart"/>
      <w:r w:rsidRPr="00EE396E">
        <w:rPr>
          <w:b/>
          <w:bCs/>
          <w:i/>
          <w:iCs/>
          <w:szCs w:val="22"/>
          <w:lang w:val="sv-SE"/>
        </w:rPr>
        <w:t>shares</w:t>
      </w:r>
      <w:proofErr w:type="spellEnd"/>
    </w:p>
    <w:p w14:paraId="6668B23C" w14:textId="7217825F" w:rsidR="006B1763" w:rsidRPr="008E348A" w:rsidRDefault="006B1763" w:rsidP="006B1763">
      <w:pPr>
        <w:pStyle w:val="BodyText"/>
        <w:spacing w:after="0"/>
        <w:rPr>
          <w:szCs w:val="22"/>
          <w:lang w:val="sv-SE"/>
        </w:rPr>
      </w:pPr>
      <w:r w:rsidRPr="008E348A">
        <w:rPr>
          <w:szCs w:val="22"/>
          <w:lang w:val="sv-SE"/>
        </w:rPr>
        <w:t xml:space="preserve">För att säkerställa Bolagets åtaganden enligt Prestationsaktieprogram </w:t>
      </w:r>
      <w:r>
        <w:rPr>
          <w:szCs w:val="22"/>
          <w:lang w:val="sv-SE"/>
        </w:rPr>
        <w:t>2025/2028:</w:t>
      </w:r>
      <w:r w:rsidR="006E2B36">
        <w:rPr>
          <w:szCs w:val="22"/>
          <w:lang w:val="sv-SE"/>
        </w:rPr>
        <w:t>1</w:t>
      </w:r>
      <w:r w:rsidRPr="008E348A">
        <w:rPr>
          <w:szCs w:val="22"/>
          <w:lang w:val="sv-SE"/>
        </w:rPr>
        <w:t xml:space="preserve"> föreslår </w:t>
      </w:r>
      <w:r w:rsidR="006E2B36">
        <w:rPr>
          <w:szCs w:val="22"/>
          <w:lang w:val="sv-SE"/>
        </w:rPr>
        <w:t>Aktieägaren</w:t>
      </w:r>
      <w:r w:rsidRPr="008E348A">
        <w:rPr>
          <w:szCs w:val="22"/>
          <w:lang w:val="sv-SE"/>
        </w:rPr>
        <w:t xml:space="preserve"> även att </w:t>
      </w:r>
      <w:r>
        <w:rPr>
          <w:szCs w:val="22"/>
          <w:lang w:val="sv-SE"/>
        </w:rPr>
        <w:t>årsstämman</w:t>
      </w:r>
      <w:r w:rsidRPr="008E348A">
        <w:rPr>
          <w:szCs w:val="22"/>
          <w:lang w:val="sv-SE"/>
        </w:rPr>
        <w:t xml:space="preserve"> beslutar om en emission av teckningsoptioner samt godkännande av överlåtelse av teckningsoptioner i enlighet med vad som framgår av </w:t>
      </w:r>
      <w:r>
        <w:rPr>
          <w:szCs w:val="22"/>
          <w:u w:val="single"/>
          <w:lang w:val="sv-SE"/>
        </w:rPr>
        <w:t xml:space="preserve">Bilaga </w:t>
      </w:r>
      <w:r w:rsidR="006E2B36">
        <w:rPr>
          <w:szCs w:val="22"/>
          <w:u w:val="single"/>
          <w:lang w:val="sv-SE"/>
        </w:rPr>
        <w:t>3</w:t>
      </w:r>
      <w:r w:rsidRPr="008E348A">
        <w:rPr>
          <w:szCs w:val="22"/>
          <w:u w:val="single"/>
          <w:lang w:val="sv-SE"/>
        </w:rPr>
        <w:t>b</w:t>
      </w:r>
      <w:r w:rsidRPr="008E348A">
        <w:rPr>
          <w:szCs w:val="22"/>
          <w:lang w:val="sv-SE"/>
        </w:rPr>
        <w:t>.</w:t>
      </w:r>
      <w:r>
        <w:rPr>
          <w:szCs w:val="22"/>
          <w:lang w:val="sv-SE"/>
        </w:rPr>
        <w:t xml:space="preserve"> </w:t>
      </w:r>
      <w:r w:rsidRPr="00280326">
        <w:rPr>
          <w:szCs w:val="22"/>
          <w:lang w:val="sv-SE"/>
        </w:rPr>
        <w:t xml:space="preserve">Teckningsoptionerna ska tecknas Bolaget eller annat koncernbolag, vilka ska åta sig att överlåta teckningsoptionerna till deltagarna för att täcka det antal aktier som </w:t>
      </w:r>
      <w:r>
        <w:rPr>
          <w:szCs w:val="22"/>
          <w:lang w:val="sv-SE"/>
        </w:rPr>
        <w:t>Prestationsaktier</w:t>
      </w:r>
      <w:r w:rsidRPr="00280326">
        <w:rPr>
          <w:szCs w:val="22"/>
          <w:lang w:val="sv-SE"/>
        </w:rPr>
        <w:t xml:space="preserve"> kan komma att berättiga till.</w:t>
      </w:r>
    </w:p>
    <w:p w14:paraId="598A86CE" w14:textId="5499CF1F" w:rsidR="006B1763" w:rsidRPr="008E348A" w:rsidRDefault="006B1763" w:rsidP="006B1763">
      <w:pPr>
        <w:pStyle w:val="BodyText"/>
        <w:rPr>
          <w:i/>
          <w:iCs/>
          <w:szCs w:val="22"/>
          <w:lang w:val="en-US"/>
        </w:rPr>
      </w:pPr>
      <w:proofErr w:type="gramStart"/>
      <w:r w:rsidRPr="008E348A">
        <w:rPr>
          <w:i/>
          <w:iCs/>
          <w:szCs w:val="22"/>
          <w:lang w:val="en-US"/>
        </w:rPr>
        <w:t>In order to</w:t>
      </w:r>
      <w:proofErr w:type="gramEnd"/>
      <w:r w:rsidRPr="008E348A">
        <w:rPr>
          <w:i/>
          <w:iCs/>
          <w:szCs w:val="22"/>
          <w:lang w:val="en-US"/>
        </w:rPr>
        <w:t xml:space="preserve"> secure the Company</w:t>
      </w:r>
      <w:r>
        <w:rPr>
          <w:i/>
          <w:iCs/>
          <w:szCs w:val="22"/>
          <w:lang w:val="en-US"/>
        </w:rPr>
        <w:t>'</w:t>
      </w:r>
      <w:r w:rsidRPr="008E348A">
        <w:rPr>
          <w:i/>
          <w:iCs/>
          <w:szCs w:val="22"/>
          <w:lang w:val="en-US"/>
        </w:rPr>
        <w:t xml:space="preserve">s commitments according to Performance Share Program </w:t>
      </w:r>
      <w:r>
        <w:rPr>
          <w:i/>
          <w:iCs/>
          <w:szCs w:val="22"/>
          <w:lang w:val="en-US"/>
        </w:rPr>
        <w:t>2025/2028:</w:t>
      </w:r>
      <w:r w:rsidR="006E2B36">
        <w:rPr>
          <w:i/>
          <w:iCs/>
          <w:szCs w:val="22"/>
          <w:lang w:val="en-US"/>
        </w:rPr>
        <w:t>1</w:t>
      </w:r>
      <w:r w:rsidRPr="008E348A">
        <w:rPr>
          <w:i/>
          <w:iCs/>
          <w:szCs w:val="22"/>
          <w:lang w:val="en-US"/>
        </w:rPr>
        <w:t xml:space="preserve">, the </w:t>
      </w:r>
      <w:r w:rsidR="006E2B36">
        <w:rPr>
          <w:i/>
          <w:iCs/>
          <w:szCs w:val="22"/>
          <w:lang w:val="en-US"/>
        </w:rPr>
        <w:t>Shareholder</w:t>
      </w:r>
      <w:r w:rsidRPr="008E348A">
        <w:rPr>
          <w:i/>
          <w:iCs/>
          <w:szCs w:val="22"/>
          <w:lang w:val="en-US"/>
        </w:rPr>
        <w:t xml:space="preserve"> proposes that the </w:t>
      </w:r>
      <w:r>
        <w:rPr>
          <w:i/>
          <w:iCs/>
          <w:szCs w:val="22"/>
          <w:lang w:val="en-US"/>
        </w:rPr>
        <w:t>annual general</w:t>
      </w:r>
      <w:r w:rsidRPr="008E348A">
        <w:rPr>
          <w:i/>
          <w:iCs/>
          <w:szCs w:val="22"/>
          <w:lang w:val="en-US"/>
        </w:rPr>
        <w:t xml:space="preserve"> meeting resolves on a directed issue of warrants and approval of transfer of warrants in accordance with what appears in </w:t>
      </w:r>
      <w:r w:rsidRPr="008E348A">
        <w:rPr>
          <w:i/>
          <w:iCs/>
          <w:szCs w:val="22"/>
          <w:u w:val="single"/>
          <w:lang w:val="en-US"/>
        </w:rPr>
        <w:t>Exhibit</w:t>
      </w:r>
      <w:r>
        <w:rPr>
          <w:i/>
          <w:iCs/>
          <w:szCs w:val="22"/>
          <w:u w:val="single"/>
          <w:lang w:val="en-US"/>
        </w:rPr>
        <w:t> </w:t>
      </w:r>
      <w:r w:rsidR="006E2B36">
        <w:rPr>
          <w:i/>
          <w:iCs/>
          <w:szCs w:val="22"/>
          <w:u w:val="single"/>
          <w:lang w:val="en-US"/>
        </w:rPr>
        <w:t>3</w:t>
      </w:r>
      <w:r w:rsidRPr="008E348A">
        <w:rPr>
          <w:i/>
          <w:iCs/>
          <w:szCs w:val="22"/>
          <w:u w:val="single"/>
          <w:lang w:val="en-US"/>
        </w:rPr>
        <w:t>b</w:t>
      </w:r>
      <w:r w:rsidRPr="008E348A">
        <w:rPr>
          <w:i/>
          <w:iCs/>
          <w:szCs w:val="22"/>
          <w:lang w:val="en-US"/>
        </w:rPr>
        <w:t>.</w:t>
      </w:r>
      <w:r w:rsidRPr="00280326">
        <w:rPr>
          <w:rFonts w:cstheme="minorHAnsi"/>
          <w:i/>
          <w:szCs w:val="22"/>
          <w:lang w:val="en-US"/>
        </w:rPr>
        <w:t xml:space="preserve"> </w:t>
      </w:r>
      <w:r w:rsidRPr="00A71A00">
        <w:rPr>
          <w:rFonts w:cstheme="minorHAnsi"/>
          <w:i/>
          <w:szCs w:val="22"/>
          <w:lang w:val="en-US"/>
        </w:rPr>
        <w:t xml:space="preserve">The warrants shall be subscribed </w:t>
      </w:r>
      <w:proofErr w:type="gramStart"/>
      <w:r w:rsidRPr="00A71A00">
        <w:rPr>
          <w:rFonts w:cstheme="minorHAnsi"/>
          <w:i/>
          <w:szCs w:val="22"/>
          <w:lang w:val="en-US"/>
        </w:rPr>
        <w:t>for</w:t>
      </w:r>
      <w:proofErr w:type="gramEnd"/>
      <w:r w:rsidRPr="00A71A00">
        <w:rPr>
          <w:rFonts w:cstheme="minorHAnsi"/>
          <w:i/>
          <w:szCs w:val="22"/>
          <w:lang w:val="en-US"/>
        </w:rPr>
        <w:t xml:space="preserve"> by the Company or any other group company, which shall undertake to transfer the warrants to the </w:t>
      </w:r>
      <w:r>
        <w:rPr>
          <w:rFonts w:cstheme="minorHAnsi"/>
          <w:i/>
          <w:szCs w:val="22"/>
          <w:lang w:val="en-US"/>
        </w:rPr>
        <w:t>participants</w:t>
      </w:r>
      <w:r w:rsidRPr="00A71A00">
        <w:rPr>
          <w:rFonts w:cstheme="minorHAnsi"/>
          <w:i/>
          <w:szCs w:val="22"/>
          <w:lang w:val="en-US"/>
        </w:rPr>
        <w:t xml:space="preserve"> to cover the number of shares that the </w:t>
      </w:r>
      <w:r>
        <w:rPr>
          <w:rFonts w:cstheme="minorHAnsi"/>
          <w:i/>
          <w:szCs w:val="22"/>
          <w:lang w:val="en-US"/>
        </w:rPr>
        <w:t>Performance</w:t>
      </w:r>
      <w:r w:rsidRPr="00A71A00">
        <w:rPr>
          <w:rFonts w:cstheme="minorHAnsi"/>
          <w:i/>
          <w:szCs w:val="22"/>
          <w:lang w:val="en-US"/>
        </w:rPr>
        <w:t xml:space="preserve"> </w:t>
      </w:r>
      <w:r>
        <w:rPr>
          <w:rFonts w:cstheme="minorHAnsi"/>
          <w:i/>
          <w:szCs w:val="22"/>
          <w:lang w:val="en-US"/>
        </w:rPr>
        <w:t>Shares</w:t>
      </w:r>
      <w:r w:rsidRPr="00A71A00">
        <w:rPr>
          <w:rFonts w:cstheme="minorHAnsi"/>
          <w:i/>
          <w:szCs w:val="22"/>
          <w:lang w:val="en-US"/>
        </w:rPr>
        <w:t xml:space="preserve"> may entitle.</w:t>
      </w:r>
    </w:p>
    <w:p w14:paraId="326272F7" w14:textId="77777777" w:rsidR="006B1763" w:rsidRPr="00280326" w:rsidRDefault="006B1763" w:rsidP="006B1763">
      <w:pPr>
        <w:pStyle w:val="BodyText"/>
        <w:spacing w:after="0"/>
        <w:jc w:val="both"/>
        <w:rPr>
          <w:b/>
          <w:iCs/>
          <w:szCs w:val="22"/>
          <w:lang w:val="sv-SE"/>
        </w:rPr>
      </w:pPr>
      <w:r>
        <w:rPr>
          <w:b/>
          <w:iCs/>
          <w:szCs w:val="22"/>
          <w:lang w:val="sv-SE"/>
        </w:rPr>
        <w:t>Bilagor</w:t>
      </w:r>
      <w:r w:rsidRPr="00280326">
        <w:rPr>
          <w:b/>
          <w:iCs/>
          <w:szCs w:val="22"/>
          <w:lang w:val="sv-SE"/>
        </w:rPr>
        <w:t xml:space="preserve"> och majoritetskrav</w:t>
      </w:r>
    </w:p>
    <w:p w14:paraId="05E13750" w14:textId="77777777" w:rsidR="006B1763" w:rsidRPr="00280326" w:rsidRDefault="006B1763" w:rsidP="006B1763">
      <w:pPr>
        <w:pStyle w:val="BodyText"/>
        <w:spacing w:after="0"/>
        <w:jc w:val="both"/>
        <w:rPr>
          <w:bCs/>
          <w:i/>
          <w:szCs w:val="22"/>
          <w:lang w:val="sv-SE"/>
        </w:rPr>
      </w:pPr>
      <w:proofErr w:type="spellStart"/>
      <w:r>
        <w:rPr>
          <w:b/>
          <w:i/>
          <w:szCs w:val="22"/>
          <w:lang w:val="sv-SE"/>
        </w:rPr>
        <w:t>Exhibits</w:t>
      </w:r>
      <w:proofErr w:type="spellEnd"/>
      <w:r w:rsidRPr="00280326">
        <w:rPr>
          <w:b/>
          <w:i/>
          <w:szCs w:val="22"/>
          <w:lang w:val="sv-SE"/>
        </w:rPr>
        <w:t xml:space="preserve"> and </w:t>
      </w:r>
      <w:proofErr w:type="spellStart"/>
      <w:r w:rsidRPr="00280326">
        <w:rPr>
          <w:b/>
          <w:i/>
          <w:szCs w:val="22"/>
          <w:lang w:val="sv-SE"/>
        </w:rPr>
        <w:t>majority</w:t>
      </w:r>
      <w:proofErr w:type="spellEnd"/>
      <w:r w:rsidRPr="00280326">
        <w:rPr>
          <w:b/>
          <w:i/>
          <w:szCs w:val="22"/>
          <w:lang w:val="sv-SE"/>
        </w:rPr>
        <w:t xml:space="preserve"> </w:t>
      </w:r>
      <w:proofErr w:type="spellStart"/>
      <w:r w:rsidRPr="00280326">
        <w:rPr>
          <w:b/>
          <w:i/>
          <w:szCs w:val="22"/>
          <w:lang w:val="sv-SE"/>
        </w:rPr>
        <w:t>requirements</w:t>
      </w:r>
      <w:proofErr w:type="spellEnd"/>
    </w:p>
    <w:p w14:paraId="2C13B9C7" w14:textId="4B23B581" w:rsidR="006B1763" w:rsidRPr="008E348A" w:rsidRDefault="006B1763" w:rsidP="006E2B36">
      <w:pPr>
        <w:pStyle w:val="BodyText"/>
        <w:spacing w:after="0"/>
        <w:rPr>
          <w:bCs/>
          <w:iCs/>
          <w:szCs w:val="22"/>
          <w:highlight w:val="yellow"/>
          <w:lang w:val="sv-SE"/>
        </w:rPr>
      </w:pPr>
      <w:r w:rsidRPr="008E348A">
        <w:rPr>
          <w:bCs/>
          <w:iCs/>
          <w:szCs w:val="22"/>
          <w:lang w:val="sv-SE"/>
        </w:rPr>
        <w:t xml:space="preserve">Beslut enligt </w:t>
      </w:r>
      <w:r>
        <w:rPr>
          <w:bCs/>
          <w:iCs/>
          <w:szCs w:val="22"/>
          <w:u w:val="single"/>
          <w:lang w:val="sv-SE"/>
        </w:rPr>
        <w:t xml:space="preserve">Bilaga </w:t>
      </w:r>
      <w:r w:rsidR="006E2B36">
        <w:rPr>
          <w:bCs/>
          <w:iCs/>
          <w:szCs w:val="22"/>
          <w:u w:val="single"/>
          <w:lang w:val="sv-SE"/>
        </w:rPr>
        <w:t>3</w:t>
      </w:r>
      <w:r w:rsidRPr="008E348A">
        <w:rPr>
          <w:bCs/>
          <w:iCs/>
          <w:szCs w:val="22"/>
          <w:u w:val="single"/>
          <w:lang w:val="sv-SE"/>
        </w:rPr>
        <w:t>a</w:t>
      </w:r>
      <w:r w:rsidRPr="008E348A">
        <w:rPr>
          <w:bCs/>
          <w:iCs/>
          <w:szCs w:val="22"/>
          <w:lang w:val="sv-SE"/>
        </w:rPr>
        <w:t xml:space="preserve"> och </w:t>
      </w:r>
      <w:r w:rsidR="006E2B36">
        <w:rPr>
          <w:bCs/>
          <w:iCs/>
          <w:szCs w:val="22"/>
          <w:u w:val="single"/>
          <w:lang w:val="sv-SE"/>
        </w:rPr>
        <w:t>3</w:t>
      </w:r>
      <w:r w:rsidRPr="008E348A">
        <w:rPr>
          <w:bCs/>
          <w:iCs/>
          <w:szCs w:val="22"/>
          <w:u w:val="single"/>
          <w:lang w:val="sv-SE"/>
        </w:rPr>
        <w:t>b</w:t>
      </w:r>
      <w:r w:rsidRPr="008E348A">
        <w:rPr>
          <w:bCs/>
          <w:iCs/>
          <w:szCs w:val="22"/>
          <w:lang w:val="sv-SE"/>
        </w:rPr>
        <w:t xml:space="preserve"> nedan ska fattas som ett beslut och är således villkorade av varandra. För giltiga beslut enligt denna </w:t>
      </w:r>
      <w:r>
        <w:rPr>
          <w:bCs/>
          <w:iCs/>
          <w:szCs w:val="22"/>
          <w:u w:val="single"/>
          <w:lang w:val="sv-SE"/>
        </w:rPr>
        <w:t xml:space="preserve">Bilaga </w:t>
      </w:r>
      <w:r w:rsidR="006E2B36">
        <w:rPr>
          <w:bCs/>
          <w:iCs/>
          <w:szCs w:val="22"/>
          <w:u w:val="single"/>
          <w:lang w:val="sv-SE"/>
        </w:rPr>
        <w:t>3</w:t>
      </w:r>
      <w:r w:rsidRPr="008E348A">
        <w:rPr>
          <w:bCs/>
          <w:iCs/>
          <w:szCs w:val="22"/>
          <w:lang w:val="sv-SE"/>
        </w:rPr>
        <w:t xml:space="preserve"> krävs biträde av aktieägare med minst nio tiondelar av såväl de avgivna rösterna som de aktier som är företrädda vid stämman.</w:t>
      </w:r>
    </w:p>
    <w:p w14:paraId="0BCAC63C" w14:textId="593F19CE" w:rsidR="006B1763" w:rsidRPr="008E348A" w:rsidRDefault="006B1763" w:rsidP="006B1763">
      <w:pPr>
        <w:pStyle w:val="BodyText"/>
        <w:rPr>
          <w:i/>
          <w:iCs/>
          <w:szCs w:val="22"/>
          <w:lang w:val="en-US"/>
        </w:rPr>
      </w:pPr>
      <w:r w:rsidRPr="008E348A">
        <w:rPr>
          <w:i/>
          <w:szCs w:val="22"/>
          <w:lang w:val="en-US"/>
        </w:rPr>
        <w:t xml:space="preserve">Resolutions in accordance with </w:t>
      </w:r>
      <w:r w:rsidRPr="008E348A">
        <w:rPr>
          <w:i/>
          <w:szCs w:val="22"/>
          <w:u w:val="single"/>
          <w:lang w:val="en-US"/>
        </w:rPr>
        <w:t>Exhibit</w:t>
      </w:r>
      <w:r>
        <w:rPr>
          <w:i/>
          <w:szCs w:val="22"/>
          <w:u w:val="single"/>
          <w:lang w:val="en-US"/>
        </w:rPr>
        <w:t xml:space="preserve"> </w:t>
      </w:r>
      <w:r w:rsidR="006E2B36">
        <w:rPr>
          <w:i/>
          <w:szCs w:val="22"/>
          <w:u w:val="single"/>
          <w:lang w:val="en-US"/>
        </w:rPr>
        <w:t>3</w:t>
      </w:r>
      <w:r w:rsidRPr="008E348A">
        <w:rPr>
          <w:i/>
          <w:szCs w:val="22"/>
          <w:u w:val="single"/>
          <w:lang w:val="en-US"/>
        </w:rPr>
        <w:t>a</w:t>
      </w:r>
      <w:r w:rsidRPr="008E348A">
        <w:rPr>
          <w:i/>
          <w:szCs w:val="22"/>
          <w:lang w:val="en-US"/>
        </w:rPr>
        <w:t xml:space="preserve"> and </w:t>
      </w:r>
      <w:r w:rsidR="006E2B36">
        <w:rPr>
          <w:i/>
          <w:szCs w:val="22"/>
          <w:u w:val="single"/>
          <w:lang w:val="en-US"/>
        </w:rPr>
        <w:t>3</w:t>
      </w:r>
      <w:r w:rsidRPr="008E348A">
        <w:rPr>
          <w:i/>
          <w:szCs w:val="22"/>
          <w:u w:val="single"/>
          <w:lang w:val="en-US"/>
        </w:rPr>
        <w:t>b</w:t>
      </w:r>
      <w:r w:rsidRPr="008E348A">
        <w:rPr>
          <w:i/>
          <w:szCs w:val="22"/>
          <w:lang w:val="en-US"/>
        </w:rPr>
        <w:t xml:space="preserve"> below are taken as one decision and are thus conditional of each other. </w:t>
      </w:r>
      <w:r w:rsidRPr="008E348A">
        <w:rPr>
          <w:bCs/>
          <w:i/>
          <w:szCs w:val="22"/>
          <w:lang w:val="en-US"/>
        </w:rPr>
        <w:t xml:space="preserve">Resolution in accordance with this </w:t>
      </w:r>
      <w:r w:rsidRPr="008E348A">
        <w:rPr>
          <w:i/>
          <w:szCs w:val="22"/>
          <w:u w:val="single"/>
          <w:lang w:val="en-US"/>
        </w:rPr>
        <w:t xml:space="preserve">Exhibit </w:t>
      </w:r>
      <w:r w:rsidR="006E2B36">
        <w:rPr>
          <w:i/>
          <w:szCs w:val="22"/>
          <w:u w:val="single"/>
          <w:lang w:val="en-US"/>
        </w:rPr>
        <w:t>3</w:t>
      </w:r>
      <w:r w:rsidRPr="008E348A">
        <w:rPr>
          <w:bCs/>
          <w:i/>
          <w:szCs w:val="22"/>
          <w:lang w:val="en-US"/>
        </w:rPr>
        <w:t xml:space="preserve"> requires support by </w:t>
      </w:r>
      <w:r w:rsidRPr="00280326">
        <w:rPr>
          <w:bCs/>
          <w:i/>
          <w:szCs w:val="22"/>
          <w:lang w:val="en-US"/>
        </w:rPr>
        <w:t xml:space="preserve">shareholders holding not less than nine tenths of </w:t>
      </w:r>
      <w:r w:rsidRPr="00280326">
        <w:rPr>
          <w:i/>
          <w:szCs w:val="22"/>
          <w:lang w:val="en-US"/>
        </w:rPr>
        <w:t>both</w:t>
      </w:r>
      <w:r w:rsidRPr="00280326">
        <w:rPr>
          <w:bCs/>
          <w:i/>
          <w:szCs w:val="22"/>
          <w:lang w:val="en-US"/>
        </w:rPr>
        <w:t xml:space="preserve"> the shares voted and of the shares represented</w:t>
      </w:r>
      <w:r w:rsidRPr="008E348A">
        <w:rPr>
          <w:bCs/>
          <w:i/>
          <w:szCs w:val="22"/>
          <w:lang w:val="en-US"/>
        </w:rPr>
        <w:t xml:space="preserve"> at the general meeting.</w:t>
      </w:r>
    </w:p>
    <w:p w14:paraId="7D23B573" w14:textId="462FF954" w:rsidR="006B1763" w:rsidRPr="008E348A" w:rsidRDefault="006B1763" w:rsidP="006B1763">
      <w:pPr>
        <w:pStyle w:val="BodyText"/>
        <w:spacing w:after="0"/>
        <w:rPr>
          <w:szCs w:val="22"/>
          <w:lang w:val="sv-SE"/>
        </w:rPr>
      </w:pPr>
      <w:r w:rsidRPr="008E348A">
        <w:rPr>
          <w:szCs w:val="22"/>
          <w:lang w:val="sv-SE"/>
        </w:rPr>
        <w:t xml:space="preserve">Redogörelse för övriga incitamentsprogram, beredning av förslaget, kostnader för programmet samt effekter på viktiga nyckeltal </w:t>
      </w:r>
      <w:proofErr w:type="gramStart"/>
      <w:r w:rsidRPr="008E348A">
        <w:rPr>
          <w:szCs w:val="22"/>
          <w:lang w:val="sv-SE"/>
        </w:rPr>
        <w:t>etc.</w:t>
      </w:r>
      <w:proofErr w:type="gramEnd"/>
      <w:r w:rsidRPr="008E348A">
        <w:rPr>
          <w:szCs w:val="22"/>
          <w:lang w:val="sv-SE"/>
        </w:rPr>
        <w:t xml:space="preserve"> beskrivs i </w:t>
      </w:r>
      <w:r>
        <w:rPr>
          <w:szCs w:val="22"/>
          <w:u w:val="single"/>
          <w:lang w:val="sv-SE"/>
        </w:rPr>
        <w:t xml:space="preserve">Bilaga </w:t>
      </w:r>
      <w:r w:rsidR="006E2B36">
        <w:rPr>
          <w:szCs w:val="22"/>
          <w:u w:val="single"/>
          <w:lang w:val="sv-SE"/>
        </w:rPr>
        <w:t>5</w:t>
      </w:r>
      <w:r w:rsidRPr="008E348A">
        <w:rPr>
          <w:szCs w:val="22"/>
          <w:u w:val="single"/>
          <w:lang w:val="sv-SE"/>
        </w:rPr>
        <w:t>d</w:t>
      </w:r>
      <w:r w:rsidRPr="008E348A">
        <w:rPr>
          <w:szCs w:val="22"/>
          <w:lang w:val="sv-SE"/>
        </w:rPr>
        <w:t>.</w:t>
      </w:r>
    </w:p>
    <w:bookmarkEnd w:id="2"/>
    <w:p w14:paraId="5DF4EBD2" w14:textId="0A4C0525" w:rsidR="006B1763" w:rsidRPr="008E348A" w:rsidRDefault="006B1763" w:rsidP="006B1763">
      <w:pPr>
        <w:pStyle w:val="BodyText"/>
        <w:rPr>
          <w:i/>
          <w:iCs/>
          <w:szCs w:val="22"/>
          <w:lang w:val="en-US"/>
        </w:rPr>
      </w:pPr>
      <w:r w:rsidRPr="008E348A">
        <w:rPr>
          <w:i/>
          <w:iCs/>
          <w:szCs w:val="22"/>
          <w:lang w:val="en-US"/>
        </w:rPr>
        <w:lastRenderedPageBreak/>
        <w:t xml:space="preserve">A presentation of other incentive programs, preparation of the proposal, costs for the programs and effects on key performance measures etc. are described in </w:t>
      </w:r>
      <w:r w:rsidRPr="008E348A">
        <w:rPr>
          <w:i/>
          <w:iCs/>
          <w:szCs w:val="22"/>
          <w:u w:val="single"/>
          <w:lang w:val="en-US"/>
        </w:rPr>
        <w:t xml:space="preserve">Exhibit </w:t>
      </w:r>
      <w:r w:rsidR="006E2B36">
        <w:rPr>
          <w:i/>
          <w:iCs/>
          <w:szCs w:val="22"/>
          <w:u w:val="single"/>
          <w:lang w:val="en-US"/>
        </w:rPr>
        <w:t>5</w:t>
      </w:r>
      <w:r w:rsidRPr="008E348A">
        <w:rPr>
          <w:i/>
          <w:iCs/>
          <w:szCs w:val="22"/>
          <w:u w:val="single"/>
          <w:lang w:val="en-US"/>
        </w:rPr>
        <w:t>d</w:t>
      </w:r>
      <w:r w:rsidRPr="008E348A">
        <w:rPr>
          <w:i/>
          <w:iCs/>
          <w:szCs w:val="22"/>
          <w:lang w:val="en-US"/>
        </w:rPr>
        <w:t>.</w:t>
      </w:r>
    </w:p>
    <w:p w14:paraId="1807B8A0" w14:textId="77777777" w:rsidR="006B1763" w:rsidRPr="004B663F" w:rsidRDefault="006B1763" w:rsidP="006B1763">
      <w:pPr>
        <w:pStyle w:val="BodyText"/>
        <w:jc w:val="center"/>
        <w:rPr>
          <w:szCs w:val="22"/>
          <w:lang w:val="sv-SE"/>
        </w:rPr>
      </w:pPr>
      <w:r w:rsidRPr="008E348A">
        <w:rPr>
          <w:szCs w:val="22"/>
          <w:lang w:val="sv-SE"/>
        </w:rPr>
        <w:t>* * * * *</w:t>
      </w:r>
      <w:r w:rsidRPr="008E348A">
        <w:rPr>
          <w:b/>
          <w:szCs w:val="22"/>
          <w:highlight w:val="yellow"/>
        </w:rPr>
        <w:br w:type="page"/>
      </w:r>
    </w:p>
    <w:p w14:paraId="7B4283B9" w14:textId="11EEFAAD" w:rsidR="006B1763" w:rsidRPr="008E348A" w:rsidRDefault="006B1763" w:rsidP="006B1763">
      <w:pPr>
        <w:pStyle w:val="BodyText"/>
        <w:jc w:val="right"/>
        <w:rPr>
          <w:b/>
          <w:szCs w:val="22"/>
          <w:lang w:val="sv-SE"/>
        </w:rPr>
      </w:pPr>
      <w:r w:rsidRPr="008E348A">
        <w:rPr>
          <w:b/>
          <w:szCs w:val="22"/>
          <w:lang w:val="sv-SE"/>
        </w:rPr>
        <w:lastRenderedPageBreak/>
        <w:t xml:space="preserve">Bilaga </w:t>
      </w:r>
      <w:r w:rsidR="006E2B36">
        <w:rPr>
          <w:b/>
          <w:szCs w:val="22"/>
          <w:lang w:val="sv-SE"/>
        </w:rPr>
        <w:t>3</w:t>
      </w:r>
      <w:r w:rsidRPr="008E348A">
        <w:rPr>
          <w:b/>
          <w:szCs w:val="22"/>
          <w:lang w:val="sv-SE"/>
        </w:rPr>
        <w:t>a/</w:t>
      </w:r>
      <w:proofErr w:type="spellStart"/>
      <w:r w:rsidRPr="008E348A">
        <w:rPr>
          <w:b/>
          <w:i/>
          <w:szCs w:val="22"/>
          <w:lang w:val="sv-SE"/>
        </w:rPr>
        <w:t>Exhibit</w:t>
      </w:r>
      <w:proofErr w:type="spellEnd"/>
      <w:r w:rsidRPr="008E348A">
        <w:rPr>
          <w:b/>
          <w:i/>
          <w:szCs w:val="22"/>
          <w:lang w:val="sv-SE"/>
        </w:rPr>
        <w:t xml:space="preserve"> </w:t>
      </w:r>
      <w:r w:rsidR="006E2B36">
        <w:rPr>
          <w:b/>
          <w:i/>
          <w:szCs w:val="22"/>
          <w:lang w:val="sv-SE"/>
        </w:rPr>
        <w:t>3</w:t>
      </w:r>
      <w:r w:rsidRPr="008E348A">
        <w:rPr>
          <w:b/>
          <w:i/>
          <w:szCs w:val="22"/>
          <w:lang w:val="sv-SE"/>
        </w:rPr>
        <w:t>a</w:t>
      </w:r>
    </w:p>
    <w:p w14:paraId="41C459DA" w14:textId="3FE44B7E" w:rsidR="006B1763" w:rsidRPr="008E348A" w:rsidRDefault="006B1763" w:rsidP="006B1763">
      <w:pPr>
        <w:pStyle w:val="Heading1"/>
        <w:pBdr>
          <w:bottom w:val="single" w:sz="12" w:space="1" w:color="auto"/>
        </w:pBdr>
        <w:spacing w:after="0" w:line="240" w:lineRule="auto"/>
        <w:jc w:val="both"/>
        <w:rPr>
          <w:rFonts w:ascii="Times New Roman" w:hAnsi="Times New Roman"/>
          <w:szCs w:val="22"/>
          <w:lang w:val="sv-SE"/>
        </w:rPr>
      </w:pPr>
      <w:r>
        <w:rPr>
          <w:rFonts w:ascii="Times New Roman" w:hAnsi="Times New Roman"/>
          <w:szCs w:val="22"/>
          <w:lang w:val="sv-SE"/>
        </w:rPr>
        <w:t>Förslag till b</w:t>
      </w:r>
      <w:r w:rsidRPr="008E348A">
        <w:rPr>
          <w:rFonts w:ascii="Times New Roman" w:hAnsi="Times New Roman"/>
          <w:szCs w:val="22"/>
          <w:lang w:val="sv-SE"/>
        </w:rPr>
        <w:t xml:space="preserve">eslut om </w:t>
      </w:r>
      <w:r>
        <w:rPr>
          <w:rFonts w:ascii="Times New Roman" w:hAnsi="Times New Roman"/>
          <w:szCs w:val="22"/>
          <w:lang w:val="sv-SE"/>
        </w:rPr>
        <w:t xml:space="preserve">implementering av </w:t>
      </w:r>
      <w:r w:rsidRPr="008E348A">
        <w:rPr>
          <w:rFonts w:ascii="Times New Roman" w:hAnsi="Times New Roman"/>
          <w:szCs w:val="22"/>
          <w:lang w:val="sv-SE"/>
        </w:rPr>
        <w:t xml:space="preserve">Prestationsaktieprogram </w:t>
      </w:r>
      <w:r>
        <w:rPr>
          <w:rFonts w:ascii="Times New Roman" w:hAnsi="Times New Roman"/>
          <w:szCs w:val="22"/>
          <w:lang w:val="sv-SE"/>
        </w:rPr>
        <w:t>2025/2028:</w:t>
      </w:r>
      <w:r w:rsidR="006E2B36">
        <w:rPr>
          <w:rFonts w:ascii="Times New Roman" w:hAnsi="Times New Roman"/>
          <w:szCs w:val="22"/>
          <w:lang w:val="sv-SE"/>
        </w:rPr>
        <w:t>1</w:t>
      </w:r>
    </w:p>
    <w:p w14:paraId="24B7CD99" w14:textId="56CEA1E9" w:rsidR="006B1763" w:rsidRPr="008E348A" w:rsidRDefault="006B1763" w:rsidP="006B1763">
      <w:pPr>
        <w:pStyle w:val="Heading1"/>
        <w:pBdr>
          <w:bottom w:val="single" w:sz="12" w:space="1" w:color="auto"/>
        </w:pBdr>
        <w:spacing w:after="0" w:line="240" w:lineRule="auto"/>
        <w:jc w:val="both"/>
        <w:rPr>
          <w:rFonts w:ascii="Times New Roman" w:hAnsi="Times New Roman"/>
          <w:i/>
          <w:szCs w:val="22"/>
        </w:rPr>
      </w:pPr>
      <w:r>
        <w:rPr>
          <w:rFonts w:ascii="Times New Roman" w:hAnsi="Times New Roman"/>
          <w:i/>
          <w:szCs w:val="22"/>
        </w:rPr>
        <w:t xml:space="preserve">Proposal for resolution to implement </w:t>
      </w:r>
      <w:r w:rsidRPr="008E348A">
        <w:rPr>
          <w:rFonts w:ascii="Times New Roman" w:hAnsi="Times New Roman"/>
          <w:i/>
          <w:szCs w:val="22"/>
        </w:rPr>
        <w:t xml:space="preserve">Performance Share Program </w:t>
      </w:r>
      <w:r>
        <w:rPr>
          <w:rFonts w:ascii="Times New Roman" w:hAnsi="Times New Roman"/>
          <w:i/>
          <w:szCs w:val="22"/>
        </w:rPr>
        <w:t>2025/2028:</w:t>
      </w:r>
      <w:r w:rsidR="006E2B36">
        <w:rPr>
          <w:rFonts w:ascii="Times New Roman" w:hAnsi="Times New Roman"/>
          <w:i/>
          <w:szCs w:val="22"/>
        </w:rPr>
        <w:t>1</w:t>
      </w:r>
    </w:p>
    <w:p w14:paraId="3A573269" w14:textId="77777777" w:rsidR="006B1763" w:rsidRPr="008E348A" w:rsidRDefault="006B1763" w:rsidP="006B1763">
      <w:pPr>
        <w:pStyle w:val="BodyText"/>
        <w:spacing w:after="0"/>
        <w:rPr>
          <w:bCs/>
          <w:szCs w:val="22"/>
          <w:lang w:val="en-US"/>
        </w:rPr>
      </w:pPr>
    </w:p>
    <w:p w14:paraId="3E35B917" w14:textId="72C0EE56" w:rsidR="006B1763" w:rsidRPr="008E348A" w:rsidRDefault="006E2B36" w:rsidP="006B1763">
      <w:pPr>
        <w:pStyle w:val="BodyText"/>
        <w:spacing w:after="0"/>
        <w:rPr>
          <w:szCs w:val="22"/>
          <w:lang w:val="sv-SE"/>
        </w:rPr>
      </w:pPr>
      <w:r>
        <w:rPr>
          <w:szCs w:val="22"/>
          <w:lang w:val="sv-SE"/>
        </w:rPr>
        <w:t xml:space="preserve">Aktieägaren </w:t>
      </w:r>
      <w:r w:rsidR="003A7A98" w:rsidRPr="003A7A98">
        <w:rPr>
          <w:szCs w:val="22"/>
          <w:lang w:val="sv-SE"/>
        </w:rPr>
        <w:t>Mats Danielsson</w:t>
      </w:r>
      <w:r>
        <w:rPr>
          <w:szCs w:val="22"/>
          <w:lang w:val="sv-SE"/>
        </w:rPr>
        <w:t xml:space="preserve"> ("</w:t>
      </w:r>
      <w:r>
        <w:rPr>
          <w:b/>
          <w:bCs/>
          <w:szCs w:val="22"/>
          <w:lang w:val="sv-SE"/>
        </w:rPr>
        <w:t>Aktieägaren</w:t>
      </w:r>
      <w:r>
        <w:rPr>
          <w:szCs w:val="22"/>
          <w:lang w:val="sv-SE"/>
        </w:rPr>
        <w:t>")</w:t>
      </w:r>
      <w:r w:rsidR="006B1763" w:rsidRPr="008E348A">
        <w:rPr>
          <w:szCs w:val="22"/>
          <w:lang w:val="sv-SE"/>
        </w:rPr>
        <w:t xml:space="preserve"> </w:t>
      </w:r>
      <w:r>
        <w:rPr>
          <w:szCs w:val="22"/>
          <w:lang w:val="sv-SE"/>
        </w:rPr>
        <w:t>i</w:t>
      </w:r>
      <w:r w:rsidR="006B1763" w:rsidRPr="008E348A">
        <w:rPr>
          <w:szCs w:val="22"/>
          <w:lang w:val="sv-SE"/>
        </w:rPr>
        <w:t xml:space="preserve"> </w:t>
      </w:r>
      <w:r w:rsidR="006B1763" w:rsidRPr="008E348A">
        <w:rPr>
          <w:bCs/>
          <w:iCs/>
          <w:szCs w:val="22"/>
          <w:lang w:val="sv-SE"/>
        </w:rPr>
        <w:t xml:space="preserve">Biovica International AB, org.nr </w:t>
      </w:r>
      <w:proofErr w:type="gramStart"/>
      <w:r w:rsidR="006B1763" w:rsidRPr="008E348A">
        <w:rPr>
          <w:bCs/>
          <w:iCs/>
          <w:szCs w:val="22"/>
          <w:lang w:val="sv-SE"/>
        </w:rPr>
        <w:t>556774-6150</w:t>
      </w:r>
      <w:proofErr w:type="gramEnd"/>
      <w:r w:rsidR="006B1763">
        <w:rPr>
          <w:bCs/>
          <w:iCs/>
          <w:szCs w:val="22"/>
          <w:lang w:val="sv-SE"/>
        </w:rPr>
        <w:t xml:space="preserve"> </w:t>
      </w:r>
      <w:r w:rsidR="006B1763" w:rsidRPr="008E348A">
        <w:rPr>
          <w:bCs/>
          <w:iCs/>
          <w:szCs w:val="22"/>
          <w:lang w:val="sv-SE"/>
        </w:rPr>
        <w:t>("</w:t>
      </w:r>
      <w:r w:rsidR="006B1763" w:rsidRPr="008E348A">
        <w:rPr>
          <w:b/>
          <w:bCs/>
          <w:iCs/>
          <w:szCs w:val="22"/>
          <w:lang w:val="sv-SE"/>
        </w:rPr>
        <w:t>Bolaget</w:t>
      </w:r>
      <w:r w:rsidR="006B1763" w:rsidRPr="008E348A">
        <w:rPr>
          <w:bCs/>
          <w:iCs/>
          <w:szCs w:val="22"/>
          <w:lang w:val="sv-SE"/>
        </w:rPr>
        <w:t>")</w:t>
      </w:r>
      <w:r w:rsidR="006B1763">
        <w:rPr>
          <w:bCs/>
          <w:iCs/>
          <w:szCs w:val="22"/>
          <w:lang w:val="sv-SE"/>
        </w:rPr>
        <w:t>,</w:t>
      </w:r>
      <w:r w:rsidR="006B1763" w:rsidRPr="008E348A">
        <w:rPr>
          <w:szCs w:val="22"/>
          <w:lang w:val="sv-SE"/>
        </w:rPr>
        <w:t xml:space="preserve"> </w:t>
      </w:r>
      <w:bookmarkStart w:id="3" w:name="_Hlk206169352"/>
      <w:r w:rsidR="006B1763" w:rsidRPr="008E348A">
        <w:rPr>
          <w:szCs w:val="22"/>
          <w:lang w:val="sv-SE"/>
        </w:rPr>
        <w:t xml:space="preserve">föreslår att </w:t>
      </w:r>
      <w:r w:rsidR="006B1763">
        <w:rPr>
          <w:szCs w:val="22"/>
          <w:lang w:val="sv-SE"/>
        </w:rPr>
        <w:t>årsstämman</w:t>
      </w:r>
      <w:r w:rsidR="006B1763" w:rsidRPr="008E348A">
        <w:rPr>
          <w:szCs w:val="22"/>
          <w:lang w:val="sv-SE"/>
        </w:rPr>
        <w:t xml:space="preserve"> beslutar om </w:t>
      </w:r>
      <w:r w:rsidR="006B1763">
        <w:rPr>
          <w:szCs w:val="22"/>
          <w:lang w:val="sv-SE"/>
        </w:rPr>
        <w:t>att implementera</w:t>
      </w:r>
      <w:r w:rsidR="006B1763" w:rsidRPr="008E348A">
        <w:rPr>
          <w:szCs w:val="22"/>
          <w:lang w:val="sv-SE"/>
        </w:rPr>
        <w:t xml:space="preserve"> Prestationsaktieprogram </w:t>
      </w:r>
      <w:r w:rsidR="006B1763">
        <w:rPr>
          <w:szCs w:val="22"/>
          <w:lang w:val="sv-SE"/>
        </w:rPr>
        <w:t>2025/2028:</w:t>
      </w:r>
      <w:r>
        <w:rPr>
          <w:szCs w:val="22"/>
          <w:lang w:val="sv-SE"/>
        </w:rPr>
        <w:t>1</w:t>
      </w:r>
      <w:r w:rsidR="006B1763" w:rsidRPr="008E348A">
        <w:rPr>
          <w:szCs w:val="22"/>
          <w:lang w:val="sv-SE"/>
        </w:rPr>
        <w:t xml:space="preserve"> enligt i huvudsak följande riktlinjer</w:t>
      </w:r>
      <w:r w:rsidR="006B1763">
        <w:rPr>
          <w:szCs w:val="22"/>
          <w:lang w:val="sv-SE"/>
        </w:rPr>
        <w:t>.</w:t>
      </w:r>
    </w:p>
    <w:bookmarkEnd w:id="3"/>
    <w:p w14:paraId="2E0A841E" w14:textId="47F32D4F" w:rsidR="006B1763" w:rsidRPr="008E348A" w:rsidRDefault="006E2B36" w:rsidP="006B1763">
      <w:pPr>
        <w:pStyle w:val="BodyText"/>
        <w:spacing w:after="0"/>
        <w:rPr>
          <w:i/>
          <w:iCs/>
          <w:szCs w:val="22"/>
          <w:lang w:val="en-US"/>
        </w:rPr>
      </w:pPr>
      <w:r w:rsidRPr="008E348A">
        <w:rPr>
          <w:i/>
          <w:iCs/>
          <w:szCs w:val="22"/>
          <w:lang w:val="en-US"/>
        </w:rPr>
        <w:t xml:space="preserve">The </w:t>
      </w:r>
      <w:r>
        <w:rPr>
          <w:i/>
          <w:iCs/>
          <w:szCs w:val="22"/>
          <w:lang w:val="en-US"/>
        </w:rPr>
        <w:t xml:space="preserve">shareholder </w:t>
      </w:r>
      <w:r w:rsidR="003A7A98" w:rsidRPr="003A7A98">
        <w:rPr>
          <w:i/>
          <w:iCs/>
          <w:szCs w:val="22"/>
          <w:lang w:val="en-US"/>
        </w:rPr>
        <w:t>Mats Danielsson</w:t>
      </w:r>
      <w:r>
        <w:rPr>
          <w:i/>
          <w:iCs/>
          <w:szCs w:val="22"/>
          <w:lang w:val="en-US"/>
        </w:rPr>
        <w:t xml:space="preserve"> (the "</w:t>
      </w:r>
      <w:r>
        <w:rPr>
          <w:b/>
          <w:bCs/>
          <w:i/>
          <w:iCs/>
          <w:szCs w:val="22"/>
          <w:lang w:val="en-US"/>
        </w:rPr>
        <w:t>Shareholder</w:t>
      </w:r>
      <w:r>
        <w:rPr>
          <w:i/>
          <w:iCs/>
          <w:szCs w:val="22"/>
          <w:lang w:val="en-US"/>
        </w:rPr>
        <w:t>") in</w:t>
      </w:r>
      <w:r w:rsidR="006B1763" w:rsidRPr="008E348A">
        <w:rPr>
          <w:i/>
          <w:iCs/>
          <w:szCs w:val="22"/>
          <w:lang w:val="en-US"/>
        </w:rPr>
        <w:t xml:space="preserve"> </w:t>
      </w:r>
      <w:r w:rsidR="006B1763" w:rsidRPr="008E348A">
        <w:rPr>
          <w:i/>
          <w:szCs w:val="22"/>
          <w:lang w:val="en-US"/>
        </w:rPr>
        <w:t>Biovica International AB, reg. no. 556774-6150 (the "</w:t>
      </w:r>
      <w:r w:rsidR="006B1763" w:rsidRPr="008E348A">
        <w:rPr>
          <w:b/>
          <w:i/>
          <w:szCs w:val="22"/>
          <w:lang w:val="en-US"/>
        </w:rPr>
        <w:t>Company</w:t>
      </w:r>
      <w:r w:rsidR="006B1763" w:rsidRPr="008E348A">
        <w:rPr>
          <w:i/>
          <w:szCs w:val="22"/>
          <w:lang w:val="en-US"/>
        </w:rPr>
        <w:t>")</w:t>
      </w:r>
      <w:r w:rsidR="006B1763">
        <w:rPr>
          <w:i/>
          <w:szCs w:val="22"/>
          <w:lang w:val="en-US"/>
        </w:rPr>
        <w:t>,</w:t>
      </w:r>
      <w:r w:rsidR="006B1763" w:rsidRPr="008E348A">
        <w:rPr>
          <w:i/>
          <w:szCs w:val="22"/>
          <w:lang w:val="en-US"/>
        </w:rPr>
        <w:t xml:space="preserve"> </w:t>
      </w:r>
      <w:r w:rsidR="006B1763" w:rsidRPr="008E348A">
        <w:rPr>
          <w:i/>
          <w:iCs/>
          <w:szCs w:val="22"/>
          <w:lang w:val="en-US"/>
        </w:rPr>
        <w:t xml:space="preserve">proposes that the </w:t>
      </w:r>
      <w:r w:rsidR="006B1763">
        <w:rPr>
          <w:i/>
          <w:iCs/>
          <w:szCs w:val="22"/>
          <w:lang w:val="en-US"/>
        </w:rPr>
        <w:t>annual general</w:t>
      </w:r>
      <w:r w:rsidR="006B1763" w:rsidRPr="008E348A">
        <w:rPr>
          <w:i/>
          <w:iCs/>
          <w:szCs w:val="22"/>
          <w:lang w:val="en-US"/>
        </w:rPr>
        <w:t xml:space="preserve"> meeting resolves to </w:t>
      </w:r>
      <w:r w:rsidR="006B1763">
        <w:rPr>
          <w:i/>
          <w:iCs/>
          <w:szCs w:val="22"/>
          <w:lang w:val="en-US"/>
        </w:rPr>
        <w:t xml:space="preserve">implement </w:t>
      </w:r>
      <w:r w:rsidR="006B1763" w:rsidRPr="008E348A">
        <w:rPr>
          <w:i/>
          <w:iCs/>
          <w:szCs w:val="22"/>
          <w:lang w:val="en-US"/>
        </w:rPr>
        <w:t xml:space="preserve">Performance Share Program </w:t>
      </w:r>
      <w:r w:rsidR="006B1763">
        <w:rPr>
          <w:i/>
          <w:iCs/>
          <w:szCs w:val="22"/>
          <w:lang w:val="en-US"/>
        </w:rPr>
        <w:t>2025/2028:</w:t>
      </w:r>
      <w:r>
        <w:rPr>
          <w:i/>
          <w:iCs/>
          <w:szCs w:val="22"/>
          <w:lang w:val="en-US"/>
        </w:rPr>
        <w:t>1</w:t>
      </w:r>
      <w:r w:rsidR="006B1763" w:rsidRPr="008E348A">
        <w:rPr>
          <w:i/>
          <w:iCs/>
          <w:szCs w:val="22"/>
          <w:lang w:val="en-US"/>
        </w:rPr>
        <w:t xml:space="preserve"> </w:t>
      </w:r>
      <w:r w:rsidR="006B1763">
        <w:rPr>
          <w:i/>
          <w:iCs/>
          <w:szCs w:val="22"/>
          <w:lang w:val="en-US"/>
        </w:rPr>
        <w:t xml:space="preserve">in accordance with </w:t>
      </w:r>
      <w:r w:rsidR="006B1763" w:rsidRPr="008E348A">
        <w:rPr>
          <w:i/>
          <w:iCs/>
          <w:szCs w:val="22"/>
          <w:lang w:val="en-US"/>
        </w:rPr>
        <w:t>the following guidelines</w:t>
      </w:r>
      <w:r w:rsidR="006B1763">
        <w:rPr>
          <w:i/>
          <w:iCs/>
          <w:szCs w:val="22"/>
          <w:lang w:val="en-US"/>
        </w:rPr>
        <w:t>.</w:t>
      </w:r>
    </w:p>
    <w:p w14:paraId="647B47CA" w14:textId="77777777" w:rsidR="006B1763" w:rsidRPr="0015372C" w:rsidRDefault="006B1763" w:rsidP="006B1763">
      <w:pPr>
        <w:pStyle w:val="BodyText"/>
        <w:spacing w:after="0"/>
        <w:rPr>
          <w:i/>
          <w:iCs/>
          <w:szCs w:val="22"/>
          <w:lang w:val="en-US"/>
        </w:rPr>
      </w:pPr>
    </w:p>
    <w:p w14:paraId="687E08DE" w14:textId="4DFB2FDC" w:rsidR="006B1763" w:rsidRPr="00F65E12" w:rsidRDefault="006B1763" w:rsidP="006B1763">
      <w:pPr>
        <w:pStyle w:val="BodyText"/>
        <w:spacing w:after="0"/>
        <w:rPr>
          <w:szCs w:val="22"/>
          <w:lang w:val="sv-SE"/>
        </w:rPr>
      </w:pPr>
      <w:bookmarkStart w:id="4" w:name="_Hlk206169390"/>
      <w:r w:rsidRPr="00F65E12">
        <w:rPr>
          <w:szCs w:val="22"/>
          <w:lang w:val="sv-SE"/>
        </w:rPr>
        <w:t xml:space="preserve">Prestationsaktieprogram </w:t>
      </w:r>
      <w:r>
        <w:rPr>
          <w:szCs w:val="22"/>
          <w:lang w:val="sv-SE"/>
        </w:rPr>
        <w:t>2025/2028:</w:t>
      </w:r>
      <w:r w:rsidR="006E2B36">
        <w:rPr>
          <w:szCs w:val="22"/>
          <w:lang w:val="sv-SE"/>
        </w:rPr>
        <w:t>1</w:t>
      </w:r>
      <w:r w:rsidRPr="00F65E12">
        <w:rPr>
          <w:szCs w:val="22"/>
          <w:lang w:val="sv-SE"/>
        </w:rPr>
        <w:t xml:space="preserve"> ska erbjudas till</w:t>
      </w:r>
      <w:r w:rsidR="006E2B36">
        <w:rPr>
          <w:szCs w:val="22"/>
          <w:lang w:val="sv-SE"/>
        </w:rPr>
        <w:t xml:space="preserve"> Bolagets styrelse</w:t>
      </w:r>
      <w:r>
        <w:rPr>
          <w:szCs w:val="22"/>
          <w:lang w:val="sv-SE"/>
        </w:rPr>
        <w:t xml:space="preserve"> </w:t>
      </w:r>
      <w:r w:rsidRPr="00F65E12">
        <w:rPr>
          <w:szCs w:val="22"/>
          <w:lang w:val="sv-SE"/>
        </w:rPr>
        <w:t xml:space="preserve">fram till och med den </w:t>
      </w:r>
      <w:r>
        <w:rPr>
          <w:szCs w:val="22"/>
          <w:lang w:val="sv-SE"/>
        </w:rPr>
        <w:t>31</w:t>
      </w:r>
      <w:r w:rsidR="00A1376F">
        <w:rPr>
          <w:szCs w:val="22"/>
          <w:lang w:val="sv-SE"/>
        </w:rPr>
        <w:t> </w:t>
      </w:r>
      <w:r>
        <w:rPr>
          <w:szCs w:val="22"/>
          <w:lang w:val="sv-SE"/>
        </w:rPr>
        <w:t>oktober</w:t>
      </w:r>
      <w:r w:rsidRPr="00F65E12">
        <w:rPr>
          <w:szCs w:val="22"/>
          <w:lang w:val="sv-SE"/>
        </w:rPr>
        <w:t xml:space="preserve"> 2025.</w:t>
      </w:r>
    </w:p>
    <w:p w14:paraId="4627097C" w14:textId="329D9B8E" w:rsidR="006B1763" w:rsidRPr="008E348A" w:rsidRDefault="006B1763" w:rsidP="006B1763">
      <w:pPr>
        <w:pStyle w:val="BodyText"/>
        <w:spacing w:after="0"/>
        <w:rPr>
          <w:i/>
          <w:iCs/>
          <w:szCs w:val="22"/>
          <w:lang w:val="en-US"/>
        </w:rPr>
      </w:pPr>
      <w:r w:rsidRPr="008E348A">
        <w:rPr>
          <w:i/>
          <w:iCs/>
          <w:szCs w:val="22"/>
          <w:lang w:val="en-US"/>
        </w:rPr>
        <w:t xml:space="preserve">Performance Share Program </w:t>
      </w:r>
      <w:r>
        <w:rPr>
          <w:i/>
          <w:iCs/>
          <w:szCs w:val="22"/>
          <w:lang w:val="en-US"/>
        </w:rPr>
        <w:t>2025/2028:</w:t>
      </w:r>
      <w:r w:rsidR="006E2B36">
        <w:rPr>
          <w:i/>
          <w:iCs/>
          <w:szCs w:val="22"/>
          <w:lang w:val="en-US"/>
        </w:rPr>
        <w:t>1</w:t>
      </w:r>
      <w:r w:rsidRPr="008E348A">
        <w:rPr>
          <w:i/>
          <w:iCs/>
          <w:szCs w:val="22"/>
          <w:lang w:val="en-US"/>
        </w:rPr>
        <w:t xml:space="preserve"> shall be offered to </w:t>
      </w:r>
      <w:r w:rsidR="006E2B36">
        <w:rPr>
          <w:i/>
          <w:iCs/>
          <w:szCs w:val="22"/>
          <w:lang w:val="en-US"/>
        </w:rPr>
        <w:t xml:space="preserve">the Company's board of directors </w:t>
      </w:r>
      <w:r w:rsidRPr="008E348A">
        <w:rPr>
          <w:i/>
          <w:iCs/>
          <w:szCs w:val="22"/>
          <w:lang w:val="en-US"/>
        </w:rPr>
        <w:t xml:space="preserve">up to and including </w:t>
      </w:r>
      <w:r>
        <w:rPr>
          <w:i/>
          <w:iCs/>
          <w:szCs w:val="22"/>
          <w:lang w:val="en-US"/>
        </w:rPr>
        <w:t>31 October 2025</w:t>
      </w:r>
      <w:r w:rsidRPr="008E348A">
        <w:rPr>
          <w:i/>
          <w:iCs/>
          <w:szCs w:val="22"/>
          <w:lang w:val="en-US"/>
        </w:rPr>
        <w:t>.</w:t>
      </w:r>
    </w:p>
    <w:p w14:paraId="62A3B5E8" w14:textId="77777777" w:rsidR="006B1763" w:rsidRDefault="006B1763" w:rsidP="006B1763">
      <w:pPr>
        <w:pStyle w:val="BodyText"/>
        <w:spacing w:after="0"/>
        <w:rPr>
          <w:szCs w:val="22"/>
          <w:lang w:val="en-US"/>
        </w:rPr>
      </w:pPr>
    </w:p>
    <w:p w14:paraId="3D8679A5" w14:textId="5297AAF6" w:rsidR="006B1763" w:rsidRPr="008E348A" w:rsidRDefault="006B1763" w:rsidP="006B1763">
      <w:pPr>
        <w:pStyle w:val="BodyText"/>
        <w:spacing w:after="0"/>
        <w:rPr>
          <w:szCs w:val="22"/>
          <w:lang w:val="sv-SE"/>
        </w:rPr>
      </w:pPr>
      <w:r w:rsidRPr="008E348A">
        <w:rPr>
          <w:szCs w:val="22"/>
          <w:lang w:val="sv-SE"/>
        </w:rPr>
        <w:t xml:space="preserve">Prestationsaktieprogram </w:t>
      </w:r>
      <w:r>
        <w:rPr>
          <w:szCs w:val="22"/>
          <w:lang w:val="sv-SE"/>
        </w:rPr>
        <w:t>2025/2028:</w:t>
      </w:r>
      <w:r w:rsidR="006E2B36">
        <w:rPr>
          <w:szCs w:val="22"/>
          <w:lang w:val="sv-SE"/>
        </w:rPr>
        <w:t>1</w:t>
      </w:r>
      <w:r w:rsidRPr="008E348A">
        <w:rPr>
          <w:szCs w:val="22"/>
          <w:lang w:val="sv-SE"/>
        </w:rPr>
        <w:t xml:space="preserve"> ska omfatta högst </w:t>
      </w:r>
      <w:r w:rsidR="009D0C2F" w:rsidRPr="009D0C2F">
        <w:rPr>
          <w:szCs w:val="22"/>
          <w:lang w:val="sv-SE"/>
        </w:rPr>
        <w:t>1 980 900</w:t>
      </w:r>
      <w:r>
        <w:rPr>
          <w:szCs w:val="22"/>
          <w:lang w:val="sv-SE"/>
        </w:rPr>
        <w:t xml:space="preserve"> aktierätter ("</w:t>
      </w:r>
      <w:r>
        <w:rPr>
          <w:b/>
          <w:bCs/>
          <w:szCs w:val="22"/>
          <w:lang w:val="sv-SE"/>
        </w:rPr>
        <w:t>Prestationsaktier</w:t>
      </w:r>
      <w:r>
        <w:rPr>
          <w:szCs w:val="22"/>
          <w:lang w:val="sv-SE"/>
        </w:rPr>
        <w:t xml:space="preserve">") vilka tilldelas deltagare vederlagsfritt. Varje </w:t>
      </w:r>
      <w:r w:rsidRPr="008E348A">
        <w:rPr>
          <w:szCs w:val="22"/>
          <w:lang w:val="sv-SE"/>
        </w:rPr>
        <w:t>Prestationsaktie</w:t>
      </w:r>
      <w:r>
        <w:rPr>
          <w:szCs w:val="22"/>
          <w:lang w:val="sv-SE"/>
        </w:rPr>
        <w:t xml:space="preserve"> kommer, om intjänad, ge innehavaren rätt till en (1) B-aktie i Bolaget.</w:t>
      </w:r>
    </w:p>
    <w:p w14:paraId="6AF58C26" w14:textId="664BB182" w:rsidR="006B1763" w:rsidRDefault="006B1763" w:rsidP="006B1763">
      <w:pPr>
        <w:pStyle w:val="BodyText"/>
        <w:spacing w:after="0"/>
        <w:rPr>
          <w:i/>
          <w:iCs/>
          <w:szCs w:val="22"/>
          <w:lang w:val="en-US"/>
        </w:rPr>
      </w:pPr>
      <w:r w:rsidRPr="008E348A">
        <w:rPr>
          <w:i/>
          <w:iCs/>
          <w:szCs w:val="22"/>
          <w:lang w:val="en-US"/>
        </w:rPr>
        <w:t xml:space="preserve">Performance Share Program </w:t>
      </w:r>
      <w:r>
        <w:rPr>
          <w:i/>
          <w:iCs/>
          <w:szCs w:val="22"/>
          <w:lang w:val="en-US"/>
        </w:rPr>
        <w:t>2025/2028:</w:t>
      </w:r>
      <w:r w:rsidR="006E2B36">
        <w:rPr>
          <w:i/>
          <w:iCs/>
          <w:szCs w:val="22"/>
          <w:lang w:val="en-US"/>
        </w:rPr>
        <w:t>1</w:t>
      </w:r>
      <w:r w:rsidRPr="008E348A">
        <w:rPr>
          <w:i/>
          <w:iCs/>
          <w:szCs w:val="22"/>
          <w:lang w:val="en-US"/>
        </w:rPr>
        <w:t xml:space="preserve"> shall include a maximum of </w:t>
      </w:r>
      <w:r w:rsidR="009D0C2F" w:rsidRPr="009D0C2F">
        <w:rPr>
          <w:i/>
          <w:iCs/>
          <w:szCs w:val="22"/>
          <w:lang w:val="en-US"/>
        </w:rPr>
        <w:t>1</w:t>
      </w:r>
      <w:r w:rsidR="009D0C2F">
        <w:rPr>
          <w:i/>
          <w:iCs/>
          <w:szCs w:val="22"/>
          <w:lang w:val="en-US"/>
        </w:rPr>
        <w:t>,</w:t>
      </w:r>
      <w:r w:rsidR="009D0C2F" w:rsidRPr="009D0C2F">
        <w:rPr>
          <w:i/>
          <w:iCs/>
          <w:szCs w:val="22"/>
          <w:lang w:val="en-US"/>
        </w:rPr>
        <w:t>980</w:t>
      </w:r>
      <w:r w:rsidR="009D0C2F">
        <w:rPr>
          <w:i/>
          <w:iCs/>
          <w:szCs w:val="22"/>
          <w:lang w:val="en-US"/>
        </w:rPr>
        <w:t>,</w:t>
      </w:r>
      <w:r w:rsidR="009D0C2F" w:rsidRPr="009D0C2F">
        <w:rPr>
          <w:i/>
          <w:iCs/>
          <w:szCs w:val="22"/>
          <w:lang w:val="en-US"/>
        </w:rPr>
        <w:t>900</w:t>
      </w:r>
      <w:r w:rsidR="009D0C2F">
        <w:rPr>
          <w:i/>
          <w:iCs/>
          <w:szCs w:val="22"/>
          <w:lang w:val="en-US"/>
        </w:rPr>
        <w:t xml:space="preserve"> </w:t>
      </w:r>
      <w:r>
        <w:rPr>
          <w:i/>
          <w:iCs/>
          <w:szCs w:val="22"/>
          <w:lang w:val="en-US"/>
        </w:rPr>
        <w:t>share rights ("</w:t>
      </w:r>
      <w:r w:rsidRPr="009E1234">
        <w:rPr>
          <w:b/>
          <w:bCs/>
          <w:i/>
          <w:iCs/>
          <w:szCs w:val="22"/>
          <w:lang w:val="en-US"/>
        </w:rPr>
        <w:t>Performance Shares</w:t>
      </w:r>
      <w:r>
        <w:rPr>
          <w:i/>
          <w:iCs/>
          <w:szCs w:val="22"/>
          <w:lang w:val="en-US"/>
        </w:rPr>
        <w:t>") which are allocated to participants free of charge. Each Performance Share, if vested, will entitle the holder to one (1) class B share in the Company.</w:t>
      </w:r>
    </w:p>
    <w:p w14:paraId="690E8C82" w14:textId="77777777" w:rsidR="006B1763" w:rsidRPr="009E1234" w:rsidRDefault="006B1763" w:rsidP="006B1763">
      <w:pPr>
        <w:pStyle w:val="BodyText"/>
        <w:spacing w:after="0"/>
        <w:rPr>
          <w:szCs w:val="22"/>
          <w:lang w:val="en-US"/>
        </w:rPr>
      </w:pPr>
    </w:p>
    <w:p w14:paraId="6E31370F" w14:textId="2381600D" w:rsidR="006B1763" w:rsidRPr="00EE396E" w:rsidRDefault="006B1763" w:rsidP="006B1763">
      <w:pPr>
        <w:pStyle w:val="BodyText"/>
        <w:spacing w:after="0"/>
        <w:rPr>
          <w:i/>
          <w:iCs/>
          <w:szCs w:val="22"/>
          <w:lang w:val="sv-SE"/>
        </w:rPr>
      </w:pPr>
      <w:r>
        <w:rPr>
          <w:szCs w:val="22"/>
          <w:lang w:val="sv-SE"/>
        </w:rPr>
        <w:t xml:space="preserve">Prestationsaktieprogram 2025/2028:1 ska omfatta Bolagets styrelse fördelat på </w:t>
      </w:r>
      <w:r w:rsidR="00A1376F">
        <w:rPr>
          <w:szCs w:val="22"/>
          <w:lang w:val="sv-SE"/>
        </w:rPr>
        <w:t>två</w:t>
      </w:r>
      <w:r>
        <w:rPr>
          <w:szCs w:val="22"/>
          <w:lang w:val="sv-SE"/>
        </w:rPr>
        <w:t xml:space="preserve"> olika kategorier enligt följande:</w:t>
      </w:r>
    </w:p>
    <w:p w14:paraId="711A2080" w14:textId="1782C5E2" w:rsidR="006B1763" w:rsidRDefault="006B1763" w:rsidP="006B1763">
      <w:pPr>
        <w:pStyle w:val="BodyText"/>
        <w:spacing w:after="0"/>
        <w:rPr>
          <w:i/>
          <w:iCs/>
          <w:szCs w:val="22"/>
          <w:lang w:val="en-US"/>
        </w:rPr>
      </w:pPr>
      <w:r>
        <w:rPr>
          <w:i/>
          <w:iCs/>
          <w:szCs w:val="22"/>
          <w:lang w:val="en-US"/>
        </w:rPr>
        <w:t xml:space="preserve">Performance Share Program 2025/2028:1 will be offered to </w:t>
      </w:r>
      <w:r w:rsidR="00A1376F">
        <w:rPr>
          <w:i/>
          <w:iCs/>
          <w:szCs w:val="22"/>
          <w:lang w:val="en-US"/>
        </w:rPr>
        <w:t xml:space="preserve">the Company's board of directors </w:t>
      </w:r>
      <w:r>
        <w:rPr>
          <w:i/>
          <w:iCs/>
          <w:szCs w:val="22"/>
          <w:lang w:val="en-US"/>
        </w:rPr>
        <w:t xml:space="preserve">divided into </w:t>
      </w:r>
      <w:r w:rsidR="00A1376F">
        <w:rPr>
          <w:i/>
          <w:iCs/>
          <w:szCs w:val="22"/>
          <w:lang w:val="en-US"/>
        </w:rPr>
        <w:t>two</w:t>
      </w:r>
      <w:r>
        <w:rPr>
          <w:i/>
          <w:iCs/>
          <w:szCs w:val="22"/>
          <w:lang w:val="en-US"/>
        </w:rPr>
        <w:t xml:space="preserve"> different categories as follows:</w:t>
      </w:r>
    </w:p>
    <w:p w14:paraId="76B6DCA7" w14:textId="77777777" w:rsidR="006B1763" w:rsidRDefault="006B1763" w:rsidP="006B1763">
      <w:pPr>
        <w:pStyle w:val="BodyText"/>
        <w:spacing w:after="0"/>
        <w:rPr>
          <w:szCs w:val="22"/>
          <w:lang w:val="en-US"/>
        </w:rPr>
      </w:pPr>
    </w:p>
    <w:p w14:paraId="305A48F9" w14:textId="6018C35F" w:rsidR="006B1763" w:rsidRDefault="006B1763" w:rsidP="00F3012E">
      <w:pPr>
        <w:pStyle w:val="BodyText"/>
        <w:numPr>
          <w:ilvl w:val="0"/>
          <w:numId w:val="33"/>
        </w:numPr>
        <w:spacing w:after="0"/>
        <w:rPr>
          <w:szCs w:val="22"/>
          <w:lang w:val="sv-SE"/>
        </w:rPr>
      </w:pPr>
      <w:r>
        <w:rPr>
          <w:szCs w:val="22"/>
          <w:lang w:val="sv-SE"/>
        </w:rPr>
        <w:t xml:space="preserve">Styrelsens ordförande bestående av upp till en (1) person kan tilldelas högst </w:t>
      </w:r>
      <w:r w:rsidR="009D0C2F">
        <w:rPr>
          <w:szCs w:val="22"/>
          <w:lang w:val="sv-SE"/>
        </w:rPr>
        <w:t>319 500</w:t>
      </w:r>
      <w:r>
        <w:rPr>
          <w:szCs w:val="22"/>
          <w:lang w:val="sv-SE"/>
        </w:rPr>
        <w:t xml:space="preserve"> </w:t>
      </w:r>
      <w:r w:rsidR="009D0C2F">
        <w:rPr>
          <w:szCs w:val="22"/>
          <w:lang w:val="sv-SE"/>
        </w:rPr>
        <w:t>P</w:t>
      </w:r>
      <w:r>
        <w:rPr>
          <w:szCs w:val="22"/>
          <w:lang w:val="sv-SE"/>
        </w:rPr>
        <w:t>restationsaktier.</w:t>
      </w:r>
    </w:p>
    <w:p w14:paraId="12AE35C0" w14:textId="47C6C469" w:rsidR="006B1763" w:rsidRPr="00605AF0" w:rsidRDefault="006B1763" w:rsidP="006B1763">
      <w:pPr>
        <w:pStyle w:val="BodyText"/>
        <w:spacing w:after="0"/>
        <w:ind w:left="720"/>
        <w:rPr>
          <w:i/>
          <w:iCs/>
          <w:szCs w:val="22"/>
          <w:lang w:val="en-US"/>
        </w:rPr>
      </w:pPr>
      <w:r>
        <w:rPr>
          <w:i/>
          <w:iCs/>
          <w:szCs w:val="22"/>
          <w:lang w:val="en-US"/>
        </w:rPr>
        <w:t>The chair of the board of directors</w:t>
      </w:r>
      <w:r w:rsidRPr="00605AF0">
        <w:rPr>
          <w:i/>
          <w:iCs/>
          <w:szCs w:val="22"/>
          <w:lang w:val="en-US"/>
        </w:rPr>
        <w:t xml:space="preserve"> consisting of </w:t>
      </w:r>
      <w:r>
        <w:rPr>
          <w:i/>
          <w:iCs/>
          <w:szCs w:val="22"/>
          <w:lang w:val="en-US"/>
        </w:rPr>
        <w:t xml:space="preserve">up to </w:t>
      </w:r>
      <w:r w:rsidRPr="00605AF0">
        <w:rPr>
          <w:i/>
          <w:iCs/>
          <w:szCs w:val="22"/>
          <w:lang w:val="en-US"/>
        </w:rPr>
        <w:t xml:space="preserve">one (1) person may be offered up to </w:t>
      </w:r>
      <w:r w:rsidR="009D0C2F">
        <w:rPr>
          <w:i/>
          <w:iCs/>
          <w:szCs w:val="22"/>
          <w:lang w:val="en-US"/>
        </w:rPr>
        <w:t>319,500</w:t>
      </w:r>
      <w:r w:rsidRPr="00605AF0">
        <w:rPr>
          <w:i/>
          <w:iCs/>
          <w:szCs w:val="22"/>
          <w:lang w:val="en-US"/>
        </w:rPr>
        <w:t xml:space="preserve"> Performance Shares</w:t>
      </w:r>
      <w:r>
        <w:rPr>
          <w:i/>
          <w:iCs/>
          <w:szCs w:val="22"/>
          <w:lang w:val="en-US"/>
        </w:rPr>
        <w:t>.</w:t>
      </w:r>
    </w:p>
    <w:p w14:paraId="4050D08E" w14:textId="77777777" w:rsidR="006B1763" w:rsidRPr="00EE396E" w:rsidRDefault="006B1763" w:rsidP="006B1763">
      <w:pPr>
        <w:pStyle w:val="BodyText"/>
        <w:spacing w:after="0"/>
        <w:ind w:left="720"/>
        <w:rPr>
          <w:i/>
          <w:iCs/>
          <w:szCs w:val="22"/>
          <w:lang w:val="en-US"/>
        </w:rPr>
      </w:pPr>
    </w:p>
    <w:p w14:paraId="775DAE33" w14:textId="65B7B6FF" w:rsidR="006B1763" w:rsidRPr="008E348A" w:rsidRDefault="006B1763" w:rsidP="00F3012E">
      <w:pPr>
        <w:pStyle w:val="BodyText"/>
        <w:numPr>
          <w:ilvl w:val="0"/>
          <w:numId w:val="33"/>
        </w:numPr>
        <w:spacing w:after="0"/>
        <w:rPr>
          <w:szCs w:val="22"/>
          <w:lang w:val="sv-SE"/>
        </w:rPr>
      </w:pPr>
      <w:r>
        <w:rPr>
          <w:szCs w:val="22"/>
          <w:lang w:val="sv-SE"/>
        </w:rPr>
        <w:t>Styrelseledamöter</w:t>
      </w:r>
      <w:r w:rsidRPr="008E348A">
        <w:rPr>
          <w:szCs w:val="22"/>
          <w:lang w:val="sv-SE"/>
        </w:rPr>
        <w:t xml:space="preserve"> bestående av </w:t>
      </w:r>
      <w:r>
        <w:rPr>
          <w:szCs w:val="22"/>
          <w:lang w:val="sv-SE"/>
        </w:rPr>
        <w:t xml:space="preserve">upp till sex </w:t>
      </w:r>
      <w:r w:rsidRPr="008E348A">
        <w:rPr>
          <w:szCs w:val="22"/>
          <w:lang w:val="sv-SE"/>
        </w:rPr>
        <w:t>(</w:t>
      </w:r>
      <w:r>
        <w:rPr>
          <w:szCs w:val="22"/>
          <w:lang w:val="sv-SE"/>
        </w:rPr>
        <w:t>6</w:t>
      </w:r>
      <w:r w:rsidRPr="008E348A">
        <w:rPr>
          <w:szCs w:val="22"/>
          <w:lang w:val="sv-SE"/>
        </w:rPr>
        <w:t>) person</w:t>
      </w:r>
      <w:r>
        <w:rPr>
          <w:szCs w:val="22"/>
          <w:lang w:val="sv-SE"/>
        </w:rPr>
        <w:t>er</w:t>
      </w:r>
      <w:r w:rsidRPr="008E348A">
        <w:rPr>
          <w:szCs w:val="22"/>
          <w:lang w:val="sv-SE"/>
        </w:rPr>
        <w:t xml:space="preserve"> kan </w:t>
      </w:r>
      <w:r>
        <w:rPr>
          <w:szCs w:val="22"/>
          <w:lang w:val="sv-SE"/>
        </w:rPr>
        <w:t xml:space="preserve">vardera tilldelas högst </w:t>
      </w:r>
      <w:r w:rsidR="009D0C2F">
        <w:rPr>
          <w:szCs w:val="22"/>
          <w:lang w:val="sv-SE"/>
        </w:rPr>
        <w:t>255 600</w:t>
      </w:r>
      <w:r>
        <w:rPr>
          <w:szCs w:val="22"/>
          <w:lang w:val="sv-SE"/>
        </w:rPr>
        <w:t xml:space="preserve"> </w:t>
      </w:r>
      <w:r w:rsidRPr="008E348A">
        <w:rPr>
          <w:szCs w:val="22"/>
          <w:lang w:val="sv-SE"/>
        </w:rPr>
        <w:t>Prestationsaktier</w:t>
      </w:r>
      <w:r>
        <w:rPr>
          <w:szCs w:val="22"/>
          <w:lang w:val="sv-SE"/>
        </w:rPr>
        <w:t xml:space="preserve"> och sammanlagt högst </w:t>
      </w:r>
      <w:r w:rsidR="009D0C2F">
        <w:rPr>
          <w:szCs w:val="22"/>
          <w:lang w:val="sv-SE"/>
        </w:rPr>
        <w:t>1 533 600</w:t>
      </w:r>
      <w:r>
        <w:rPr>
          <w:szCs w:val="22"/>
          <w:lang w:val="sv-SE"/>
        </w:rPr>
        <w:t xml:space="preserve"> Prestationsaktier.</w:t>
      </w:r>
    </w:p>
    <w:p w14:paraId="07F07A15" w14:textId="6E2A85BF" w:rsidR="006B1763" w:rsidRPr="008E348A" w:rsidRDefault="006B1763" w:rsidP="006B1763">
      <w:pPr>
        <w:pStyle w:val="BodyText"/>
        <w:spacing w:after="0"/>
        <w:ind w:left="720"/>
        <w:rPr>
          <w:i/>
          <w:iCs/>
          <w:szCs w:val="22"/>
          <w:lang w:val="en-US"/>
        </w:rPr>
      </w:pPr>
      <w:r>
        <w:rPr>
          <w:i/>
          <w:iCs/>
          <w:szCs w:val="22"/>
          <w:lang w:val="en-US"/>
        </w:rPr>
        <w:t xml:space="preserve">Directors of the </w:t>
      </w:r>
      <w:proofErr w:type="gramStart"/>
      <w:r>
        <w:rPr>
          <w:i/>
          <w:iCs/>
          <w:szCs w:val="22"/>
          <w:lang w:val="en-US"/>
        </w:rPr>
        <w:t>board</w:t>
      </w:r>
      <w:proofErr w:type="gramEnd"/>
      <w:r>
        <w:rPr>
          <w:i/>
          <w:iCs/>
          <w:szCs w:val="22"/>
          <w:lang w:val="en-US"/>
        </w:rPr>
        <w:t xml:space="preserve"> consisting of up to six (6) </w:t>
      </w:r>
      <w:proofErr w:type="gramStart"/>
      <w:r>
        <w:rPr>
          <w:i/>
          <w:iCs/>
          <w:szCs w:val="22"/>
          <w:lang w:val="en-US"/>
        </w:rPr>
        <w:t>persons</w:t>
      </w:r>
      <w:proofErr w:type="gramEnd"/>
      <w:r>
        <w:rPr>
          <w:i/>
          <w:iCs/>
          <w:szCs w:val="22"/>
          <w:lang w:val="en-US"/>
        </w:rPr>
        <w:t xml:space="preserve"> may be offered up to </w:t>
      </w:r>
      <w:r w:rsidR="009D0C2F">
        <w:rPr>
          <w:i/>
          <w:iCs/>
          <w:szCs w:val="22"/>
          <w:lang w:val="en-US"/>
        </w:rPr>
        <w:t xml:space="preserve">255,600 </w:t>
      </w:r>
      <w:r>
        <w:rPr>
          <w:i/>
          <w:iCs/>
          <w:szCs w:val="22"/>
          <w:lang w:val="en-US"/>
        </w:rPr>
        <w:t xml:space="preserve">Performance Shares each and up to </w:t>
      </w:r>
      <w:r w:rsidR="009D0C2F" w:rsidRPr="009D0C2F">
        <w:rPr>
          <w:i/>
          <w:iCs/>
          <w:szCs w:val="22"/>
          <w:lang w:val="en-US"/>
        </w:rPr>
        <w:t>1</w:t>
      </w:r>
      <w:r w:rsidR="009D0C2F">
        <w:rPr>
          <w:i/>
          <w:iCs/>
          <w:szCs w:val="22"/>
          <w:lang w:val="en-US"/>
        </w:rPr>
        <w:t>,</w:t>
      </w:r>
      <w:r w:rsidR="009D0C2F" w:rsidRPr="009D0C2F">
        <w:rPr>
          <w:i/>
          <w:iCs/>
          <w:szCs w:val="22"/>
          <w:lang w:val="en-US"/>
        </w:rPr>
        <w:t>533</w:t>
      </w:r>
      <w:r w:rsidR="009D0C2F">
        <w:rPr>
          <w:i/>
          <w:iCs/>
          <w:szCs w:val="22"/>
          <w:lang w:val="en-US"/>
        </w:rPr>
        <w:t>,</w:t>
      </w:r>
      <w:r w:rsidR="009D0C2F" w:rsidRPr="009D0C2F">
        <w:rPr>
          <w:i/>
          <w:iCs/>
          <w:szCs w:val="22"/>
          <w:lang w:val="en-US"/>
        </w:rPr>
        <w:t>600</w:t>
      </w:r>
      <w:r w:rsidR="009D0C2F">
        <w:rPr>
          <w:i/>
          <w:iCs/>
          <w:szCs w:val="22"/>
          <w:lang w:val="en-US"/>
        </w:rPr>
        <w:t xml:space="preserve"> </w:t>
      </w:r>
      <w:r>
        <w:rPr>
          <w:i/>
          <w:iCs/>
          <w:szCs w:val="22"/>
          <w:lang w:val="en-US"/>
        </w:rPr>
        <w:t>Performance Shares in total.</w:t>
      </w:r>
    </w:p>
    <w:p w14:paraId="2F8822F0" w14:textId="77777777" w:rsidR="006B1763" w:rsidRPr="008E348A" w:rsidRDefault="006B1763" w:rsidP="006B1763">
      <w:pPr>
        <w:pStyle w:val="BodyText"/>
        <w:spacing w:after="0"/>
        <w:ind w:left="720"/>
        <w:rPr>
          <w:i/>
          <w:iCs/>
          <w:szCs w:val="22"/>
          <w:lang w:val="en-US"/>
        </w:rPr>
      </w:pPr>
    </w:p>
    <w:p w14:paraId="14B12A94" w14:textId="52B5D158" w:rsidR="006B1763" w:rsidRPr="003D73C9" w:rsidRDefault="006B1763" w:rsidP="006B1763">
      <w:pPr>
        <w:pStyle w:val="BodyText"/>
        <w:spacing w:after="0"/>
        <w:rPr>
          <w:szCs w:val="22"/>
          <w:lang w:val="en-US"/>
        </w:rPr>
      </w:pPr>
      <w:bookmarkStart w:id="5" w:name="_Hlk206581923"/>
      <w:r w:rsidRPr="008E348A">
        <w:rPr>
          <w:szCs w:val="22"/>
          <w:lang w:val="sv-SE"/>
        </w:rPr>
        <w:t>För det fall att någon person inom ovan nämnda kategorier inte tecknar sin fulla andel kan sådan andel överföras till någon annan kategori.</w:t>
      </w:r>
      <w:r w:rsidR="008A58CD">
        <w:rPr>
          <w:szCs w:val="22"/>
          <w:lang w:val="sv-SE"/>
        </w:rPr>
        <w:t xml:space="preserve"> </w:t>
      </w:r>
      <w:proofErr w:type="spellStart"/>
      <w:r w:rsidR="008A58CD" w:rsidRPr="003D73C9">
        <w:rPr>
          <w:szCs w:val="22"/>
          <w:lang w:val="en-US"/>
        </w:rPr>
        <w:t>Överteckning</w:t>
      </w:r>
      <w:proofErr w:type="spellEnd"/>
      <w:r w:rsidR="008A58CD" w:rsidRPr="003D73C9">
        <w:rPr>
          <w:szCs w:val="22"/>
          <w:lang w:val="en-US"/>
        </w:rPr>
        <w:t xml:space="preserve"> </w:t>
      </w:r>
      <w:proofErr w:type="spellStart"/>
      <w:r w:rsidR="008A58CD" w:rsidRPr="003D73C9">
        <w:rPr>
          <w:szCs w:val="22"/>
          <w:lang w:val="en-US"/>
        </w:rPr>
        <w:t>kan</w:t>
      </w:r>
      <w:proofErr w:type="spellEnd"/>
      <w:r w:rsidR="008A58CD" w:rsidRPr="003D73C9">
        <w:rPr>
          <w:szCs w:val="22"/>
          <w:lang w:val="en-US"/>
        </w:rPr>
        <w:t xml:space="preserve"> </w:t>
      </w:r>
      <w:proofErr w:type="spellStart"/>
      <w:r w:rsidR="008A58CD" w:rsidRPr="003D73C9">
        <w:rPr>
          <w:szCs w:val="22"/>
          <w:lang w:val="en-US"/>
        </w:rPr>
        <w:t>inte</w:t>
      </w:r>
      <w:proofErr w:type="spellEnd"/>
      <w:r w:rsidR="008A58CD" w:rsidRPr="003D73C9">
        <w:rPr>
          <w:szCs w:val="22"/>
          <w:lang w:val="en-US"/>
        </w:rPr>
        <w:t xml:space="preserve"> </w:t>
      </w:r>
      <w:proofErr w:type="spellStart"/>
      <w:r w:rsidR="008A58CD" w:rsidRPr="003D73C9">
        <w:rPr>
          <w:szCs w:val="22"/>
          <w:lang w:val="en-US"/>
        </w:rPr>
        <w:t>ske</w:t>
      </w:r>
      <w:proofErr w:type="spellEnd"/>
      <w:r w:rsidR="008A58CD" w:rsidRPr="003D73C9">
        <w:rPr>
          <w:szCs w:val="22"/>
          <w:lang w:val="en-US"/>
        </w:rPr>
        <w:t>.</w:t>
      </w:r>
    </w:p>
    <w:p w14:paraId="6BBB3DFD" w14:textId="69B51BE4" w:rsidR="006B1763" w:rsidRPr="003D73C9" w:rsidRDefault="006B1763" w:rsidP="006B1763">
      <w:pPr>
        <w:pStyle w:val="BodyText"/>
        <w:spacing w:after="0"/>
        <w:rPr>
          <w:i/>
          <w:iCs/>
          <w:szCs w:val="22"/>
          <w:lang w:val="sv-SE"/>
        </w:rPr>
      </w:pPr>
      <w:bookmarkStart w:id="6" w:name="_Hlk206581958"/>
      <w:bookmarkEnd w:id="5"/>
      <w:r w:rsidRPr="008E348A">
        <w:rPr>
          <w:i/>
          <w:iCs/>
          <w:szCs w:val="22"/>
          <w:lang w:val="en-US"/>
        </w:rPr>
        <w:t>If any person within the above-mentioned categories does not subscribe for their full number of Performance Shares, such Performance Share may be granted to a</w:t>
      </w:r>
      <w:r w:rsidR="008A69DC">
        <w:rPr>
          <w:i/>
          <w:iCs/>
          <w:szCs w:val="22"/>
          <w:lang w:val="en-US"/>
        </w:rPr>
        <w:t xml:space="preserve"> person</w:t>
      </w:r>
      <w:r w:rsidRPr="008E348A">
        <w:rPr>
          <w:i/>
          <w:iCs/>
          <w:szCs w:val="22"/>
          <w:lang w:val="en-US"/>
        </w:rPr>
        <w:t xml:space="preserve"> within another category.</w:t>
      </w:r>
      <w:r w:rsidR="008A58CD">
        <w:rPr>
          <w:i/>
          <w:iCs/>
          <w:szCs w:val="22"/>
          <w:lang w:val="en-US"/>
        </w:rPr>
        <w:t xml:space="preserve"> </w:t>
      </w:r>
      <w:proofErr w:type="spellStart"/>
      <w:r w:rsidR="008A58CD" w:rsidRPr="003D73C9">
        <w:rPr>
          <w:i/>
          <w:iCs/>
          <w:szCs w:val="22"/>
          <w:lang w:val="sv-SE"/>
        </w:rPr>
        <w:t>Oversubscription</w:t>
      </w:r>
      <w:proofErr w:type="spellEnd"/>
      <w:r w:rsidR="008A58CD" w:rsidRPr="003D73C9">
        <w:rPr>
          <w:i/>
          <w:iCs/>
          <w:szCs w:val="22"/>
          <w:lang w:val="sv-SE"/>
        </w:rPr>
        <w:t xml:space="preserve"> </w:t>
      </w:r>
      <w:proofErr w:type="spellStart"/>
      <w:r w:rsidR="008A58CD" w:rsidRPr="003D73C9">
        <w:rPr>
          <w:i/>
          <w:iCs/>
          <w:szCs w:val="22"/>
          <w:lang w:val="sv-SE"/>
        </w:rPr>
        <w:t>cannot</w:t>
      </w:r>
      <w:proofErr w:type="spellEnd"/>
      <w:r w:rsidR="008A58CD" w:rsidRPr="003D73C9">
        <w:rPr>
          <w:i/>
          <w:iCs/>
          <w:szCs w:val="22"/>
          <w:lang w:val="sv-SE"/>
        </w:rPr>
        <w:t xml:space="preserve"> </w:t>
      </w:r>
      <w:proofErr w:type="spellStart"/>
      <w:r w:rsidR="008A58CD" w:rsidRPr="003D73C9">
        <w:rPr>
          <w:i/>
          <w:iCs/>
          <w:szCs w:val="22"/>
          <w:lang w:val="sv-SE"/>
        </w:rPr>
        <w:t>take</w:t>
      </w:r>
      <w:proofErr w:type="spellEnd"/>
      <w:r w:rsidR="008A58CD" w:rsidRPr="003D73C9">
        <w:rPr>
          <w:i/>
          <w:iCs/>
          <w:szCs w:val="22"/>
          <w:lang w:val="sv-SE"/>
        </w:rPr>
        <w:t xml:space="preserve"> </w:t>
      </w:r>
      <w:proofErr w:type="spellStart"/>
      <w:r w:rsidR="008A58CD" w:rsidRPr="003D73C9">
        <w:rPr>
          <w:i/>
          <w:iCs/>
          <w:szCs w:val="22"/>
          <w:lang w:val="sv-SE"/>
        </w:rPr>
        <w:t>place</w:t>
      </w:r>
      <w:proofErr w:type="spellEnd"/>
      <w:r w:rsidR="008A58CD" w:rsidRPr="003D73C9">
        <w:rPr>
          <w:i/>
          <w:iCs/>
          <w:szCs w:val="22"/>
          <w:lang w:val="sv-SE"/>
        </w:rPr>
        <w:t>.</w:t>
      </w:r>
    </w:p>
    <w:bookmarkEnd w:id="6"/>
    <w:p w14:paraId="629CC6EF" w14:textId="77777777" w:rsidR="006B1763" w:rsidRPr="003D73C9" w:rsidRDefault="006B1763" w:rsidP="006B1763">
      <w:pPr>
        <w:pStyle w:val="BodyText"/>
        <w:spacing w:after="0"/>
        <w:rPr>
          <w:szCs w:val="22"/>
          <w:lang w:val="sv-SE"/>
        </w:rPr>
      </w:pPr>
    </w:p>
    <w:p w14:paraId="3388BB35" w14:textId="63FBF874" w:rsidR="006B1763" w:rsidRPr="003D73C9" w:rsidRDefault="006B1763" w:rsidP="006B1763">
      <w:pPr>
        <w:pStyle w:val="BodyText"/>
        <w:spacing w:after="0"/>
        <w:rPr>
          <w:szCs w:val="22"/>
          <w:lang w:val="sv-SE"/>
        </w:rPr>
      </w:pPr>
      <w:r w:rsidRPr="008E348A">
        <w:rPr>
          <w:szCs w:val="22"/>
          <w:lang w:val="sv-SE"/>
        </w:rPr>
        <w:t xml:space="preserve">Anmälan om att delta i Prestationsaktieprogram </w:t>
      </w:r>
      <w:r>
        <w:rPr>
          <w:szCs w:val="22"/>
          <w:lang w:val="sv-SE"/>
        </w:rPr>
        <w:t>2025/2028:1</w:t>
      </w:r>
      <w:r w:rsidRPr="008E348A">
        <w:rPr>
          <w:szCs w:val="22"/>
          <w:lang w:val="sv-SE"/>
        </w:rPr>
        <w:t xml:space="preserve"> ska ha inkommit till Bolaget senast den </w:t>
      </w:r>
      <w:r>
        <w:rPr>
          <w:szCs w:val="22"/>
          <w:lang w:val="sv-SE"/>
        </w:rPr>
        <w:t>31</w:t>
      </w:r>
      <w:r>
        <w:rPr>
          <w:bCs/>
          <w:szCs w:val="22"/>
          <w:lang w:val="sv-SE"/>
        </w:rPr>
        <w:t> oktober 2025</w:t>
      </w:r>
      <w:r w:rsidRPr="008E348A">
        <w:rPr>
          <w:szCs w:val="22"/>
          <w:lang w:val="sv-SE"/>
        </w:rPr>
        <w:t xml:space="preserve">. </w:t>
      </w:r>
    </w:p>
    <w:p w14:paraId="1F82A7D0" w14:textId="06751574" w:rsidR="006B1763" w:rsidRDefault="006B1763" w:rsidP="006B1763">
      <w:pPr>
        <w:pStyle w:val="BodyText"/>
        <w:spacing w:after="0"/>
        <w:rPr>
          <w:szCs w:val="22"/>
          <w:lang w:val="en-US"/>
        </w:rPr>
      </w:pPr>
      <w:r>
        <w:rPr>
          <w:i/>
          <w:iCs/>
          <w:szCs w:val="22"/>
          <w:lang w:val="en-US"/>
        </w:rPr>
        <w:t xml:space="preserve">Notice of participation </w:t>
      </w:r>
      <w:r w:rsidRPr="008E348A">
        <w:rPr>
          <w:i/>
          <w:iCs/>
          <w:szCs w:val="22"/>
          <w:lang w:val="en-US"/>
        </w:rPr>
        <w:t xml:space="preserve">in Performance Share Program </w:t>
      </w:r>
      <w:r>
        <w:rPr>
          <w:i/>
          <w:iCs/>
          <w:szCs w:val="22"/>
          <w:lang w:val="en-US"/>
        </w:rPr>
        <w:t>2025/2028:1</w:t>
      </w:r>
      <w:r w:rsidRPr="008E348A">
        <w:rPr>
          <w:i/>
          <w:iCs/>
          <w:szCs w:val="22"/>
          <w:lang w:val="en-US"/>
        </w:rPr>
        <w:t xml:space="preserve"> must have been received by the Company no later than </w:t>
      </w:r>
      <w:r>
        <w:rPr>
          <w:i/>
          <w:iCs/>
          <w:szCs w:val="22"/>
          <w:lang w:val="en-US"/>
        </w:rPr>
        <w:t>on 31 October 2025</w:t>
      </w:r>
      <w:r w:rsidRPr="008E348A">
        <w:rPr>
          <w:i/>
          <w:iCs/>
          <w:szCs w:val="22"/>
          <w:lang w:val="en-US"/>
        </w:rPr>
        <w:t>.</w:t>
      </w:r>
      <w:r w:rsidRPr="00A31307">
        <w:rPr>
          <w:i/>
          <w:iCs/>
          <w:szCs w:val="22"/>
          <w:lang w:val="en-US"/>
        </w:rPr>
        <w:t xml:space="preserve"> </w:t>
      </w:r>
    </w:p>
    <w:p w14:paraId="726C9BF1" w14:textId="77777777" w:rsidR="006B1763" w:rsidRPr="0015372C" w:rsidRDefault="006B1763" w:rsidP="006B1763">
      <w:pPr>
        <w:pStyle w:val="BodyText"/>
        <w:spacing w:after="0"/>
        <w:rPr>
          <w:i/>
          <w:iCs/>
          <w:szCs w:val="22"/>
          <w:lang w:val="en-US"/>
        </w:rPr>
      </w:pPr>
    </w:p>
    <w:p w14:paraId="4BA77465" w14:textId="034317D3" w:rsidR="006B1763" w:rsidRPr="00A71A00" w:rsidRDefault="006B1763" w:rsidP="006B1763">
      <w:pPr>
        <w:rPr>
          <w:rFonts w:cstheme="minorHAnsi"/>
          <w:szCs w:val="22"/>
        </w:rPr>
      </w:pPr>
      <w:bookmarkStart w:id="7" w:name="_Hlk206581976"/>
      <w:r>
        <w:rPr>
          <w:rFonts w:cstheme="minorHAnsi"/>
          <w:szCs w:val="22"/>
        </w:rPr>
        <w:t>Prestationsaktierna</w:t>
      </w:r>
      <w:r w:rsidRPr="00A71A00">
        <w:rPr>
          <w:rFonts w:cstheme="minorHAnsi"/>
          <w:szCs w:val="22"/>
        </w:rPr>
        <w:t xml:space="preserve"> delas </w:t>
      </w:r>
      <w:r w:rsidR="0094600D">
        <w:rPr>
          <w:rFonts w:cstheme="minorHAnsi"/>
          <w:szCs w:val="22"/>
        </w:rPr>
        <w:t xml:space="preserve">lika </w:t>
      </w:r>
      <w:r w:rsidRPr="00A71A00">
        <w:rPr>
          <w:rFonts w:cstheme="minorHAnsi"/>
          <w:szCs w:val="22"/>
        </w:rPr>
        <w:t xml:space="preserve">in i Serie </w:t>
      </w:r>
      <w:r>
        <w:rPr>
          <w:rFonts w:cstheme="minorHAnsi"/>
          <w:szCs w:val="22"/>
        </w:rPr>
        <w:t>1,</w:t>
      </w:r>
      <w:r w:rsidRPr="00A71A00">
        <w:rPr>
          <w:rFonts w:cstheme="minorHAnsi"/>
          <w:szCs w:val="22"/>
        </w:rPr>
        <w:t xml:space="preserve"> Serie </w:t>
      </w:r>
      <w:r>
        <w:rPr>
          <w:rFonts w:cstheme="minorHAnsi"/>
          <w:szCs w:val="22"/>
        </w:rPr>
        <w:t xml:space="preserve">2 och </w:t>
      </w:r>
      <w:r w:rsidRPr="00A71A00">
        <w:rPr>
          <w:rFonts w:cstheme="minorHAnsi"/>
          <w:szCs w:val="22"/>
        </w:rPr>
        <w:t xml:space="preserve">Serie </w:t>
      </w:r>
      <w:r>
        <w:rPr>
          <w:rFonts w:cstheme="minorHAnsi"/>
          <w:szCs w:val="22"/>
        </w:rPr>
        <w:t>3</w:t>
      </w:r>
      <w:r w:rsidR="0070640A">
        <w:rPr>
          <w:rFonts w:cstheme="minorHAnsi"/>
          <w:szCs w:val="22"/>
        </w:rPr>
        <w:t xml:space="preserve"> för varje deltagare</w:t>
      </w:r>
      <w:r w:rsidRPr="00A71A00">
        <w:rPr>
          <w:rFonts w:cstheme="minorHAnsi"/>
          <w:szCs w:val="22"/>
        </w:rPr>
        <w:t xml:space="preserve">. Intjänandet av </w:t>
      </w:r>
      <w:r>
        <w:rPr>
          <w:rFonts w:cstheme="minorHAnsi"/>
          <w:szCs w:val="22"/>
        </w:rPr>
        <w:t>Prestationsaktier</w:t>
      </w:r>
      <w:r w:rsidRPr="00A71A00">
        <w:rPr>
          <w:rFonts w:cstheme="minorHAnsi"/>
          <w:szCs w:val="22"/>
        </w:rPr>
        <w:t xml:space="preserve"> är beroende av uppfyllnadsgraden av </w:t>
      </w:r>
      <w:r>
        <w:rPr>
          <w:rFonts w:cstheme="minorHAnsi"/>
          <w:szCs w:val="22"/>
        </w:rPr>
        <w:t xml:space="preserve">prestationsmål avseende totalavkastningen på </w:t>
      </w:r>
      <w:r>
        <w:rPr>
          <w:rFonts w:cstheme="minorHAnsi"/>
          <w:szCs w:val="22"/>
        </w:rPr>
        <w:lastRenderedPageBreak/>
        <w:t>Bolagets aktie ("</w:t>
      </w:r>
      <w:r>
        <w:rPr>
          <w:rFonts w:cstheme="minorHAnsi"/>
          <w:b/>
          <w:bCs/>
          <w:szCs w:val="22"/>
        </w:rPr>
        <w:t>TSR</w:t>
      </w:r>
      <w:r>
        <w:rPr>
          <w:rFonts w:cstheme="minorHAnsi"/>
          <w:szCs w:val="22"/>
        </w:rPr>
        <w:t xml:space="preserve">") räknat </w:t>
      </w:r>
      <w:r w:rsidRPr="00A71A00">
        <w:rPr>
          <w:rFonts w:cstheme="minorHAnsi"/>
          <w:szCs w:val="22"/>
        </w:rPr>
        <w:t xml:space="preserve">från datum för årsstämman </w:t>
      </w:r>
      <w:r>
        <w:rPr>
          <w:bCs/>
          <w:szCs w:val="22"/>
        </w:rPr>
        <w:t>2025</w:t>
      </w:r>
      <w:r w:rsidRPr="00A71A00">
        <w:rPr>
          <w:rFonts w:cstheme="minorHAnsi"/>
          <w:szCs w:val="22"/>
        </w:rPr>
        <w:t xml:space="preserve"> till datum för årsstämman </w:t>
      </w:r>
      <w:r>
        <w:rPr>
          <w:bCs/>
          <w:szCs w:val="22"/>
        </w:rPr>
        <w:t>2028</w:t>
      </w:r>
      <w:r w:rsidRPr="00A71A00">
        <w:rPr>
          <w:rFonts w:cstheme="minorHAnsi"/>
          <w:szCs w:val="22"/>
        </w:rPr>
        <w:t xml:space="preserve"> ("</w:t>
      </w:r>
      <w:r w:rsidRPr="00A71A00">
        <w:rPr>
          <w:rFonts w:cstheme="minorHAnsi"/>
          <w:b/>
          <w:szCs w:val="22"/>
        </w:rPr>
        <w:t>Mätperioden</w:t>
      </w:r>
      <w:r w:rsidRPr="00A71A00">
        <w:rPr>
          <w:rFonts w:cstheme="minorHAnsi"/>
          <w:szCs w:val="22"/>
        </w:rPr>
        <w:t>").</w:t>
      </w:r>
    </w:p>
    <w:p w14:paraId="72292CAB" w14:textId="26EC62EF" w:rsidR="006B1763" w:rsidRPr="00B630B6" w:rsidRDefault="006B1763" w:rsidP="006B1763">
      <w:pPr>
        <w:rPr>
          <w:rFonts w:cstheme="minorHAnsi"/>
          <w:i/>
          <w:szCs w:val="22"/>
          <w:lang w:val="en-US"/>
        </w:rPr>
      </w:pPr>
      <w:bookmarkStart w:id="8" w:name="_Hlk206581984"/>
      <w:bookmarkEnd w:id="7"/>
      <w:r w:rsidRPr="00A71A00">
        <w:rPr>
          <w:rFonts w:cstheme="minorHAnsi"/>
          <w:i/>
          <w:szCs w:val="22"/>
          <w:lang w:val="en-US"/>
        </w:rPr>
        <w:t xml:space="preserve">The </w:t>
      </w:r>
      <w:r w:rsidR="0039134E">
        <w:rPr>
          <w:rFonts w:cstheme="minorHAnsi"/>
          <w:i/>
          <w:szCs w:val="22"/>
          <w:lang w:val="en-US"/>
        </w:rPr>
        <w:t>Performance Shares</w:t>
      </w:r>
      <w:r w:rsidRPr="00A71A00">
        <w:rPr>
          <w:rFonts w:cstheme="minorHAnsi"/>
          <w:i/>
          <w:szCs w:val="22"/>
          <w:lang w:val="en-US"/>
        </w:rPr>
        <w:t xml:space="preserve"> are</w:t>
      </w:r>
      <w:r w:rsidR="0094600D">
        <w:rPr>
          <w:rFonts w:cstheme="minorHAnsi"/>
          <w:i/>
          <w:szCs w:val="22"/>
          <w:lang w:val="en-US"/>
        </w:rPr>
        <w:t xml:space="preserve"> equally</w:t>
      </w:r>
      <w:r w:rsidRPr="00A71A00">
        <w:rPr>
          <w:rFonts w:cstheme="minorHAnsi"/>
          <w:i/>
          <w:szCs w:val="22"/>
          <w:lang w:val="en-US"/>
        </w:rPr>
        <w:t xml:space="preserve"> divided into </w:t>
      </w:r>
      <w:r>
        <w:rPr>
          <w:rFonts w:cstheme="minorHAnsi"/>
          <w:i/>
          <w:szCs w:val="22"/>
          <w:lang w:val="en-US"/>
        </w:rPr>
        <w:t>Series 1, Series 2 and Series 3</w:t>
      </w:r>
      <w:r w:rsidR="0070640A">
        <w:rPr>
          <w:rFonts w:cstheme="minorHAnsi"/>
          <w:i/>
          <w:szCs w:val="22"/>
          <w:lang w:val="en-US"/>
        </w:rPr>
        <w:t xml:space="preserve"> for each participant</w:t>
      </w:r>
      <w:r w:rsidRPr="00A71A00">
        <w:rPr>
          <w:rFonts w:cstheme="minorHAnsi"/>
          <w:i/>
          <w:szCs w:val="22"/>
          <w:lang w:val="en-US"/>
        </w:rPr>
        <w:t xml:space="preserve">. Vesting of </w:t>
      </w:r>
      <w:r>
        <w:rPr>
          <w:rFonts w:cstheme="minorHAnsi"/>
          <w:i/>
          <w:szCs w:val="22"/>
          <w:lang w:val="en-US"/>
        </w:rPr>
        <w:t>Performance Shares</w:t>
      </w:r>
      <w:r w:rsidRPr="00A71A00">
        <w:rPr>
          <w:rFonts w:cstheme="minorHAnsi"/>
          <w:i/>
          <w:szCs w:val="22"/>
          <w:lang w:val="en-US"/>
        </w:rPr>
        <w:t xml:space="preserve"> is dependent on the degree of fulfillment of performance conditions </w:t>
      </w:r>
      <w:r>
        <w:rPr>
          <w:rFonts w:cstheme="minorHAnsi"/>
          <w:i/>
          <w:szCs w:val="22"/>
          <w:lang w:val="en-US"/>
        </w:rPr>
        <w:t>relating to the total shareholder return of the Company's share ("</w:t>
      </w:r>
      <w:r>
        <w:rPr>
          <w:rFonts w:cstheme="minorHAnsi"/>
          <w:b/>
          <w:bCs/>
          <w:i/>
          <w:szCs w:val="22"/>
          <w:lang w:val="en-US"/>
        </w:rPr>
        <w:t>TSR</w:t>
      </w:r>
      <w:r>
        <w:rPr>
          <w:rFonts w:cstheme="minorHAnsi"/>
          <w:i/>
          <w:szCs w:val="22"/>
          <w:lang w:val="en-US"/>
        </w:rPr>
        <w:t xml:space="preserve">") </w:t>
      </w:r>
      <w:r w:rsidRPr="00A71A00">
        <w:rPr>
          <w:rFonts w:cstheme="minorHAnsi"/>
          <w:i/>
          <w:szCs w:val="22"/>
          <w:lang w:val="en-US"/>
        </w:rPr>
        <w:t xml:space="preserve">during the measurement period from the date of the annual general meeting </w:t>
      </w:r>
      <w:r>
        <w:rPr>
          <w:i/>
          <w:szCs w:val="22"/>
          <w:lang w:val="en-US"/>
        </w:rPr>
        <w:t>2025</w:t>
      </w:r>
      <w:r w:rsidRPr="00A71A00">
        <w:rPr>
          <w:rFonts w:cstheme="minorHAnsi"/>
          <w:i/>
          <w:szCs w:val="22"/>
          <w:lang w:val="en-US"/>
        </w:rPr>
        <w:t xml:space="preserve"> until the date of the annual general meeting </w:t>
      </w:r>
      <w:r>
        <w:rPr>
          <w:i/>
          <w:szCs w:val="22"/>
          <w:lang w:val="en-US"/>
        </w:rPr>
        <w:t>2028</w:t>
      </w:r>
      <w:r w:rsidRPr="00A71A00">
        <w:rPr>
          <w:rFonts w:cstheme="minorHAnsi"/>
          <w:i/>
          <w:szCs w:val="22"/>
          <w:lang w:val="en-US"/>
        </w:rPr>
        <w:t xml:space="preserve"> (the "</w:t>
      </w:r>
      <w:r w:rsidRPr="00A71A00">
        <w:rPr>
          <w:rFonts w:cstheme="minorHAnsi"/>
          <w:b/>
          <w:i/>
          <w:szCs w:val="22"/>
          <w:lang w:val="en-US"/>
        </w:rPr>
        <w:t>Measurement Period</w:t>
      </w:r>
      <w:r w:rsidRPr="00A71A00">
        <w:rPr>
          <w:rFonts w:cstheme="minorHAnsi"/>
          <w:i/>
          <w:szCs w:val="22"/>
          <w:lang w:val="en-US"/>
        </w:rPr>
        <w:t>").</w:t>
      </w:r>
    </w:p>
    <w:bookmarkEnd w:id="8"/>
    <w:p w14:paraId="30A37E21" w14:textId="77777777" w:rsidR="006B1763" w:rsidRPr="00EE396E" w:rsidRDefault="006B1763" w:rsidP="006B1763">
      <w:pPr>
        <w:pStyle w:val="BodyText"/>
        <w:spacing w:after="0"/>
        <w:rPr>
          <w:szCs w:val="22"/>
          <w:lang w:val="en-US"/>
        </w:rPr>
      </w:pPr>
    </w:p>
    <w:p w14:paraId="0B2A81F2" w14:textId="77777777" w:rsidR="006B1763" w:rsidRDefault="006B1763" w:rsidP="006B1763">
      <w:pPr>
        <w:pStyle w:val="BodyText"/>
        <w:spacing w:after="0"/>
        <w:rPr>
          <w:szCs w:val="22"/>
          <w:lang w:val="sv-SE"/>
        </w:rPr>
      </w:pPr>
      <w:r>
        <w:rPr>
          <w:szCs w:val="22"/>
          <w:lang w:val="sv-SE"/>
        </w:rPr>
        <w:t>Prestationsaktier av respektive serie intjänas enligt följande:</w:t>
      </w:r>
    </w:p>
    <w:p w14:paraId="78C7DF1A" w14:textId="77777777" w:rsidR="006B1763" w:rsidRPr="00C441A8" w:rsidRDefault="006B1763" w:rsidP="006B1763">
      <w:pPr>
        <w:pStyle w:val="BodyText"/>
        <w:spacing w:after="0"/>
        <w:rPr>
          <w:i/>
          <w:iCs/>
          <w:szCs w:val="22"/>
          <w:lang w:val="en-US"/>
        </w:rPr>
      </w:pPr>
      <w:bookmarkStart w:id="9" w:name="_Hlk206587812"/>
      <w:r w:rsidRPr="00C441A8">
        <w:rPr>
          <w:i/>
          <w:iCs/>
          <w:szCs w:val="22"/>
          <w:lang w:val="en-US"/>
        </w:rPr>
        <w:t xml:space="preserve">Performance Shares of each series </w:t>
      </w:r>
      <w:proofErr w:type="gramStart"/>
      <w:r w:rsidRPr="00C441A8">
        <w:rPr>
          <w:i/>
          <w:iCs/>
          <w:szCs w:val="22"/>
          <w:lang w:val="en-US"/>
        </w:rPr>
        <w:t>are vested</w:t>
      </w:r>
      <w:proofErr w:type="gramEnd"/>
      <w:r w:rsidRPr="00C441A8">
        <w:rPr>
          <w:i/>
          <w:iCs/>
          <w:szCs w:val="22"/>
          <w:lang w:val="en-US"/>
        </w:rPr>
        <w:t xml:space="preserve"> as follows:</w:t>
      </w:r>
    </w:p>
    <w:bookmarkEnd w:id="9"/>
    <w:p w14:paraId="26C6DF82" w14:textId="77777777" w:rsidR="006B1763" w:rsidRDefault="006B1763" w:rsidP="006B1763">
      <w:pPr>
        <w:pStyle w:val="BodyText"/>
        <w:spacing w:after="0"/>
        <w:rPr>
          <w:szCs w:val="22"/>
          <w:lang w:val="en-US"/>
        </w:rPr>
      </w:pPr>
    </w:p>
    <w:p w14:paraId="367949D5" w14:textId="77777777" w:rsidR="006B1763" w:rsidRPr="005D5226" w:rsidRDefault="006B1763" w:rsidP="006B1763">
      <w:pPr>
        <w:ind w:left="1412" w:hanging="1412"/>
        <w:rPr>
          <w:rFonts w:cstheme="minorHAnsi"/>
          <w:szCs w:val="22"/>
        </w:rPr>
      </w:pPr>
      <w:r w:rsidRPr="00144DA4">
        <w:rPr>
          <w:rFonts w:cstheme="minorHAnsi"/>
          <w:szCs w:val="22"/>
        </w:rPr>
        <w:t xml:space="preserve">Serie </w:t>
      </w:r>
      <w:r>
        <w:rPr>
          <w:rFonts w:cstheme="minorHAnsi"/>
          <w:szCs w:val="22"/>
        </w:rPr>
        <w:t>1</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120</w:t>
      </w:r>
      <w:r w:rsidRPr="00144DA4">
        <w:rPr>
          <w:rFonts w:cstheme="minorHAnsi"/>
          <w:szCs w:val="22"/>
        </w:rPr>
        <w:t xml:space="preserve"> procent</w:t>
      </w:r>
      <w:r>
        <w:rPr>
          <w:rFonts w:cstheme="minorHAnsi"/>
          <w:szCs w:val="22"/>
        </w:rPr>
        <w:t>.</w:t>
      </w:r>
    </w:p>
    <w:p w14:paraId="66122E6B" w14:textId="77777777" w:rsidR="006B1763" w:rsidRDefault="006B1763" w:rsidP="006B1763">
      <w:pPr>
        <w:ind w:left="1412" w:hanging="1412"/>
        <w:rPr>
          <w:rFonts w:cstheme="minorHAnsi"/>
          <w:i/>
          <w:szCs w:val="22"/>
          <w:lang w:val="en-US"/>
        </w:rPr>
      </w:pPr>
      <w:r w:rsidRPr="00A71A00">
        <w:rPr>
          <w:rFonts w:cstheme="minorHAnsi"/>
          <w:i/>
          <w:szCs w:val="22"/>
          <w:lang w:val="en-US"/>
        </w:rPr>
        <w:t xml:space="preserve">Series </w:t>
      </w:r>
      <w:r>
        <w:rPr>
          <w:rFonts w:cstheme="minorHAnsi"/>
          <w:i/>
          <w:szCs w:val="22"/>
          <w:lang w:val="en-US"/>
        </w:rPr>
        <w:t>1</w:t>
      </w:r>
      <w:proofErr w:type="gramStart"/>
      <w:r w:rsidRPr="00A71A00">
        <w:rPr>
          <w:rFonts w:cstheme="minorHAnsi"/>
          <w:i/>
          <w:szCs w:val="22"/>
          <w:lang w:val="en-US"/>
        </w:rPr>
        <w:t xml:space="preserve">: </w:t>
      </w:r>
      <w:r w:rsidRPr="00A71A00">
        <w:rPr>
          <w:rFonts w:cstheme="minorHAnsi"/>
          <w:i/>
          <w:szCs w:val="22"/>
          <w:lang w:val="en-US"/>
        </w:rPr>
        <w:tab/>
      </w:r>
      <w:r>
        <w:rPr>
          <w:rFonts w:cstheme="minorHAnsi"/>
          <w:i/>
          <w:szCs w:val="22"/>
          <w:lang w:val="en-US"/>
        </w:rPr>
        <w:t>Vested</w:t>
      </w:r>
      <w:proofErr w:type="gramEnd"/>
      <w:r>
        <w:rPr>
          <w:rFonts w:cstheme="minorHAnsi"/>
          <w:i/>
          <w:szCs w:val="22"/>
          <w:lang w:val="en-US"/>
        </w:rPr>
        <w:t xml:space="preserve"> if the TSR during the Measurement Period amounts to or exceeds 120 percent.</w:t>
      </w:r>
    </w:p>
    <w:p w14:paraId="628BA7FE" w14:textId="77777777" w:rsidR="006B1763" w:rsidRPr="00A71A00" w:rsidRDefault="006B1763" w:rsidP="006B1763">
      <w:pPr>
        <w:ind w:left="1412" w:hanging="1412"/>
        <w:rPr>
          <w:rFonts w:cstheme="minorHAnsi"/>
          <w:i/>
          <w:szCs w:val="22"/>
          <w:lang w:val="en-US"/>
        </w:rPr>
      </w:pPr>
    </w:p>
    <w:p w14:paraId="22B8B569" w14:textId="77777777" w:rsidR="006B1763" w:rsidRPr="005D5226" w:rsidRDefault="006B1763" w:rsidP="006B1763">
      <w:pPr>
        <w:ind w:left="1412" w:hanging="1412"/>
        <w:rPr>
          <w:rFonts w:cstheme="minorHAnsi"/>
          <w:szCs w:val="22"/>
        </w:rPr>
      </w:pPr>
      <w:r w:rsidRPr="00144DA4">
        <w:rPr>
          <w:rFonts w:cstheme="minorHAnsi"/>
          <w:szCs w:val="22"/>
        </w:rPr>
        <w:t xml:space="preserve">Serie </w:t>
      </w:r>
      <w:r>
        <w:rPr>
          <w:rFonts w:cstheme="minorHAnsi"/>
          <w:szCs w:val="22"/>
        </w:rPr>
        <w:t>2</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150</w:t>
      </w:r>
      <w:r w:rsidRPr="00144DA4">
        <w:rPr>
          <w:rFonts w:cstheme="minorHAnsi"/>
          <w:szCs w:val="22"/>
        </w:rPr>
        <w:t xml:space="preserve"> procent</w:t>
      </w:r>
      <w:r>
        <w:rPr>
          <w:rFonts w:cstheme="minorHAnsi"/>
          <w:szCs w:val="22"/>
        </w:rPr>
        <w:t>.</w:t>
      </w:r>
    </w:p>
    <w:p w14:paraId="23143378" w14:textId="77777777" w:rsidR="006B1763" w:rsidRDefault="006B1763" w:rsidP="006B1763">
      <w:pPr>
        <w:ind w:left="1412" w:hanging="1412"/>
        <w:rPr>
          <w:rFonts w:cstheme="minorHAnsi"/>
          <w:i/>
          <w:szCs w:val="22"/>
          <w:lang w:val="en-US"/>
        </w:rPr>
      </w:pPr>
      <w:r w:rsidRPr="00A71A00">
        <w:rPr>
          <w:rFonts w:cstheme="minorHAnsi"/>
          <w:i/>
          <w:szCs w:val="22"/>
          <w:lang w:val="en-US"/>
        </w:rPr>
        <w:t xml:space="preserve">Series </w:t>
      </w:r>
      <w:r>
        <w:rPr>
          <w:rFonts w:cstheme="minorHAnsi"/>
          <w:i/>
          <w:szCs w:val="22"/>
          <w:lang w:val="en-US"/>
        </w:rPr>
        <w:t>2</w:t>
      </w:r>
      <w:proofErr w:type="gramStart"/>
      <w:r w:rsidRPr="00A71A00">
        <w:rPr>
          <w:rFonts w:cstheme="minorHAnsi"/>
          <w:i/>
          <w:szCs w:val="22"/>
          <w:lang w:val="en-US"/>
        </w:rPr>
        <w:t xml:space="preserve">: </w:t>
      </w:r>
      <w:r w:rsidRPr="00A71A00">
        <w:rPr>
          <w:rFonts w:cstheme="minorHAnsi"/>
          <w:i/>
          <w:szCs w:val="22"/>
          <w:lang w:val="en-US"/>
        </w:rPr>
        <w:tab/>
      </w:r>
      <w:r>
        <w:rPr>
          <w:rFonts w:cstheme="minorHAnsi"/>
          <w:i/>
          <w:szCs w:val="22"/>
          <w:lang w:val="en-US"/>
        </w:rPr>
        <w:t>Vested</w:t>
      </w:r>
      <w:proofErr w:type="gramEnd"/>
      <w:r>
        <w:rPr>
          <w:rFonts w:cstheme="minorHAnsi"/>
          <w:i/>
          <w:szCs w:val="22"/>
          <w:lang w:val="en-US"/>
        </w:rPr>
        <w:t xml:space="preserve"> if the TSR during the Measurement Period amounts to or exceeds 150 percent.</w:t>
      </w:r>
    </w:p>
    <w:p w14:paraId="59075085" w14:textId="77777777" w:rsidR="006B1763" w:rsidRPr="00A71A00" w:rsidRDefault="006B1763" w:rsidP="006B1763">
      <w:pPr>
        <w:ind w:left="1412" w:hanging="1412"/>
        <w:rPr>
          <w:rFonts w:cstheme="minorHAnsi"/>
          <w:i/>
          <w:szCs w:val="22"/>
          <w:lang w:val="en-US"/>
        </w:rPr>
      </w:pPr>
    </w:p>
    <w:p w14:paraId="08A8D490" w14:textId="77777777" w:rsidR="006B1763" w:rsidRPr="005D5226" w:rsidRDefault="006B1763" w:rsidP="006B1763">
      <w:pPr>
        <w:ind w:left="1412" w:hanging="1412"/>
        <w:rPr>
          <w:rFonts w:cstheme="minorHAnsi"/>
          <w:szCs w:val="22"/>
        </w:rPr>
      </w:pPr>
      <w:r w:rsidRPr="00144DA4">
        <w:rPr>
          <w:rFonts w:cstheme="minorHAnsi"/>
          <w:szCs w:val="22"/>
        </w:rPr>
        <w:t xml:space="preserve">Serie </w:t>
      </w:r>
      <w:r>
        <w:rPr>
          <w:rFonts w:cstheme="minorHAnsi"/>
          <w:szCs w:val="22"/>
        </w:rPr>
        <w:t>3</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Pr>
          <w:rFonts w:cstheme="minorHAnsi"/>
          <w:szCs w:val="22"/>
        </w:rPr>
        <w:t>uppgår till eller överstiger</w:t>
      </w:r>
      <w:r w:rsidRPr="00144DA4">
        <w:rPr>
          <w:rFonts w:cstheme="minorHAnsi"/>
          <w:szCs w:val="22"/>
        </w:rPr>
        <w:t xml:space="preserve"> </w:t>
      </w:r>
      <w:r>
        <w:rPr>
          <w:rFonts w:cstheme="minorHAnsi"/>
          <w:szCs w:val="22"/>
        </w:rPr>
        <w:t>170</w:t>
      </w:r>
      <w:r w:rsidRPr="00144DA4">
        <w:rPr>
          <w:rFonts w:cstheme="minorHAnsi"/>
          <w:szCs w:val="22"/>
        </w:rPr>
        <w:t xml:space="preserve"> procent</w:t>
      </w:r>
      <w:r>
        <w:rPr>
          <w:rFonts w:cstheme="minorHAnsi"/>
          <w:szCs w:val="22"/>
        </w:rPr>
        <w:t>.</w:t>
      </w:r>
    </w:p>
    <w:p w14:paraId="4FEF4E69" w14:textId="77777777" w:rsidR="006B1763" w:rsidRPr="00101F8B" w:rsidRDefault="006B1763" w:rsidP="006B1763">
      <w:pPr>
        <w:ind w:left="1412" w:hanging="1412"/>
        <w:rPr>
          <w:rFonts w:cstheme="minorHAnsi"/>
          <w:i/>
          <w:szCs w:val="22"/>
          <w:lang w:val="en-US"/>
        </w:rPr>
      </w:pPr>
      <w:r w:rsidRPr="00A71A00">
        <w:rPr>
          <w:rFonts w:cstheme="minorHAnsi"/>
          <w:i/>
          <w:szCs w:val="22"/>
          <w:lang w:val="en-US"/>
        </w:rPr>
        <w:t xml:space="preserve">Series </w:t>
      </w:r>
      <w:r>
        <w:rPr>
          <w:rFonts w:cstheme="minorHAnsi"/>
          <w:i/>
          <w:szCs w:val="22"/>
          <w:lang w:val="en-US"/>
        </w:rPr>
        <w:t>3</w:t>
      </w:r>
      <w:proofErr w:type="gramStart"/>
      <w:r w:rsidRPr="00A71A00">
        <w:rPr>
          <w:rFonts w:cstheme="minorHAnsi"/>
          <w:i/>
          <w:szCs w:val="22"/>
          <w:lang w:val="en-US"/>
        </w:rPr>
        <w:t xml:space="preserve">: </w:t>
      </w:r>
      <w:r w:rsidRPr="00A71A00">
        <w:rPr>
          <w:rFonts w:cstheme="minorHAnsi"/>
          <w:i/>
          <w:szCs w:val="22"/>
          <w:lang w:val="en-US"/>
        </w:rPr>
        <w:tab/>
      </w:r>
      <w:r>
        <w:rPr>
          <w:rFonts w:cstheme="minorHAnsi"/>
          <w:i/>
          <w:szCs w:val="22"/>
          <w:lang w:val="en-US"/>
        </w:rPr>
        <w:t>Vested</w:t>
      </w:r>
      <w:proofErr w:type="gramEnd"/>
      <w:r>
        <w:rPr>
          <w:rFonts w:cstheme="minorHAnsi"/>
          <w:i/>
          <w:szCs w:val="22"/>
          <w:lang w:val="en-US"/>
        </w:rPr>
        <w:t xml:space="preserve"> if the TSR during the Measurement Period amounts to or exceeds 170 percent.</w:t>
      </w:r>
    </w:p>
    <w:p w14:paraId="2A9FF188" w14:textId="77777777" w:rsidR="006B1763" w:rsidRPr="00EE396E" w:rsidRDefault="006B1763" w:rsidP="006B1763">
      <w:pPr>
        <w:pStyle w:val="BodyText"/>
        <w:spacing w:after="0"/>
        <w:rPr>
          <w:szCs w:val="22"/>
          <w:lang w:val="en-US"/>
        </w:rPr>
      </w:pPr>
    </w:p>
    <w:p w14:paraId="5501AAA6" w14:textId="1C72FC7C" w:rsidR="006B1763" w:rsidRPr="0031785B" w:rsidRDefault="006B1763" w:rsidP="006B1763">
      <w:pPr>
        <w:pStyle w:val="BodyText"/>
        <w:spacing w:after="0"/>
        <w:rPr>
          <w:szCs w:val="22"/>
          <w:lang w:val="sv-SE"/>
        </w:rPr>
      </w:pPr>
      <w:r>
        <w:rPr>
          <w:szCs w:val="22"/>
          <w:lang w:val="sv-SE"/>
        </w:rPr>
        <w:t xml:space="preserve">Varje intjänad </w:t>
      </w:r>
      <w:r w:rsidRPr="008E348A">
        <w:rPr>
          <w:szCs w:val="22"/>
          <w:lang w:val="sv-SE"/>
        </w:rPr>
        <w:t>Prestationsaktie berättigar innehavaren att antingen (a) förvärva en (1) B-aktie till ett pris motsvarande kvotvärdet på aktien eller (b) vederlagsfritt erhålla en teckningsoption som berättigar till teckning av en (1) B-aktie i Bolaget till en teckningskurs motsvarande kvotvärdet på aktien.</w:t>
      </w:r>
      <w:r w:rsidRPr="00826666">
        <w:rPr>
          <w:rFonts w:cstheme="minorHAnsi"/>
          <w:szCs w:val="22"/>
          <w:lang w:val="sv-SE"/>
        </w:rPr>
        <w:t xml:space="preserve"> </w:t>
      </w:r>
      <w:r>
        <w:rPr>
          <w:rFonts w:cstheme="minorHAnsi"/>
          <w:szCs w:val="22"/>
          <w:lang w:val="sv-SE"/>
        </w:rPr>
        <w:t>Teckning</w:t>
      </w:r>
      <w:r w:rsidRPr="00A71A00">
        <w:rPr>
          <w:rFonts w:cstheme="minorHAnsi"/>
          <w:szCs w:val="22"/>
          <w:lang w:val="sv-SE"/>
        </w:rPr>
        <w:t xml:space="preserve"> av </w:t>
      </w:r>
      <w:r>
        <w:rPr>
          <w:rFonts w:cstheme="minorHAnsi"/>
          <w:szCs w:val="22"/>
          <w:lang w:val="sv-SE"/>
        </w:rPr>
        <w:t xml:space="preserve">och betalning för B-aktier genom utnyttjande av Prestationsaktier </w:t>
      </w:r>
      <w:r w:rsidRPr="00A71A00">
        <w:rPr>
          <w:rFonts w:cstheme="minorHAnsi"/>
          <w:szCs w:val="22"/>
          <w:lang w:val="sv-SE"/>
        </w:rPr>
        <w:t xml:space="preserve">ska ske </w:t>
      </w:r>
      <w:r>
        <w:rPr>
          <w:rFonts w:cstheme="minorHAnsi"/>
          <w:szCs w:val="22"/>
          <w:lang w:val="sv-SE"/>
        </w:rPr>
        <w:t xml:space="preserve">senast en månad </w:t>
      </w:r>
      <w:r w:rsidRPr="00A71A00">
        <w:rPr>
          <w:rFonts w:cstheme="minorHAnsi"/>
          <w:szCs w:val="22"/>
          <w:lang w:val="sv-SE"/>
        </w:rPr>
        <w:t>efter att årsstämman</w:t>
      </w:r>
      <w:r>
        <w:rPr>
          <w:rFonts w:cstheme="minorHAnsi"/>
          <w:szCs w:val="22"/>
          <w:lang w:val="sv-SE"/>
        </w:rPr>
        <w:t xml:space="preserve"> </w:t>
      </w:r>
      <w:r>
        <w:rPr>
          <w:bCs/>
          <w:szCs w:val="22"/>
          <w:lang w:val="sv-SE"/>
        </w:rPr>
        <w:t>2028</w:t>
      </w:r>
      <w:r w:rsidRPr="00A71A00">
        <w:rPr>
          <w:rFonts w:cstheme="minorHAnsi"/>
          <w:szCs w:val="22"/>
          <w:lang w:val="sv-SE"/>
        </w:rPr>
        <w:t xml:space="preserve"> har hållits</w:t>
      </w:r>
      <w:r w:rsidR="002F08AC">
        <w:rPr>
          <w:rFonts w:cstheme="minorHAnsi"/>
          <w:szCs w:val="22"/>
          <w:lang w:val="sv-SE"/>
        </w:rPr>
        <w:t xml:space="preserve">. </w:t>
      </w:r>
      <w:r w:rsidRPr="00A71A00">
        <w:rPr>
          <w:rFonts w:cstheme="minorHAnsi"/>
          <w:szCs w:val="22"/>
          <w:lang w:val="sv-SE"/>
        </w:rPr>
        <w:t>Perioden som löper från datumet för incitamentsprogramavtalets ingående till</w:t>
      </w:r>
      <w:r>
        <w:rPr>
          <w:rFonts w:cstheme="minorHAnsi"/>
          <w:szCs w:val="22"/>
          <w:lang w:val="sv-SE"/>
        </w:rPr>
        <w:t xml:space="preserve"> och med</w:t>
      </w:r>
      <w:r w:rsidRPr="00A71A00">
        <w:rPr>
          <w:rFonts w:cstheme="minorHAnsi"/>
          <w:szCs w:val="22"/>
          <w:lang w:val="sv-SE"/>
        </w:rPr>
        <w:t xml:space="preserve"> </w:t>
      </w:r>
      <w:r>
        <w:rPr>
          <w:rFonts w:cstheme="minorHAnsi"/>
          <w:szCs w:val="22"/>
          <w:lang w:val="sv-SE"/>
        </w:rPr>
        <w:t>slutet av dagen för årsstämman 2028</w:t>
      </w:r>
      <w:r w:rsidRPr="00A71A00">
        <w:rPr>
          <w:rFonts w:cstheme="minorHAnsi"/>
          <w:szCs w:val="22"/>
          <w:lang w:val="sv-SE"/>
        </w:rPr>
        <w:t xml:space="preserve"> benämns "</w:t>
      </w:r>
      <w:r w:rsidRPr="00A71A00">
        <w:rPr>
          <w:rFonts w:cstheme="minorHAnsi"/>
          <w:b/>
          <w:szCs w:val="22"/>
          <w:lang w:val="sv-SE"/>
        </w:rPr>
        <w:t>Intjänandeperioden</w:t>
      </w:r>
      <w:r w:rsidRPr="00A71A00">
        <w:rPr>
          <w:rFonts w:cstheme="minorHAnsi"/>
          <w:szCs w:val="22"/>
          <w:lang w:val="sv-SE"/>
        </w:rPr>
        <w:t>".</w:t>
      </w:r>
      <w:r>
        <w:rPr>
          <w:szCs w:val="22"/>
          <w:lang w:val="sv-SE"/>
        </w:rPr>
        <w:t xml:space="preserve"> Prestationsaktierna är föremål för omräkning i enlighet med omräkningsvillkoren i villkoren för teckningsoptioner av serie 2025/2028:1, </w:t>
      </w:r>
      <w:r>
        <w:rPr>
          <w:szCs w:val="22"/>
          <w:u w:val="single"/>
          <w:lang w:val="sv-SE"/>
        </w:rPr>
        <w:t>Bilaga 3c</w:t>
      </w:r>
      <w:r>
        <w:rPr>
          <w:szCs w:val="22"/>
          <w:lang w:val="sv-SE"/>
        </w:rPr>
        <w:t>.</w:t>
      </w:r>
    </w:p>
    <w:p w14:paraId="3BFC7DA5" w14:textId="1E6F2E1D" w:rsidR="006B1763" w:rsidRDefault="006B1763" w:rsidP="006B1763">
      <w:pPr>
        <w:pStyle w:val="BodyText"/>
        <w:spacing w:after="0"/>
        <w:rPr>
          <w:i/>
          <w:iCs/>
          <w:szCs w:val="22"/>
          <w:lang w:val="en-US"/>
        </w:rPr>
      </w:pPr>
      <w:r w:rsidRPr="008E348A">
        <w:rPr>
          <w:i/>
          <w:iCs/>
          <w:szCs w:val="22"/>
          <w:lang w:val="en-US"/>
        </w:rPr>
        <w:t xml:space="preserve">Provided that Performance Shares have vested and that the performance target has been achieved, each Performance Share entitles the holder to either (a) acquire one (1) </w:t>
      </w:r>
      <w:r>
        <w:rPr>
          <w:i/>
          <w:iCs/>
          <w:szCs w:val="22"/>
          <w:lang w:val="en-US"/>
        </w:rPr>
        <w:t xml:space="preserve">class </w:t>
      </w:r>
      <w:r w:rsidRPr="008E348A">
        <w:rPr>
          <w:i/>
          <w:iCs/>
          <w:szCs w:val="22"/>
          <w:lang w:val="en-US"/>
        </w:rPr>
        <w:t xml:space="preserve">B share at a </w:t>
      </w:r>
      <w:r>
        <w:rPr>
          <w:i/>
          <w:iCs/>
          <w:szCs w:val="22"/>
          <w:lang w:val="en-US"/>
        </w:rPr>
        <w:t xml:space="preserve">subscription </w:t>
      </w:r>
      <w:r w:rsidRPr="008E348A">
        <w:rPr>
          <w:i/>
          <w:iCs/>
          <w:szCs w:val="22"/>
          <w:lang w:val="en-US"/>
        </w:rPr>
        <w:t xml:space="preserve">price corresponding to the quota value of the share or (b) obtain free of charge a warrant that entitles the subscription of one (1) </w:t>
      </w:r>
      <w:r>
        <w:rPr>
          <w:i/>
          <w:iCs/>
          <w:szCs w:val="22"/>
          <w:lang w:val="en-US"/>
        </w:rPr>
        <w:t xml:space="preserve">class </w:t>
      </w:r>
      <w:r w:rsidRPr="008E348A">
        <w:rPr>
          <w:i/>
          <w:iCs/>
          <w:szCs w:val="22"/>
          <w:lang w:val="en-US"/>
        </w:rPr>
        <w:t xml:space="preserve">B share in the Company </w:t>
      </w:r>
      <w:r>
        <w:rPr>
          <w:i/>
          <w:iCs/>
          <w:szCs w:val="22"/>
          <w:lang w:val="en-US"/>
        </w:rPr>
        <w:t xml:space="preserve">at </w:t>
      </w:r>
      <w:r w:rsidRPr="008E348A">
        <w:rPr>
          <w:i/>
          <w:iCs/>
          <w:szCs w:val="22"/>
          <w:lang w:val="en-US"/>
        </w:rPr>
        <w:t>a subscription price corresponding to the quota value of the share.</w:t>
      </w:r>
      <w:r>
        <w:rPr>
          <w:i/>
          <w:iCs/>
          <w:szCs w:val="22"/>
          <w:lang w:val="en-US"/>
        </w:rPr>
        <w:t xml:space="preserve"> </w:t>
      </w:r>
      <w:r>
        <w:rPr>
          <w:rFonts w:cstheme="minorHAnsi"/>
          <w:i/>
          <w:szCs w:val="22"/>
          <w:lang w:val="en-US"/>
        </w:rPr>
        <w:t>Subscription and a</w:t>
      </w:r>
      <w:r w:rsidRPr="00A71A00">
        <w:rPr>
          <w:rFonts w:cstheme="minorHAnsi"/>
          <w:i/>
          <w:szCs w:val="22"/>
          <w:lang w:val="en-US"/>
        </w:rPr>
        <w:t xml:space="preserve">llotment of </w:t>
      </w:r>
      <w:r>
        <w:rPr>
          <w:rFonts w:cstheme="minorHAnsi"/>
          <w:i/>
          <w:szCs w:val="22"/>
          <w:lang w:val="en-US"/>
        </w:rPr>
        <w:t xml:space="preserve">class B </w:t>
      </w:r>
      <w:r w:rsidRPr="00A71A00">
        <w:rPr>
          <w:rFonts w:cstheme="minorHAnsi"/>
          <w:i/>
          <w:szCs w:val="22"/>
          <w:lang w:val="en-US"/>
        </w:rPr>
        <w:t xml:space="preserve">shares </w:t>
      </w:r>
      <w:r>
        <w:rPr>
          <w:rFonts w:cstheme="minorHAnsi"/>
          <w:i/>
          <w:szCs w:val="22"/>
          <w:lang w:val="en-US"/>
        </w:rPr>
        <w:t xml:space="preserve">through exercise of Performance Shares </w:t>
      </w:r>
      <w:r w:rsidRPr="00A71A00">
        <w:rPr>
          <w:rFonts w:cstheme="minorHAnsi"/>
          <w:i/>
          <w:szCs w:val="22"/>
          <w:lang w:val="en-US"/>
        </w:rPr>
        <w:t xml:space="preserve">shall be made </w:t>
      </w:r>
      <w:r>
        <w:rPr>
          <w:rFonts w:cstheme="minorHAnsi"/>
          <w:i/>
          <w:szCs w:val="22"/>
          <w:lang w:val="en-US"/>
        </w:rPr>
        <w:t xml:space="preserve">no later than one month </w:t>
      </w:r>
      <w:r w:rsidRPr="00A71A00">
        <w:rPr>
          <w:rFonts w:cstheme="minorHAnsi"/>
          <w:i/>
          <w:szCs w:val="22"/>
          <w:lang w:val="en-US"/>
        </w:rPr>
        <w:t xml:space="preserve">following the annual general meeting held in </w:t>
      </w:r>
      <w:r>
        <w:rPr>
          <w:i/>
          <w:szCs w:val="22"/>
          <w:lang w:val="en-US"/>
        </w:rPr>
        <w:t>2028</w:t>
      </w:r>
      <w:r w:rsidRPr="00A67E33">
        <w:rPr>
          <w:i/>
          <w:lang w:val="en-US"/>
        </w:rPr>
        <w:t>.</w:t>
      </w:r>
      <w:r>
        <w:rPr>
          <w:i/>
          <w:lang w:val="en-US"/>
        </w:rPr>
        <w:t xml:space="preserve"> </w:t>
      </w:r>
      <w:r w:rsidRPr="00A71A00">
        <w:rPr>
          <w:rFonts w:cstheme="minorHAnsi"/>
          <w:i/>
          <w:szCs w:val="22"/>
          <w:lang w:val="en-US"/>
        </w:rPr>
        <w:t xml:space="preserve">The </w:t>
      </w:r>
      <w:proofErr w:type="gramStart"/>
      <w:r w:rsidRPr="00A71A00">
        <w:rPr>
          <w:rFonts w:cstheme="minorHAnsi"/>
          <w:i/>
          <w:szCs w:val="22"/>
          <w:lang w:val="en-US"/>
        </w:rPr>
        <w:t>time period</w:t>
      </w:r>
      <w:proofErr w:type="gramEnd"/>
      <w:r w:rsidRPr="00A71A00">
        <w:rPr>
          <w:rFonts w:cstheme="minorHAnsi"/>
          <w:i/>
          <w:szCs w:val="22"/>
          <w:lang w:val="en-US"/>
        </w:rPr>
        <w:t xml:space="preserve"> that runs from the date the incentive plan agreement is entered into</w:t>
      </w:r>
      <w:r>
        <w:rPr>
          <w:rFonts w:cstheme="minorHAnsi"/>
          <w:i/>
          <w:szCs w:val="22"/>
          <w:lang w:val="en-US"/>
        </w:rPr>
        <w:t xml:space="preserve"> up to and including the end of the day of the annual general meeting 2028 </w:t>
      </w:r>
      <w:r w:rsidRPr="00A71A00">
        <w:rPr>
          <w:rFonts w:cstheme="minorHAnsi"/>
          <w:i/>
          <w:szCs w:val="22"/>
          <w:lang w:val="en-US"/>
        </w:rPr>
        <w:t>is referred to as the "</w:t>
      </w:r>
      <w:r w:rsidRPr="00A71A00">
        <w:rPr>
          <w:rFonts w:cstheme="minorHAnsi"/>
          <w:b/>
          <w:i/>
          <w:szCs w:val="22"/>
          <w:lang w:val="en-US"/>
        </w:rPr>
        <w:t>Vesting Period</w:t>
      </w:r>
      <w:r w:rsidRPr="00A71A00">
        <w:rPr>
          <w:rFonts w:cstheme="minorHAnsi"/>
          <w:i/>
          <w:szCs w:val="22"/>
          <w:lang w:val="en-US"/>
        </w:rPr>
        <w:t>".</w:t>
      </w:r>
      <w:r>
        <w:rPr>
          <w:rFonts w:cstheme="minorHAnsi"/>
          <w:i/>
          <w:szCs w:val="22"/>
          <w:lang w:val="en-US"/>
        </w:rPr>
        <w:t xml:space="preserve"> </w:t>
      </w:r>
      <w:r>
        <w:rPr>
          <w:i/>
          <w:iCs/>
          <w:szCs w:val="22"/>
          <w:lang w:val="en-US"/>
        </w:rPr>
        <w:t xml:space="preserve">The Performance Shares are subject to recalculation in accordance with the recalculation terms in the terms and conditions for the warrants of series 2025/2028:1, </w:t>
      </w:r>
      <w:r>
        <w:rPr>
          <w:i/>
          <w:iCs/>
          <w:szCs w:val="22"/>
          <w:u w:val="single"/>
          <w:lang w:val="en-US"/>
        </w:rPr>
        <w:t>Exhibit 3c</w:t>
      </w:r>
      <w:r>
        <w:rPr>
          <w:i/>
          <w:iCs/>
          <w:szCs w:val="22"/>
          <w:lang w:val="en-US"/>
        </w:rPr>
        <w:t>.</w:t>
      </w:r>
    </w:p>
    <w:p w14:paraId="606CE686" w14:textId="77777777" w:rsidR="006B1763" w:rsidRPr="008E348A" w:rsidRDefault="006B1763" w:rsidP="006B1763">
      <w:pPr>
        <w:pStyle w:val="BodyText"/>
        <w:spacing w:after="0"/>
        <w:rPr>
          <w:bCs/>
          <w:szCs w:val="22"/>
          <w:lang w:val="en-US"/>
        </w:rPr>
      </w:pPr>
    </w:p>
    <w:p w14:paraId="4CD49CBD" w14:textId="1BCA47E6" w:rsidR="006B1763" w:rsidRPr="00253161" w:rsidRDefault="006B1763" w:rsidP="006B1763">
      <w:bookmarkStart w:id="10" w:name="_Hlk206582008"/>
      <w:r w:rsidRPr="008E348A">
        <w:rPr>
          <w:szCs w:val="22"/>
        </w:rPr>
        <w:t xml:space="preserve">Intjäning förutsätter att deltagaren är fortsatt aktiv inom koncernen och </w:t>
      </w:r>
      <w:r w:rsidR="008F7F9C">
        <w:rPr>
          <w:szCs w:val="22"/>
        </w:rPr>
        <w:t>att deltagarens uppdrag i koncernen inte har upphört</w:t>
      </w:r>
      <w:r w:rsidRPr="008E348A">
        <w:rPr>
          <w:szCs w:val="22"/>
        </w:rPr>
        <w:t xml:space="preserve"> per dagen då intjäning sker.</w:t>
      </w:r>
      <w:r w:rsidRPr="00253161">
        <w:t xml:space="preserve"> </w:t>
      </w:r>
      <w:r w:rsidRPr="0079031F">
        <w:t xml:space="preserve">För det </w:t>
      </w:r>
      <w:proofErr w:type="gramStart"/>
      <w:r w:rsidRPr="0079031F">
        <w:t>fall deltagare</w:t>
      </w:r>
      <w:r w:rsidR="008F7F9C">
        <w:t>s</w:t>
      </w:r>
      <w:proofErr w:type="gramEnd"/>
      <w:r w:rsidR="008F7F9C">
        <w:t xml:space="preserve"> uppdrag i koncernen upphör</w:t>
      </w:r>
      <w:r w:rsidRPr="0079031F">
        <w:t xml:space="preserve"> före</w:t>
      </w:r>
      <w:r>
        <w:t xml:space="preserve"> Intjänandeperiodens slut</w:t>
      </w:r>
      <w:r w:rsidRPr="0079031F">
        <w:t xml:space="preserve">, förfaller </w:t>
      </w:r>
      <w:r>
        <w:t>rätten till tilldelning av B-aktier</w:t>
      </w:r>
      <w:r w:rsidR="002F08AC">
        <w:t>,</w:t>
      </w:r>
      <w:r>
        <w:t xml:space="preserve"> </w:t>
      </w:r>
      <w:r w:rsidR="002F08AC" w:rsidRPr="002F08AC">
        <w:t xml:space="preserve">med undantag för vissa sedvanliga </w:t>
      </w:r>
      <w:r w:rsidR="00AA711C">
        <w:t>"</w:t>
      </w:r>
      <w:proofErr w:type="spellStart"/>
      <w:r w:rsidR="002F08AC" w:rsidRPr="002F08AC">
        <w:t>good</w:t>
      </w:r>
      <w:proofErr w:type="spellEnd"/>
      <w:r w:rsidR="002F08AC" w:rsidRPr="002F08AC">
        <w:t xml:space="preserve"> </w:t>
      </w:r>
      <w:proofErr w:type="spellStart"/>
      <w:r w:rsidR="002F08AC" w:rsidRPr="002F08AC">
        <w:t>leaver</w:t>
      </w:r>
      <w:proofErr w:type="spellEnd"/>
      <w:r w:rsidR="00AA711C">
        <w:t>"</w:t>
      </w:r>
      <w:r w:rsidR="002F08AC" w:rsidRPr="002F08AC">
        <w:t>-situationer (dödsfall och bestående oförmåga att utföra uppdraget till följd av olyckshändelse eller sjukdom)</w:t>
      </w:r>
      <w:r w:rsidRPr="0079031F">
        <w:t>.</w:t>
      </w:r>
    </w:p>
    <w:p w14:paraId="138DD462" w14:textId="765061DF" w:rsidR="006B1763" w:rsidRPr="008E348A" w:rsidRDefault="006B1763" w:rsidP="006B1763">
      <w:pPr>
        <w:rPr>
          <w:i/>
          <w:iCs/>
          <w:szCs w:val="22"/>
          <w:lang w:val="en-US"/>
        </w:rPr>
      </w:pPr>
      <w:bookmarkStart w:id="11" w:name="_Hlk206582013"/>
      <w:bookmarkEnd w:id="10"/>
      <w:r w:rsidRPr="008E348A">
        <w:rPr>
          <w:i/>
          <w:iCs/>
          <w:szCs w:val="22"/>
          <w:lang w:val="en-US"/>
        </w:rPr>
        <w:t xml:space="preserve">Vesting requires that the participant is still active within the group and that the </w:t>
      </w:r>
      <w:r w:rsidR="008F7F9C">
        <w:rPr>
          <w:i/>
          <w:iCs/>
          <w:szCs w:val="22"/>
          <w:lang w:val="en-US"/>
        </w:rPr>
        <w:t>participant's assignment within the group</w:t>
      </w:r>
      <w:r w:rsidRPr="008E348A">
        <w:rPr>
          <w:i/>
          <w:iCs/>
          <w:szCs w:val="22"/>
          <w:lang w:val="en-US"/>
        </w:rPr>
        <w:t xml:space="preserve"> has not </w:t>
      </w:r>
      <w:r w:rsidR="008F7F9C">
        <w:rPr>
          <w:i/>
          <w:iCs/>
          <w:szCs w:val="22"/>
          <w:lang w:val="en-US"/>
        </w:rPr>
        <w:t xml:space="preserve">ended </w:t>
      </w:r>
      <w:r w:rsidRPr="008E348A">
        <w:rPr>
          <w:i/>
          <w:iCs/>
          <w:szCs w:val="22"/>
          <w:lang w:val="en-US"/>
        </w:rPr>
        <w:t xml:space="preserve">as of the date when the vesting occurs. </w:t>
      </w:r>
      <w:r w:rsidRPr="0020572B">
        <w:rPr>
          <w:i/>
          <w:lang w:val="en-US"/>
        </w:rPr>
        <w:t>If a participant</w:t>
      </w:r>
      <w:r w:rsidR="008F7F9C">
        <w:rPr>
          <w:i/>
          <w:lang w:val="en-US"/>
        </w:rPr>
        <w:t xml:space="preserve">'s assignment within the group ends prior </w:t>
      </w:r>
      <w:r>
        <w:rPr>
          <w:i/>
          <w:lang w:val="en-US"/>
        </w:rPr>
        <w:t>to the end of the Vesting Period</w:t>
      </w:r>
      <w:r w:rsidRPr="0020572B">
        <w:rPr>
          <w:i/>
          <w:lang w:val="en-US"/>
        </w:rPr>
        <w:t xml:space="preserve">, </w:t>
      </w:r>
      <w:r>
        <w:rPr>
          <w:i/>
          <w:lang w:val="en-US"/>
        </w:rPr>
        <w:t xml:space="preserve">the right to allocation of class B shares expires, </w:t>
      </w:r>
      <w:r w:rsidR="002F08AC" w:rsidRPr="002F08AC">
        <w:rPr>
          <w:i/>
          <w:lang w:val="en-US"/>
        </w:rPr>
        <w:t xml:space="preserve">except for certain customary </w:t>
      </w:r>
      <w:r w:rsidR="00AA711C">
        <w:rPr>
          <w:i/>
          <w:lang w:val="en-US"/>
        </w:rPr>
        <w:t>"</w:t>
      </w:r>
      <w:r w:rsidR="002F08AC" w:rsidRPr="002F08AC">
        <w:rPr>
          <w:i/>
          <w:lang w:val="en-US"/>
        </w:rPr>
        <w:t>good leaver</w:t>
      </w:r>
      <w:r w:rsidR="00AA711C">
        <w:rPr>
          <w:i/>
          <w:lang w:val="en-US"/>
        </w:rPr>
        <w:t>"</w:t>
      </w:r>
      <w:r w:rsidR="002F08AC" w:rsidRPr="002F08AC">
        <w:rPr>
          <w:i/>
          <w:lang w:val="en-US"/>
        </w:rPr>
        <w:t xml:space="preserve"> situations (death and permanent incapacity to fulfil the mission due to accident or illness)</w:t>
      </w:r>
      <w:r w:rsidR="002F08AC">
        <w:rPr>
          <w:i/>
          <w:lang w:val="en-US"/>
        </w:rPr>
        <w:t>.</w:t>
      </w:r>
    </w:p>
    <w:bookmarkEnd w:id="11"/>
    <w:p w14:paraId="43195F49" w14:textId="77777777" w:rsidR="006B1763" w:rsidRPr="008E348A" w:rsidRDefault="006B1763" w:rsidP="006B1763">
      <w:pPr>
        <w:pStyle w:val="BodyText"/>
        <w:spacing w:after="0"/>
        <w:rPr>
          <w:i/>
          <w:iCs/>
          <w:szCs w:val="22"/>
          <w:lang w:val="en-US"/>
        </w:rPr>
      </w:pPr>
    </w:p>
    <w:p w14:paraId="3F694963" w14:textId="77777777" w:rsidR="006B1763" w:rsidRPr="008E348A" w:rsidRDefault="006B1763" w:rsidP="006B1763">
      <w:pPr>
        <w:pStyle w:val="BodyText"/>
        <w:spacing w:after="0"/>
        <w:rPr>
          <w:szCs w:val="22"/>
          <w:lang w:val="sv-SE"/>
        </w:rPr>
      </w:pPr>
      <w:r w:rsidRPr="008E348A">
        <w:rPr>
          <w:szCs w:val="22"/>
          <w:lang w:val="sv-SE"/>
        </w:rPr>
        <w:t>Prestationsaktierna ska inte utgöra värdepapper och ska inte kunna överlåtas eller pantsättas. Dock gäller att rättigheterna enligt intjänade Prestationsaktier övergår på dödsboet i händelse av deltagarens dödsfall.</w:t>
      </w:r>
    </w:p>
    <w:p w14:paraId="45313AF3" w14:textId="77777777" w:rsidR="006B1763" w:rsidRPr="008E348A" w:rsidRDefault="006B1763" w:rsidP="006B1763">
      <w:pPr>
        <w:pStyle w:val="BodyText"/>
        <w:spacing w:after="0"/>
        <w:rPr>
          <w:i/>
          <w:iCs/>
          <w:szCs w:val="22"/>
          <w:lang w:val="en-US"/>
        </w:rPr>
      </w:pPr>
      <w:r w:rsidRPr="008E348A">
        <w:rPr>
          <w:i/>
          <w:iCs/>
          <w:szCs w:val="22"/>
          <w:lang w:val="en-US"/>
        </w:rPr>
        <w:lastRenderedPageBreak/>
        <w:t>The Performance Shares must not constitute securities and cannot be transferred or pledged. However, the rights according to vested Performance Shares may be transferred to the estate in the event of the participant</w:t>
      </w:r>
      <w:r>
        <w:rPr>
          <w:i/>
          <w:iCs/>
          <w:szCs w:val="22"/>
          <w:lang w:val="en-US"/>
        </w:rPr>
        <w:t>'</w:t>
      </w:r>
      <w:r w:rsidRPr="008E348A">
        <w:rPr>
          <w:i/>
          <w:iCs/>
          <w:szCs w:val="22"/>
          <w:lang w:val="en-US"/>
        </w:rPr>
        <w:t>s death.</w:t>
      </w:r>
    </w:p>
    <w:p w14:paraId="0CAF49E8" w14:textId="77777777" w:rsidR="006B1763" w:rsidRPr="008E348A" w:rsidRDefault="006B1763" w:rsidP="006B1763">
      <w:pPr>
        <w:pStyle w:val="BodyText"/>
        <w:spacing w:after="0"/>
        <w:rPr>
          <w:i/>
          <w:iCs/>
          <w:szCs w:val="22"/>
          <w:lang w:val="en-US"/>
        </w:rPr>
      </w:pPr>
    </w:p>
    <w:p w14:paraId="3BB303A7" w14:textId="65127557" w:rsidR="006B1763" w:rsidRPr="008E348A" w:rsidRDefault="006B1763" w:rsidP="006B1763">
      <w:pPr>
        <w:pStyle w:val="BodyText"/>
        <w:spacing w:after="0"/>
        <w:rPr>
          <w:szCs w:val="22"/>
          <w:lang w:val="sv-SE"/>
        </w:rPr>
      </w:pPr>
      <w:r w:rsidRPr="008E348A">
        <w:rPr>
          <w:szCs w:val="22"/>
          <w:lang w:val="sv-SE"/>
        </w:rPr>
        <w:t xml:space="preserve">Deltagande i Prestationsaktieprogram </w:t>
      </w:r>
      <w:r>
        <w:rPr>
          <w:szCs w:val="22"/>
          <w:lang w:val="sv-SE"/>
        </w:rPr>
        <w:t>2025/2028:1</w:t>
      </w:r>
      <w:r w:rsidRPr="008E348A">
        <w:rPr>
          <w:szCs w:val="22"/>
          <w:lang w:val="sv-SE"/>
        </w:rPr>
        <w:t xml:space="preserve"> förutsätter dels att sådant deltagande lagligen kan ske, dels att sådant deltagande enligt Bolagets bedömning kan ske med rimliga administrativa kostnader och ekonomiska insatser.</w:t>
      </w:r>
    </w:p>
    <w:p w14:paraId="5D9FE440" w14:textId="2E26123A" w:rsidR="006B1763" w:rsidRPr="008E348A" w:rsidRDefault="006B1763" w:rsidP="006B1763">
      <w:pPr>
        <w:pStyle w:val="BodyText"/>
        <w:spacing w:after="0"/>
        <w:rPr>
          <w:i/>
          <w:iCs/>
          <w:szCs w:val="22"/>
          <w:lang w:val="en-US"/>
        </w:rPr>
      </w:pPr>
      <w:r w:rsidRPr="008E348A">
        <w:rPr>
          <w:i/>
          <w:iCs/>
          <w:szCs w:val="22"/>
          <w:lang w:val="en-US"/>
        </w:rPr>
        <w:t xml:space="preserve">Participation in the Performance Share Program </w:t>
      </w:r>
      <w:r>
        <w:rPr>
          <w:i/>
          <w:iCs/>
          <w:szCs w:val="22"/>
          <w:lang w:val="en-US"/>
        </w:rPr>
        <w:t>2025/2028:1</w:t>
      </w:r>
      <w:r w:rsidRPr="008E348A">
        <w:rPr>
          <w:i/>
          <w:iCs/>
          <w:szCs w:val="22"/>
          <w:lang w:val="en-US"/>
        </w:rPr>
        <w:t xml:space="preserve"> presupposes that such participation can </w:t>
      </w:r>
      <w:r w:rsidRPr="008E348A">
        <w:rPr>
          <w:bCs/>
          <w:i/>
          <w:iCs/>
          <w:szCs w:val="22"/>
          <w:lang w:val="en-US"/>
        </w:rPr>
        <w:t>legally</w:t>
      </w:r>
      <w:r w:rsidRPr="008E348A">
        <w:rPr>
          <w:i/>
          <w:iCs/>
          <w:szCs w:val="22"/>
          <w:lang w:val="en-US"/>
        </w:rPr>
        <w:t xml:space="preserve"> take place, and that, according to the Company's assessment, such participation can take place with reasonable administrative costs and financial contributions.</w:t>
      </w:r>
    </w:p>
    <w:p w14:paraId="5A044922" w14:textId="77777777" w:rsidR="006B1763" w:rsidRPr="008E348A" w:rsidRDefault="006B1763" w:rsidP="006B1763">
      <w:pPr>
        <w:pStyle w:val="BodyText"/>
        <w:spacing w:after="0"/>
        <w:rPr>
          <w:i/>
          <w:iCs/>
          <w:szCs w:val="22"/>
          <w:lang w:val="en-US"/>
        </w:rPr>
      </w:pPr>
    </w:p>
    <w:p w14:paraId="71768E0B" w14:textId="17DF1645" w:rsidR="006B1763" w:rsidRPr="008E348A" w:rsidRDefault="006B1763" w:rsidP="006B1763">
      <w:pPr>
        <w:pStyle w:val="BodyText"/>
        <w:spacing w:after="0"/>
        <w:rPr>
          <w:szCs w:val="22"/>
          <w:lang w:val="sv-SE"/>
        </w:rPr>
      </w:pPr>
      <w:bookmarkStart w:id="12" w:name="_Hlk206584904"/>
      <w:bookmarkStart w:id="13" w:name="_Hlk206582455"/>
      <w:r w:rsidRPr="008E348A">
        <w:rPr>
          <w:szCs w:val="22"/>
          <w:lang w:val="sv-SE"/>
        </w:rPr>
        <w:t xml:space="preserve">Prestationsaktierna ska regleras i särskilda avtal med respektive deltagare. Styrelsen ska ansvara för utformningen och hanteringen av Prestationsaktieprogram </w:t>
      </w:r>
      <w:r>
        <w:rPr>
          <w:szCs w:val="22"/>
          <w:lang w:val="sv-SE"/>
        </w:rPr>
        <w:t>2025/2028:1</w:t>
      </w:r>
      <w:r w:rsidRPr="008E348A">
        <w:rPr>
          <w:szCs w:val="22"/>
          <w:lang w:val="sv-SE"/>
        </w:rPr>
        <w:t xml:space="preserve"> inom ramen för ovan angivna huvudsakliga villkor och riktlinjer. Styrelsen äger rätt att, inom ramen för avtalet med respektive deltagare, göra de rimliga ändringar och anpassningar av villkoren för Prestationsaktierna som bedöms lämpliga eller ändamålsenliga till följd av lokala arbetsrättsliga eller skatterättsliga regler eller administrativa förhållanden. Det kan </w:t>
      </w:r>
      <w:proofErr w:type="gramStart"/>
      <w:r w:rsidRPr="008E348A">
        <w:rPr>
          <w:szCs w:val="22"/>
          <w:lang w:val="sv-SE"/>
        </w:rPr>
        <w:t>bl.a.</w:t>
      </w:r>
      <w:proofErr w:type="gramEnd"/>
      <w:r w:rsidRPr="008E348A">
        <w:rPr>
          <w:szCs w:val="22"/>
          <w:lang w:val="sv-SE"/>
        </w:rPr>
        <w:t xml:space="preserve"> innebära att fortsatt intjäning av Prestationsaktier kan komma att ske i vissa fall då så annars inte hade varit fallet. </w:t>
      </w:r>
      <w:r w:rsidR="002F08AC">
        <w:rPr>
          <w:szCs w:val="22"/>
          <w:lang w:val="sv-SE"/>
        </w:rPr>
        <w:t>Om styrelsen inte beslutar om annat ska</w:t>
      </w:r>
      <w:r w:rsidRPr="008E348A">
        <w:rPr>
          <w:szCs w:val="22"/>
          <w:lang w:val="sv-SE"/>
        </w:rPr>
        <w:t xml:space="preserve"> intjäning och tidpunkten för utnyttjande av Prestationsaktier </w:t>
      </w:r>
      <w:r w:rsidR="00BE576F">
        <w:rPr>
          <w:szCs w:val="22"/>
          <w:lang w:val="sv-SE"/>
        </w:rPr>
        <w:t>tidigareläggas vid händelse av</w:t>
      </w:r>
      <w:r w:rsidRPr="008E348A">
        <w:rPr>
          <w:szCs w:val="22"/>
          <w:lang w:val="sv-SE"/>
        </w:rPr>
        <w:t xml:space="preserve"> offentligt uppköpserbjudande, </w:t>
      </w:r>
      <w:r w:rsidR="00BE576F">
        <w:rPr>
          <w:szCs w:val="22"/>
          <w:lang w:val="sv-SE"/>
        </w:rPr>
        <w:t>försäljning av Bolagets verksamhet</w:t>
      </w:r>
      <w:r w:rsidRPr="008E348A">
        <w:rPr>
          <w:szCs w:val="22"/>
          <w:lang w:val="sv-SE"/>
        </w:rPr>
        <w:t xml:space="preserve">, likvidation, fusion och liknande åtgärder. Styrelsen äger avslutningsvis rätt att i extraordinära fall begränsa omfattningen av eller i förtid avsluta Prestationsaktieprogram </w:t>
      </w:r>
      <w:r>
        <w:rPr>
          <w:szCs w:val="22"/>
          <w:lang w:val="sv-SE"/>
        </w:rPr>
        <w:t>2025/2028:1</w:t>
      </w:r>
      <w:r w:rsidRPr="008E348A">
        <w:rPr>
          <w:szCs w:val="22"/>
          <w:lang w:val="sv-SE"/>
        </w:rPr>
        <w:t>, helt eller delvis.</w:t>
      </w:r>
      <w:bookmarkEnd w:id="12"/>
    </w:p>
    <w:p w14:paraId="6C341D07" w14:textId="1FD9A883" w:rsidR="006B1763" w:rsidRPr="008E348A" w:rsidRDefault="006B1763" w:rsidP="006B1763">
      <w:pPr>
        <w:pStyle w:val="BodyText"/>
        <w:spacing w:after="0"/>
        <w:rPr>
          <w:bCs/>
          <w:i/>
          <w:iCs/>
          <w:szCs w:val="22"/>
          <w:lang w:val="en-US"/>
        </w:rPr>
      </w:pPr>
      <w:bookmarkStart w:id="14" w:name="_Hlk206584913"/>
      <w:bookmarkStart w:id="15" w:name="_Hlk206582462"/>
      <w:bookmarkEnd w:id="4"/>
      <w:bookmarkEnd w:id="13"/>
      <w:r w:rsidRPr="008E348A">
        <w:rPr>
          <w:bCs/>
          <w:i/>
          <w:iCs/>
          <w:szCs w:val="22"/>
          <w:lang w:val="en-US"/>
        </w:rPr>
        <w:t xml:space="preserve">The Performance Shares shall be regulated in agreements with the respective participants. The board shall be responsible for the design and management of the Performance Share Program </w:t>
      </w:r>
      <w:r>
        <w:rPr>
          <w:bCs/>
          <w:i/>
          <w:iCs/>
          <w:szCs w:val="22"/>
          <w:lang w:val="en-US"/>
        </w:rPr>
        <w:t>2025/2028:1</w:t>
      </w:r>
      <w:r w:rsidRPr="008E348A">
        <w:rPr>
          <w:bCs/>
          <w:i/>
          <w:iCs/>
          <w:szCs w:val="22"/>
          <w:lang w:val="en-US"/>
        </w:rPr>
        <w:t xml:space="preserve"> within the framework of the main conditions and guidelines stated above. The board has the right, within the framework of the agreement with respective participants, to make the reasonable changes and adjustments to the terms of Performance Shares that are deemed appropriate or expedient </w:t>
      </w:r>
      <w:proofErr w:type="gramStart"/>
      <w:r w:rsidRPr="008E348A">
        <w:rPr>
          <w:bCs/>
          <w:i/>
          <w:iCs/>
          <w:szCs w:val="22"/>
          <w:lang w:val="en-US"/>
        </w:rPr>
        <w:t>as a result of</w:t>
      </w:r>
      <w:proofErr w:type="gramEnd"/>
      <w:r w:rsidRPr="008E348A">
        <w:rPr>
          <w:bCs/>
          <w:i/>
          <w:iCs/>
          <w:szCs w:val="22"/>
          <w:lang w:val="en-US"/>
        </w:rPr>
        <w:t xml:space="preserve"> local labor law or tax law rules or administrative conditions. It </w:t>
      </w:r>
      <w:proofErr w:type="gramStart"/>
      <w:r w:rsidRPr="008E348A">
        <w:rPr>
          <w:bCs/>
          <w:i/>
          <w:iCs/>
          <w:szCs w:val="22"/>
          <w:lang w:val="en-US"/>
        </w:rPr>
        <w:t>can</w:t>
      </w:r>
      <w:proofErr w:type="gramEnd"/>
      <w:r w:rsidRPr="008E348A">
        <w:rPr>
          <w:bCs/>
          <w:i/>
          <w:iCs/>
          <w:szCs w:val="22"/>
          <w:lang w:val="en-US"/>
        </w:rPr>
        <w:t xml:space="preserve"> i.e., mean that continued </w:t>
      </w:r>
      <w:proofErr w:type="gramStart"/>
      <w:r w:rsidRPr="008E348A">
        <w:rPr>
          <w:bCs/>
          <w:i/>
          <w:iCs/>
          <w:szCs w:val="22"/>
          <w:lang w:val="en-US"/>
        </w:rPr>
        <w:t>earning</w:t>
      </w:r>
      <w:proofErr w:type="gramEnd"/>
      <w:r w:rsidRPr="008E348A">
        <w:rPr>
          <w:bCs/>
          <w:i/>
          <w:iCs/>
          <w:szCs w:val="22"/>
          <w:lang w:val="en-US"/>
        </w:rPr>
        <w:t xml:space="preserve"> of Performance Shares may take place in certain cases where this would not otherwise have been the case. </w:t>
      </w:r>
      <w:r w:rsidR="00BE576F">
        <w:rPr>
          <w:bCs/>
          <w:i/>
          <w:iCs/>
          <w:szCs w:val="22"/>
          <w:lang w:val="en-US"/>
        </w:rPr>
        <w:t>Unless otherwise decided by the board, the</w:t>
      </w:r>
      <w:r w:rsidRPr="008E348A">
        <w:rPr>
          <w:bCs/>
          <w:i/>
          <w:iCs/>
          <w:szCs w:val="22"/>
          <w:lang w:val="en-US"/>
        </w:rPr>
        <w:t xml:space="preserve"> vesting and the timing of exercise of Performance Shares </w:t>
      </w:r>
      <w:r w:rsidR="00BE576F">
        <w:rPr>
          <w:bCs/>
          <w:i/>
          <w:iCs/>
          <w:szCs w:val="22"/>
          <w:lang w:val="en-US"/>
        </w:rPr>
        <w:t>shall be accelerated in the event of</w:t>
      </w:r>
      <w:r w:rsidRPr="008E348A">
        <w:rPr>
          <w:bCs/>
          <w:i/>
          <w:iCs/>
          <w:szCs w:val="22"/>
          <w:lang w:val="en-US"/>
        </w:rPr>
        <w:t xml:space="preserve"> a public takeover offer, </w:t>
      </w:r>
      <w:r w:rsidR="00BE576F">
        <w:rPr>
          <w:bCs/>
          <w:i/>
          <w:iCs/>
          <w:szCs w:val="22"/>
          <w:lang w:val="en-US"/>
        </w:rPr>
        <w:t>sale of the Company</w:t>
      </w:r>
      <w:r w:rsidR="003F3015">
        <w:rPr>
          <w:bCs/>
          <w:i/>
          <w:iCs/>
          <w:szCs w:val="22"/>
          <w:lang w:val="en-US"/>
        </w:rPr>
        <w:t>'</w:t>
      </w:r>
      <w:r w:rsidR="00BE576F">
        <w:rPr>
          <w:bCs/>
          <w:i/>
          <w:iCs/>
          <w:szCs w:val="22"/>
          <w:lang w:val="en-US"/>
        </w:rPr>
        <w:t xml:space="preserve">s business, </w:t>
      </w:r>
      <w:r w:rsidRPr="008E348A">
        <w:rPr>
          <w:bCs/>
          <w:i/>
          <w:iCs/>
          <w:szCs w:val="22"/>
          <w:lang w:val="en-US"/>
        </w:rPr>
        <w:t xml:space="preserve">liquidation, merger and similar measures. Finally, the board has the right to, in extraordinary cases, limit the scope of or prematurely terminate Performance Share Program </w:t>
      </w:r>
      <w:r>
        <w:rPr>
          <w:bCs/>
          <w:i/>
          <w:iCs/>
          <w:szCs w:val="22"/>
          <w:lang w:val="en-US"/>
        </w:rPr>
        <w:t>2025/2028:1</w:t>
      </w:r>
      <w:r w:rsidRPr="008E348A">
        <w:rPr>
          <w:bCs/>
          <w:i/>
          <w:iCs/>
          <w:szCs w:val="22"/>
          <w:lang w:val="en-US"/>
        </w:rPr>
        <w:t xml:space="preserve"> in whole or in part.</w:t>
      </w:r>
      <w:bookmarkEnd w:id="14"/>
    </w:p>
    <w:bookmarkEnd w:id="15"/>
    <w:p w14:paraId="264A7813" w14:textId="77777777" w:rsidR="006B1763" w:rsidRPr="008E348A" w:rsidRDefault="006B1763" w:rsidP="006B1763">
      <w:pPr>
        <w:pStyle w:val="BodyText"/>
        <w:spacing w:after="0"/>
        <w:rPr>
          <w:bCs/>
          <w:i/>
          <w:iCs/>
          <w:szCs w:val="22"/>
          <w:lang w:val="en-US"/>
        </w:rPr>
      </w:pPr>
    </w:p>
    <w:p w14:paraId="11ED455A" w14:textId="77777777" w:rsidR="006B1763" w:rsidRPr="008E348A" w:rsidRDefault="006B1763" w:rsidP="006B1763">
      <w:pPr>
        <w:pStyle w:val="BodyText"/>
        <w:jc w:val="center"/>
        <w:rPr>
          <w:bCs/>
          <w:szCs w:val="22"/>
          <w:lang w:val="en-US"/>
        </w:rPr>
      </w:pPr>
      <w:r w:rsidRPr="008E348A">
        <w:rPr>
          <w:bCs/>
          <w:szCs w:val="22"/>
          <w:lang w:val="en-US"/>
        </w:rPr>
        <w:t>* * * * *</w:t>
      </w:r>
    </w:p>
    <w:p w14:paraId="568A3601" w14:textId="77777777" w:rsidR="006B1763" w:rsidRPr="008E348A" w:rsidRDefault="006B1763" w:rsidP="006B1763">
      <w:pPr>
        <w:pStyle w:val="BodyText"/>
        <w:rPr>
          <w:b/>
          <w:szCs w:val="22"/>
          <w:lang w:val="en-US"/>
        </w:rPr>
      </w:pPr>
      <w:r w:rsidRPr="008E348A">
        <w:rPr>
          <w:b/>
          <w:szCs w:val="22"/>
          <w:lang w:val="en-US"/>
        </w:rPr>
        <w:br w:type="page"/>
      </w:r>
    </w:p>
    <w:p w14:paraId="0F46B9EE" w14:textId="124C7F44" w:rsidR="006B1763" w:rsidRPr="008E348A" w:rsidRDefault="006B1763" w:rsidP="006B1763">
      <w:pPr>
        <w:pStyle w:val="BodyText"/>
        <w:jc w:val="right"/>
        <w:rPr>
          <w:b/>
          <w:szCs w:val="22"/>
          <w:lang w:val="sv-SE"/>
        </w:rPr>
      </w:pPr>
      <w:r w:rsidRPr="008E348A">
        <w:rPr>
          <w:b/>
          <w:szCs w:val="22"/>
          <w:lang w:val="sv-SE"/>
        </w:rPr>
        <w:lastRenderedPageBreak/>
        <w:t xml:space="preserve">Bilaga </w:t>
      </w:r>
      <w:r w:rsidR="006350FE">
        <w:rPr>
          <w:b/>
          <w:szCs w:val="22"/>
          <w:lang w:val="sv-SE"/>
        </w:rPr>
        <w:t>3</w:t>
      </w:r>
      <w:r w:rsidRPr="008E348A">
        <w:rPr>
          <w:b/>
          <w:szCs w:val="22"/>
          <w:lang w:val="sv-SE"/>
        </w:rPr>
        <w:t>b/</w:t>
      </w:r>
      <w:proofErr w:type="spellStart"/>
      <w:r w:rsidRPr="008E348A">
        <w:rPr>
          <w:b/>
          <w:i/>
          <w:szCs w:val="22"/>
          <w:lang w:val="sv-SE"/>
        </w:rPr>
        <w:t>Exhibit</w:t>
      </w:r>
      <w:proofErr w:type="spellEnd"/>
      <w:r w:rsidRPr="008E348A">
        <w:rPr>
          <w:b/>
          <w:i/>
          <w:szCs w:val="22"/>
          <w:lang w:val="sv-SE"/>
        </w:rPr>
        <w:t xml:space="preserve"> </w:t>
      </w:r>
      <w:r w:rsidR="006350FE">
        <w:rPr>
          <w:b/>
          <w:i/>
          <w:szCs w:val="22"/>
          <w:lang w:val="sv-SE"/>
        </w:rPr>
        <w:t>3</w:t>
      </w:r>
      <w:r w:rsidRPr="008E348A">
        <w:rPr>
          <w:b/>
          <w:i/>
          <w:szCs w:val="22"/>
          <w:lang w:val="sv-SE"/>
        </w:rPr>
        <w:t>b</w:t>
      </w:r>
    </w:p>
    <w:p w14:paraId="275792B7" w14:textId="77777777" w:rsidR="006B1763" w:rsidRPr="008E348A" w:rsidRDefault="006B1763" w:rsidP="006B1763">
      <w:pPr>
        <w:pStyle w:val="Heading1"/>
        <w:pBdr>
          <w:bottom w:val="single" w:sz="12" w:space="1" w:color="auto"/>
        </w:pBdr>
        <w:spacing w:after="0" w:line="240" w:lineRule="auto"/>
        <w:rPr>
          <w:rFonts w:ascii="Times New Roman" w:hAnsi="Times New Roman"/>
          <w:szCs w:val="22"/>
          <w:lang w:val="sv-SE"/>
        </w:rPr>
      </w:pPr>
      <w:r>
        <w:rPr>
          <w:rFonts w:ascii="Times New Roman" w:hAnsi="Times New Roman"/>
          <w:szCs w:val="22"/>
          <w:lang w:val="sv-SE"/>
        </w:rPr>
        <w:t>Förslag till b</w:t>
      </w:r>
      <w:r w:rsidRPr="008E348A">
        <w:rPr>
          <w:rFonts w:ascii="Times New Roman" w:hAnsi="Times New Roman"/>
          <w:szCs w:val="22"/>
          <w:lang w:val="sv-SE"/>
        </w:rPr>
        <w:t xml:space="preserve">eslut om emission </w:t>
      </w:r>
      <w:r>
        <w:rPr>
          <w:rFonts w:ascii="Times New Roman" w:hAnsi="Times New Roman"/>
          <w:szCs w:val="22"/>
          <w:lang w:val="sv-SE"/>
        </w:rPr>
        <w:t xml:space="preserve">samt </w:t>
      </w:r>
      <w:r w:rsidRPr="008E348A">
        <w:rPr>
          <w:rFonts w:ascii="Times New Roman" w:hAnsi="Times New Roman"/>
          <w:szCs w:val="22"/>
          <w:lang w:val="sv-SE"/>
        </w:rPr>
        <w:t>godkännande av överlåtelse av teckningsoptioner</w:t>
      </w:r>
    </w:p>
    <w:p w14:paraId="65A4333F" w14:textId="77777777" w:rsidR="006B1763" w:rsidRPr="008E348A" w:rsidRDefault="006B1763" w:rsidP="006B1763">
      <w:pPr>
        <w:pStyle w:val="Heading1"/>
        <w:pBdr>
          <w:bottom w:val="single" w:sz="12" w:space="1" w:color="auto"/>
        </w:pBdr>
        <w:spacing w:after="0" w:line="240" w:lineRule="auto"/>
        <w:rPr>
          <w:rFonts w:ascii="Times New Roman" w:hAnsi="Times New Roman"/>
          <w:i/>
          <w:szCs w:val="22"/>
        </w:rPr>
      </w:pPr>
      <w:r w:rsidRPr="008E348A">
        <w:rPr>
          <w:rFonts w:ascii="Times New Roman" w:hAnsi="Times New Roman"/>
          <w:i/>
          <w:szCs w:val="22"/>
        </w:rPr>
        <w:t>Proposal for resolution regarding issue and approval of transfer of warrants</w:t>
      </w:r>
    </w:p>
    <w:p w14:paraId="674EDDA3" w14:textId="1A570849" w:rsidR="006B1763" w:rsidRPr="008E348A" w:rsidRDefault="006B1763" w:rsidP="006B1763">
      <w:pPr>
        <w:spacing w:before="100" w:beforeAutospacing="1"/>
        <w:rPr>
          <w:szCs w:val="22"/>
        </w:rPr>
      </w:pPr>
      <w:bookmarkStart w:id="16" w:name="_Hlk206169492"/>
      <w:r w:rsidRPr="008E348A">
        <w:rPr>
          <w:szCs w:val="22"/>
        </w:rPr>
        <w:t xml:space="preserve">För att möjliggöra leverans av B-aktier </w:t>
      </w:r>
      <w:r>
        <w:rPr>
          <w:szCs w:val="22"/>
        </w:rPr>
        <w:t xml:space="preserve">under </w:t>
      </w:r>
      <w:r w:rsidRPr="008E348A">
        <w:rPr>
          <w:szCs w:val="22"/>
        </w:rPr>
        <w:t xml:space="preserve">Prestationsaktieprogram </w:t>
      </w:r>
      <w:r>
        <w:rPr>
          <w:szCs w:val="22"/>
        </w:rPr>
        <w:t>2025/2028:1</w:t>
      </w:r>
      <w:r w:rsidRPr="008E348A">
        <w:rPr>
          <w:szCs w:val="22"/>
        </w:rPr>
        <w:t xml:space="preserve"> föreslår </w:t>
      </w:r>
      <w:r>
        <w:rPr>
          <w:szCs w:val="22"/>
        </w:rPr>
        <w:t xml:space="preserve">aktieägaren </w:t>
      </w:r>
      <w:bookmarkEnd w:id="16"/>
      <w:r w:rsidR="008A58CD" w:rsidRPr="008A58CD">
        <w:rPr>
          <w:szCs w:val="22"/>
        </w:rPr>
        <w:t>Mats Danielsson</w:t>
      </w:r>
      <w:r w:rsidRPr="008E348A">
        <w:rPr>
          <w:szCs w:val="22"/>
        </w:rPr>
        <w:t xml:space="preserve"> </w:t>
      </w:r>
      <w:r w:rsidR="00A1376F">
        <w:rPr>
          <w:szCs w:val="22"/>
        </w:rPr>
        <w:t>("</w:t>
      </w:r>
      <w:r w:rsidR="00A1376F">
        <w:rPr>
          <w:b/>
          <w:bCs/>
          <w:szCs w:val="22"/>
        </w:rPr>
        <w:t>Aktieägaren</w:t>
      </w:r>
      <w:r w:rsidR="00A1376F">
        <w:rPr>
          <w:szCs w:val="22"/>
        </w:rPr>
        <w:t xml:space="preserve">") </w:t>
      </w:r>
      <w:r>
        <w:rPr>
          <w:szCs w:val="22"/>
        </w:rPr>
        <w:t>i</w:t>
      </w:r>
      <w:r w:rsidRPr="008E348A">
        <w:rPr>
          <w:szCs w:val="22"/>
        </w:rPr>
        <w:t xml:space="preserve"> </w:t>
      </w:r>
      <w:r w:rsidRPr="008E348A">
        <w:rPr>
          <w:bCs/>
          <w:iCs/>
          <w:szCs w:val="22"/>
        </w:rPr>
        <w:t xml:space="preserve">Biovica International AB, org.nr </w:t>
      </w:r>
      <w:proofErr w:type="gramStart"/>
      <w:r w:rsidRPr="008E348A">
        <w:rPr>
          <w:bCs/>
          <w:iCs/>
          <w:szCs w:val="22"/>
        </w:rPr>
        <w:t>556774-6150</w:t>
      </w:r>
      <w:proofErr w:type="gramEnd"/>
      <w:r w:rsidRPr="008E348A">
        <w:rPr>
          <w:bCs/>
          <w:iCs/>
          <w:szCs w:val="22"/>
        </w:rPr>
        <w:t xml:space="preserve"> ("</w:t>
      </w:r>
      <w:r w:rsidRPr="008E348A">
        <w:rPr>
          <w:b/>
          <w:bCs/>
          <w:iCs/>
          <w:szCs w:val="22"/>
        </w:rPr>
        <w:t>Bolaget</w:t>
      </w:r>
      <w:r w:rsidRPr="008E348A">
        <w:rPr>
          <w:bCs/>
          <w:iCs/>
          <w:szCs w:val="22"/>
        </w:rPr>
        <w:t>")</w:t>
      </w:r>
      <w:r>
        <w:rPr>
          <w:bCs/>
          <w:iCs/>
          <w:szCs w:val="22"/>
        </w:rPr>
        <w:t>,</w:t>
      </w:r>
      <w:r w:rsidRPr="008E348A">
        <w:rPr>
          <w:szCs w:val="22"/>
        </w:rPr>
        <w:t xml:space="preserve"> att </w:t>
      </w:r>
      <w:bookmarkStart w:id="17" w:name="_Hlk206169574"/>
      <w:r>
        <w:rPr>
          <w:szCs w:val="22"/>
        </w:rPr>
        <w:t>årsstämman</w:t>
      </w:r>
      <w:r w:rsidRPr="008E348A">
        <w:rPr>
          <w:szCs w:val="22"/>
        </w:rPr>
        <w:t xml:space="preserve"> beslutar om en emission av teckningsoptioner av serie </w:t>
      </w:r>
      <w:r>
        <w:rPr>
          <w:szCs w:val="22"/>
        </w:rPr>
        <w:t>2025/2028:1</w:t>
      </w:r>
      <w:r w:rsidRPr="008E348A">
        <w:rPr>
          <w:szCs w:val="22"/>
        </w:rPr>
        <w:t xml:space="preserve"> samt godkännande av överlåtelse av teckningsoptioner av serie </w:t>
      </w:r>
      <w:r>
        <w:rPr>
          <w:szCs w:val="22"/>
        </w:rPr>
        <w:t>2025/2028:1 i enlighet med nedan</w:t>
      </w:r>
      <w:r w:rsidRPr="008E348A">
        <w:rPr>
          <w:szCs w:val="22"/>
        </w:rPr>
        <w:t>.</w:t>
      </w:r>
      <w:bookmarkEnd w:id="17"/>
    </w:p>
    <w:p w14:paraId="5799A9AE" w14:textId="3598A21A" w:rsidR="006B1763" w:rsidRPr="008E348A" w:rsidRDefault="006B1763" w:rsidP="006B1763">
      <w:pPr>
        <w:autoSpaceDE w:val="0"/>
        <w:autoSpaceDN w:val="0"/>
        <w:adjustRightInd w:val="0"/>
        <w:rPr>
          <w:bCs/>
          <w:i/>
          <w:iCs/>
          <w:szCs w:val="22"/>
          <w:lang w:val="en-US"/>
        </w:rPr>
      </w:pPr>
      <w:r w:rsidRPr="008E348A">
        <w:rPr>
          <w:bCs/>
          <w:i/>
          <w:iCs/>
          <w:szCs w:val="22"/>
          <w:lang w:val="en-US"/>
        </w:rPr>
        <w:t xml:space="preserve">In order to enable the delivery of </w:t>
      </w:r>
      <w:r>
        <w:rPr>
          <w:bCs/>
          <w:i/>
          <w:iCs/>
          <w:szCs w:val="22"/>
          <w:lang w:val="en-US"/>
        </w:rPr>
        <w:t xml:space="preserve">class </w:t>
      </w:r>
      <w:r w:rsidRPr="008E348A">
        <w:rPr>
          <w:bCs/>
          <w:i/>
          <w:iCs/>
          <w:szCs w:val="22"/>
          <w:lang w:val="en-US"/>
        </w:rPr>
        <w:t xml:space="preserve">B shares </w:t>
      </w:r>
      <w:r>
        <w:rPr>
          <w:bCs/>
          <w:i/>
          <w:iCs/>
          <w:szCs w:val="22"/>
          <w:lang w:val="en-US"/>
        </w:rPr>
        <w:t xml:space="preserve">under </w:t>
      </w:r>
      <w:r w:rsidRPr="008E348A">
        <w:rPr>
          <w:bCs/>
          <w:i/>
          <w:iCs/>
          <w:szCs w:val="22"/>
          <w:lang w:val="en-US"/>
        </w:rPr>
        <w:t xml:space="preserve">the Performance Share Program </w:t>
      </w:r>
      <w:r>
        <w:rPr>
          <w:bCs/>
          <w:i/>
          <w:iCs/>
          <w:szCs w:val="22"/>
          <w:lang w:val="en-US"/>
        </w:rPr>
        <w:t>2025/2028:1,</w:t>
      </w:r>
      <w:r w:rsidRPr="008E348A">
        <w:rPr>
          <w:bCs/>
          <w:i/>
          <w:iCs/>
          <w:szCs w:val="22"/>
          <w:lang w:val="en-US"/>
        </w:rPr>
        <w:t xml:space="preserve"> the </w:t>
      </w:r>
      <w:r>
        <w:rPr>
          <w:bCs/>
          <w:i/>
          <w:iCs/>
          <w:szCs w:val="22"/>
          <w:lang w:val="en-US"/>
        </w:rPr>
        <w:t xml:space="preserve">shareholder </w:t>
      </w:r>
      <w:r w:rsidR="008A58CD" w:rsidRPr="008A58CD">
        <w:rPr>
          <w:bCs/>
          <w:i/>
          <w:iCs/>
          <w:szCs w:val="22"/>
          <w:lang w:val="en-US"/>
        </w:rPr>
        <w:t>Mats Danielsson</w:t>
      </w:r>
      <w:r w:rsidRPr="008E348A">
        <w:rPr>
          <w:bCs/>
          <w:i/>
          <w:iCs/>
          <w:szCs w:val="22"/>
          <w:lang w:val="en-US"/>
        </w:rPr>
        <w:t xml:space="preserve"> </w:t>
      </w:r>
      <w:r w:rsidR="00A1376F">
        <w:rPr>
          <w:bCs/>
          <w:i/>
          <w:iCs/>
          <w:szCs w:val="22"/>
          <w:lang w:val="en-US"/>
        </w:rPr>
        <w:t>(the "</w:t>
      </w:r>
      <w:r w:rsidR="00A1376F">
        <w:rPr>
          <w:b/>
          <w:i/>
          <w:iCs/>
          <w:szCs w:val="22"/>
          <w:lang w:val="en-US"/>
        </w:rPr>
        <w:t>Shareholder</w:t>
      </w:r>
      <w:r w:rsidR="00A1376F">
        <w:rPr>
          <w:bCs/>
          <w:i/>
          <w:iCs/>
          <w:szCs w:val="22"/>
          <w:lang w:val="en-US"/>
        </w:rPr>
        <w:t xml:space="preserve">") </w:t>
      </w:r>
      <w:r>
        <w:rPr>
          <w:bCs/>
          <w:i/>
          <w:iCs/>
          <w:szCs w:val="22"/>
          <w:lang w:val="en-US"/>
        </w:rPr>
        <w:t>in</w:t>
      </w:r>
      <w:r w:rsidRPr="008E348A">
        <w:rPr>
          <w:bCs/>
          <w:i/>
          <w:iCs/>
          <w:szCs w:val="22"/>
          <w:lang w:val="en-US"/>
        </w:rPr>
        <w:t xml:space="preserve"> Biovica International AB (the </w:t>
      </w:r>
      <w:r w:rsidR="00A1376F">
        <w:rPr>
          <w:bCs/>
          <w:i/>
          <w:iCs/>
          <w:szCs w:val="22"/>
          <w:lang w:val="en-US"/>
        </w:rPr>
        <w:t>"</w:t>
      </w:r>
      <w:r w:rsidRPr="008E348A">
        <w:rPr>
          <w:b/>
          <w:i/>
          <w:iCs/>
          <w:szCs w:val="22"/>
          <w:lang w:val="en-US"/>
        </w:rPr>
        <w:t>Company</w:t>
      </w:r>
      <w:r w:rsidR="00A1376F">
        <w:rPr>
          <w:bCs/>
          <w:i/>
          <w:iCs/>
          <w:szCs w:val="22"/>
          <w:lang w:val="en-US"/>
        </w:rPr>
        <w:t>"</w:t>
      </w:r>
      <w:r w:rsidRPr="008E348A">
        <w:rPr>
          <w:bCs/>
          <w:i/>
          <w:iCs/>
          <w:szCs w:val="22"/>
          <w:lang w:val="en-US"/>
        </w:rPr>
        <w:t xml:space="preserve">) proposes that the </w:t>
      </w:r>
      <w:r>
        <w:rPr>
          <w:bCs/>
          <w:i/>
          <w:iCs/>
          <w:szCs w:val="22"/>
          <w:lang w:val="en-US"/>
        </w:rPr>
        <w:t>annual general</w:t>
      </w:r>
      <w:r w:rsidRPr="008E348A">
        <w:rPr>
          <w:bCs/>
          <w:i/>
          <w:iCs/>
          <w:szCs w:val="22"/>
          <w:lang w:val="en-US"/>
        </w:rPr>
        <w:t xml:space="preserve"> meeting resolves on a directed issue of warrants of series 202</w:t>
      </w:r>
      <w:r>
        <w:rPr>
          <w:bCs/>
          <w:i/>
          <w:iCs/>
          <w:szCs w:val="22"/>
          <w:lang w:val="en-US"/>
        </w:rPr>
        <w:t>5</w:t>
      </w:r>
      <w:r w:rsidRPr="008E348A">
        <w:rPr>
          <w:bCs/>
          <w:i/>
          <w:iCs/>
          <w:szCs w:val="22"/>
          <w:lang w:val="en-US"/>
        </w:rPr>
        <w:t>/202</w:t>
      </w:r>
      <w:r>
        <w:rPr>
          <w:bCs/>
          <w:i/>
          <w:iCs/>
          <w:szCs w:val="22"/>
          <w:lang w:val="en-US"/>
        </w:rPr>
        <w:t>8:1</w:t>
      </w:r>
      <w:r w:rsidRPr="008E348A">
        <w:rPr>
          <w:bCs/>
          <w:i/>
          <w:iCs/>
          <w:szCs w:val="22"/>
          <w:lang w:val="en-US"/>
        </w:rPr>
        <w:t xml:space="preserve"> and </w:t>
      </w:r>
      <w:r>
        <w:rPr>
          <w:bCs/>
          <w:i/>
          <w:iCs/>
          <w:szCs w:val="22"/>
          <w:lang w:val="en-US"/>
        </w:rPr>
        <w:t>to approve</w:t>
      </w:r>
      <w:r w:rsidRPr="008E348A">
        <w:rPr>
          <w:bCs/>
          <w:i/>
          <w:iCs/>
          <w:szCs w:val="22"/>
          <w:lang w:val="en-US"/>
        </w:rPr>
        <w:t xml:space="preserve"> the transfer of warrants of series </w:t>
      </w:r>
      <w:r>
        <w:rPr>
          <w:bCs/>
          <w:i/>
          <w:iCs/>
          <w:szCs w:val="22"/>
          <w:lang w:val="en-US"/>
        </w:rPr>
        <w:t>2025/2028:1 in accordance with the following</w:t>
      </w:r>
      <w:r w:rsidRPr="008E348A">
        <w:rPr>
          <w:bCs/>
          <w:i/>
          <w:iCs/>
          <w:szCs w:val="22"/>
          <w:lang w:val="en-US"/>
        </w:rPr>
        <w:t>.</w:t>
      </w:r>
    </w:p>
    <w:p w14:paraId="3D0F4E87" w14:textId="77777777" w:rsidR="006B1763" w:rsidRPr="008E348A" w:rsidRDefault="006B1763" w:rsidP="006B1763">
      <w:pPr>
        <w:rPr>
          <w:szCs w:val="22"/>
          <w:lang w:val="en-US"/>
        </w:rPr>
      </w:pPr>
    </w:p>
    <w:p w14:paraId="0F44747A" w14:textId="4F6ABB9D" w:rsidR="006B1763" w:rsidRPr="008E348A" w:rsidRDefault="00A1376F" w:rsidP="006B1763">
      <w:pPr>
        <w:rPr>
          <w:szCs w:val="22"/>
        </w:rPr>
      </w:pPr>
      <w:bookmarkStart w:id="18" w:name="_Hlk206169584"/>
      <w:r>
        <w:rPr>
          <w:szCs w:val="22"/>
        </w:rPr>
        <w:t>Aktieägaren</w:t>
      </w:r>
      <w:r w:rsidR="006B1763" w:rsidRPr="008E348A">
        <w:rPr>
          <w:szCs w:val="22"/>
        </w:rPr>
        <w:t xml:space="preserve"> föreslår att </w:t>
      </w:r>
      <w:r w:rsidR="006B1763">
        <w:rPr>
          <w:szCs w:val="22"/>
        </w:rPr>
        <w:t>årsstämman</w:t>
      </w:r>
      <w:r w:rsidR="006B1763" w:rsidRPr="008E348A">
        <w:rPr>
          <w:szCs w:val="22"/>
        </w:rPr>
        <w:t xml:space="preserve"> beslutar om emission av högst </w:t>
      </w:r>
      <w:r w:rsidR="008A69DC">
        <w:rPr>
          <w:szCs w:val="22"/>
        </w:rPr>
        <w:t>1 853 100</w:t>
      </w:r>
      <w:r w:rsidR="006B1763" w:rsidRPr="008E348A">
        <w:rPr>
          <w:szCs w:val="22"/>
        </w:rPr>
        <w:t xml:space="preserve"> teckningsoptioner, till följd varav Bolagets aktiekapital kan komma att öka med högst </w:t>
      </w:r>
      <w:r w:rsidR="008A69DC" w:rsidRPr="008A69DC">
        <w:rPr>
          <w:szCs w:val="22"/>
        </w:rPr>
        <w:t>123 540,000086</w:t>
      </w:r>
      <w:r w:rsidR="006B1763" w:rsidRPr="008E348A">
        <w:rPr>
          <w:szCs w:val="22"/>
        </w:rPr>
        <w:t> kronor.</w:t>
      </w:r>
      <w:r w:rsidR="006B1763" w:rsidRPr="00211621">
        <w:rPr>
          <w:szCs w:val="22"/>
        </w:rPr>
        <w:t xml:space="preserve"> </w:t>
      </w:r>
      <w:r w:rsidR="006B1763" w:rsidRPr="008E348A">
        <w:rPr>
          <w:szCs w:val="22"/>
        </w:rPr>
        <w:t>Teckningsoptionerna ska medföra rätt till nyteckning av B-aktier Bolaget.</w:t>
      </w:r>
    </w:p>
    <w:p w14:paraId="50352138" w14:textId="20FF2B44" w:rsidR="006B1763" w:rsidRPr="00A1376F" w:rsidRDefault="006B1763" w:rsidP="006B1763">
      <w:pPr>
        <w:rPr>
          <w:bCs/>
          <w:i/>
          <w:iCs/>
          <w:szCs w:val="22"/>
          <w:lang w:val="en-US"/>
        </w:rPr>
      </w:pPr>
      <w:r w:rsidRPr="00A1376F">
        <w:rPr>
          <w:i/>
          <w:iCs/>
          <w:szCs w:val="22"/>
          <w:lang w:val="en-US"/>
        </w:rPr>
        <w:t xml:space="preserve">The </w:t>
      </w:r>
      <w:r w:rsidR="00A1376F">
        <w:rPr>
          <w:i/>
          <w:iCs/>
          <w:szCs w:val="22"/>
          <w:lang w:val="en-US"/>
        </w:rPr>
        <w:t>Shareholder</w:t>
      </w:r>
      <w:r w:rsidRPr="00A1376F">
        <w:rPr>
          <w:i/>
          <w:iCs/>
          <w:szCs w:val="22"/>
          <w:lang w:val="en-US"/>
        </w:rPr>
        <w:t xml:space="preserve"> proposes that the annual general meeting resolves to issue a maximum of </w:t>
      </w:r>
      <w:r w:rsidR="008A69DC" w:rsidRPr="00EE396E">
        <w:rPr>
          <w:i/>
          <w:iCs/>
          <w:szCs w:val="22"/>
          <w:lang w:val="en-US"/>
        </w:rPr>
        <w:t>1,853,100</w:t>
      </w:r>
      <w:r w:rsidRPr="00A1376F">
        <w:rPr>
          <w:i/>
          <w:iCs/>
          <w:szCs w:val="22"/>
          <w:lang w:val="en-US"/>
        </w:rPr>
        <w:t xml:space="preserve"> warrants, </w:t>
      </w:r>
      <w:proofErr w:type="gramStart"/>
      <w:r w:rsidRPr="00A1376F">
        <w:rPr>
          <w:i/>
          <w:iCs/>
          <w:szCs w:val="22"/>
          <w:lang w:val="en-US"/>
        </w:rPr>
        <w:t>as a result of</w:t>
      </w:r>
      <w:proofErr w:type="gramEnd"/>
      <w:r w:rsidRPr="00A1376F">
        <w:rPr>
          <w:i/>
          <w:iCs/>
          <w:szCs w:val="22"/>
          <w:lang w:val="en-US"/>
        </w:rPr>
        <w:t xml:space="preserve"> which the </w:t>
      </w:r>
      <w:r w:rsidR="008A69DC">
        <w:rPr>
          <w:i/>
          <w:iCs/>
          <w:szCs w:val="22"/>
          <w:lang w:val="en-US"/>
        </w:rPr>
        <w:t>C</w:t>
      </w:r>
      <w:r w:rsidRPr="00A1376F">
        <w:rPr>
          <w:i/>
          <w:iCs/>
          <w:szCs w:val="22"/>
          <w:lang w:val="en-US"/>
        </w:rPr>
        <w:t>ompany's share capital may increase by a maximum of SEK</w:t>
      </w:r>
      <w:r w:rsidR="00A1376F">
        <w:rPr>
          <w:i/>
          <w:iCs/>
          <w:szCs w:val="22"/>
          <w:lang w:val="en-US"/>
        </w:rPr>
        <w:t> </w:t>
      </w:r>
      <w:proofErr w:type="gramStart"/>
      <w:r w:rsidR="008A69DC" w:rsidRPr="008A69DC">
        <w:rPr>
          <w:i/>
          <w:iCs/>
          <w:szCs w:val="22"/>
          <w:lang w:val="en-US"/>
        </w:rPr>
        <w:t>123</w:t>
      </w:r>
      <w:r w:rsidR="008A69DC">
        <w:rPr>
          <w:i/>
          <w:iCs/>
          <w:szCs w:val="22"/>
          <w:lang w:val="en-US"/>
        </w:rPr>
        <w:t>,</w:t>
      </w:r>
      <w:r w:rsidR="008A69DC" w:rsidRPr="008A69DC">
        <w:rPr>
          <w:i/>
          <w:iCs/>
          <w:szCs w:val="22"/>
          <w:lang w:val="en-US"/>
        </w:rPr>
        <w:t>540</w:t>
      </w:r>
      <w:r w:rsidR="008A69DC">
        <w:rPr>
          <w:i/>
          <w:iCs/>
          <w:szCs w:val="22"/>
          <w:lang w:val="en-US"/>
        </w:rPr>
        <w:t>.</w:t>
      </w:r>
      <w:r w:rsidR="008A69DC" w:rsidRPr="008A69DC">
        <w:rPr>
          <w:i/>
          <w:iCs/>
          <w:szCs w:val="22"/>
          <w:lang w:val="en-US"/>
        </w:rPr>
        <w:t>000086</w:t>
      </w:r>
      <w:r w:rsidRPr="00A1376F">
        <w:rPr>
          <w:i/>
          <w:iCs/>
          <w:szCs w:val="22"/>
          <w:lang w:val="en-US"/>
        </w:rPr>
        <w:t>.</w:t>
      </w:r>
      <w:r w:rsidRPr="00A1376F">
        <w:rPr>
          <w:bCs/>
          <w:i/>
          <w:iCs/>
          <w:szCs w:val="22"/>
          <w:lang w:val="en-US"/>
        </w:rPr>
        <w:t>The</w:t>
      </w:r>
      <w:proofErr w:type="gramEnd"/>
      <w:r w:rsidRPr="00A1376F">
        <w:rPr>
          <w:bCs/>
          <w:i/>
          <w:iCs/>
          <w:szCs w:val="22"/>
          <w:lang w:val="en-US"/>
        </w:rPr>
        <w:t xml:space="preserve"> warrants shall entail the right to subscribe for new class B shares in the Company.</w:t>
      </w:r>
    </w:p>
    <w:p w14:paraId="21484454" w14:textId="77777777" w:rsidR="006B1763" w:rsidRPr="008E348A" w:rsidRDefault="006B1763" w:rsidP="006B1763">
      <w:pPr>
        <w:rPr>
          <w:szCs w:val="22"/>
          <w:lang w:val="en-US"/>
        </w:rPr>
      </w:pPr>
    </w:p>
    <w:p w14:paraId="6C71FBF7" w14:textId="77777777" w:rsidR="006B1763" w:rsidRPr="008E348A" w:rsidRDefault="006B1763" w:rsidP="006B1763">
      <w:pPr>
        <w:rPr>
          <w:szCs w:val="22"/>
        </w:rPr>
      </w:pPr>
      <w:r w:rsidRPr="008E348A">
        <w:rPr>
          <w:szCs w:val="22"/>
        </w:rPr>
        <w:t>För emissionen ska följande villkor gälla:</w:t>
      </w:r>
    </w:p>
    <w:p w14:paraId="6BDC2E6F" w14:textId="77777777" w:rsidR="006B1763" w:rsidRPr="008E348A" w:rsidRDefault="006B1763" w:rsidP="006B1763">
      <w:pPr>
        <w:autoSpaceDE w:val="0"/>
        <w:autoSpaceDN w:val="0"/>
        <w:adjustRightInd w:val="0"/>
        <w:rPr>
          <w:bCs/>
          <w:i/>
          <w:iCs/>
          <w:szCs w:val="22"/>
          <w:lang w:val="en-US"/>
        </w:rPr>
      </w:pPr>
      <w:r w:rsidRPr="008E348A">
        <w:rPr>
          <w:bCs/>
          <w:i/>
          <w:iCs/>
          <w:szCs w:val="22"/>
          <w:lang w:val="en-US"/>
        </w:rPr>
        <w:t>For the issue, the following conditions shall apply:</w:t>
      </w:r>
    </w:p>
    <w:p w14:paraId="78EE5454" w14:textId="77777777" w:rsidR="006B1763" w:rsidRPr="008E348A" w:rsidRDefault="006B1763" w:rsidP="006B1763">
      <w:pPr>
        <w:rPr>
          <w:szCs w:val="22"/>
          <w:lang w:val="en-US"/>
        </w:rPr>
      </w:pPr>
    </w:p>
    <w:p w14:paraId="6A260C08" w14:textId="77777777" w:rsidR="006B1763" w:rsidRPr="008E348A" w:rsidRDefault="006B1763" w:rsidP="00F3012E">
      <w:pPr>
        <w:pStyle w:val="ListParagraph"/>
        <w:widowControl w:val="0"/>
        <w:numPr>
          <w:ilvl w:val="0"/>
          <w:numId w:val="34"/>
        </w:numPr>
        <w:ind w:hanging="720"/>
        <w:contextualSpacing w:val="0"/>
        <w:rPr>
          <w:i/>
          <w:iCs/>
          <w:szCs w:val="22"/>
          <w:lang w:val="sv-SE"/>
        </w:rPr>
      </w:pPr>
      <w:r w:rsidRPr="008E348A">
        <w:rPr>
          <w:szCs w:val="22"/>
          <w:lang w:val="sv-SE"/>
        </w:rPr>
        <w:t>Rätt att teckna teckningsoptionerna ska, med avvikelse från aktieägarnas företrädesrätt, tillkomma Bolaget och annat koncernbolag.</w:t>
      </w:r>
    </w:p>
    <w:p w14:paraId="50A86FF0" w14:textId="77777777" w:rsidR="006B1763" w:rsidRPr="008E348A" w:rsidRDefault="006B1763" w:rsidP="006B1763">
      <w:pPr>
        <w:pStyle w:val="ListParagraph"/>
        <w:widowControl w:val="0"/>
        <w:contextualSpacing w:val="0"/>
        <w:rPr>
          <w:i/>
          <w:iCs/>
          <w:szCs w:val="22"/>
          <w:lang w:val="en-US"/>
        </w:rPr>
      </w:pPr>
      <w:r w:rsidRPr="008E348A">
        <w:rPr>
          <w:bCs/>
          <w:i/>
          <w:iCs/>
          <w:szCs w:val="22"/>
          <w:lang w:val="en-US"/>
        </w:rPr>
        <w:t xml:space="preserve">The right to subscribe </w:t>
      </w:r>
      <w:proofErr w:type="gramStart"/>
      <w:r w:rsidRPr="008E348A">
        <w:rPr>
          <w:bCs/>
          <w:i/>
          <w:iCs/>
          <w:szCs w:val="22"/>
          <w:lang w:val="en-US"/>
        </w:rPr>
        <w:t>for</w:t>
      </w:r>
      <w:proofErr w:type="gramEnd"/>
      <w:r w:rsidRPr="008E348A">
        <w:rPr>
          <w:bCs/>
          <w:i/>
          <w:iCs/>
          <w:szCs w:val="22"/>
          <w:lang w:val="en-US"/>
        </w:rPr>
        <w:t xml:space="preserve"> the warrants shall, with deviation from the shareholders' preferential right, accrue to the Company and other group companies.</w:t>
      </w:r>
    </w:p>
    <w:p w14:paraId="68DB2CA4" w14:textId="77777777" w:rsidR="006B1763" w:rsidRPr="008E348A" w:rsidRDefault="006B1763" w:rsidP="006B1763">
      <w:pPr>
        <w:pStyle w:val="ListParagraph"/>
        <w:widowControl w:val="0"/>
        <w:contextualSpacing w:val="0"/>
        <w:rPr>
          <w:szCs w:val="22"/>
          <w:lang w:val="en-US"/>
        </w:rPr>
      </w:pPr>
    </w:p>
    <w:p w14:paraId="3B4C8358" w14:textId="77777777" w:rsidR="006B1763" w:rsidRPr="008E348A" w:rsidRDefault="006B1763" w:rsidP="00F3012E">
      <w:pPr>
        <w:pStyle w:val="ListParagraph"/>
        <w:widowControl w:val="0"/>
        <w:numPr>
          <w:ilvl w:val="0"/>
          <w:numId w:val="34"/>
        </w:numPr>
        <w:ind w:hanging="720"/>
        <w:contextualSpacing w:val="0"/>
        <w:rPr>
          <w:i/>
          <w:iCs/>
          <w:szCs w:val="22"/>
          <w:lang w:val="sv-SE"/>
        </w:rPr>
      </w:pPr>
      <w:r w:rsidRPr="008E348A">
        <w:rPr>
          <w:szCs w:val="22"/>
          <w:lang w:val="sv-SE"/>
        </w:rPr>
        <w:t xml:space="preserve">Teckningsoptionerna emitteras vederlagsfritt och ska tecknas på särskild teckningslista senast den </w:t>
      </w:r>
      <w:r w:rsidRPr="008E348A">
        <w:rPr>
          <w:iCs/>
          <w:szCs w:val="22"/>
          <w:lang w:val="sv-SE"/>
        </w:rPr>
        <w:t>1 </w:t>
      </w:r>
      <w:r>
        <w:rPr>
          <w:iCs/>
          <w:szCs w:val="22"/>
          <w:lang w:val="sv-SE"/>
        </w:rPr>
        <w:t>november</w:t>
      </w:r>
      <w:r w:rsidRPr="008E348A">
        <w:rPr>
          <w:iCs/>
          <w:szCs w:val="22"/>
          <w:lang w:val="sv-SE"/>
        </w:rPr>
        <w:t xml:space="preserve"> 202</w:t>
      </w:r>
      <w:r>
        <w:rPr>
          <w:iCs/>
          <w:szCs w:val="22"/>
          <w:lang w:val="sv-SE"/>
        </w:rPr>
        <w:t>5</w:t>
      </w:r>
      <w:r w:rsidRPr="008E348A">
        <w:rPr>
          <w:szCs w:val="22"/>
          <w:lang w:val="sv-SE"/>
        </w:rPr>
        <w:t>. Styrelsen ska äga rätt att förlänga tiden för teckning.</w:t>
      </w:r>
    </w:p>
    <w:p w14:paraId="015792CD" w14:textId="64FE1F9E" w:rsidR="006B1763" w:rsidRPr="008E348A" w:rsidRDefault="006B1763" w:rsidP="006B1763">
      <w:pPr>
        <w:pStyle w:val="ListParagraph"/>
        <w:widowControl w:val="0"/>
        <w:contextualSpacing w:val="0"/>
        <w:rPr>
          <w:i/>
          <w:iCs/>
          <w:szCs w:val="22"/>
          <w:lang w:val="en-US"/>
        </w:rPr>
      </w:pPr>
      <w:r w:rsidRPr="008E348A">
        <w:rPr>
          <w:bCs/>
          <w:i/>
          <w:iCs/>
          <w:szCs w:val="22"/>
          <w:lang w:val="en-US"/>
        </w:rPr>
        <w:t xml:space="preserve">The warrants are issued free of charge and must be subscribed </w:t>
      </w:r>
      <w:proofErr w:type="gramStart"/>
      <w:r w:rsidRPr="008E348A">
        <w:rPr>
          <w:bCs/>
          <w:i/>
          <w:iCs/>
          <w:szCs w:val="22"/>
          <w:lang w:val="en-US"/>
        </w:rPr>
        <w:t>on</w:t>
      </w:r>
      <w:proofErr w:type="gramEnd"/>
      <w:r w:rsidRPr="008E348A">
        <w:rPr>
          <w:bCs/>
          <w:i/>
          <w:iCs/>
          <w:szCs w:val="22"/>
          <w:lang w:val="en-US"/>
        </w:rPr>
        <w:t xml:space="preserve"> a special subscription list no later than on </w:t>
      </w:r>
      <w:r w:rsidRPr="008E348A">
        <w:rPr>
          <w:i/>
          <w:iCs/>
          <w:szCs w:val="22"/>
          <w:lang w:val="en-US"/>
        </w:rPr>
        <w:t>1 </w:t>
      </w:r>
      <w:r>
        <w:rPr>
          <w:i/>
          <w:iCs/>
          <w:szCs w:val="22"/>
          <w:lang w:val="en-US"/>
        </w:rPr>
        <w:t>November</w:t>
      </w:r>
      <w:r w:rsidRPr="008E348A">
        <w:rPr>
          <w:i/>
          <w:iCs/>
          <w:szCs w:val="22"/>
          <w:lang w:val="en-US"/>
        </w:rPr>
        <w:t xml:space="preserve"> 202</w:t>
      </w:r>
      <w:r>
        <w:rPr>
          <w:i/>
          <w:iCs/>
          <w:szCs w:val="22"/>
          <w:lang w:val="en-US"/>
        </w:rPr>
        <w:t>5</w:t>
      </w:r>
      <w:r w:rsidRPr="008E348A">
        <w:rPr>
          <w:bCs/>
          <w:i/>
          <w:iCs/>
          <w:szCs w:val="22"/>
          <w:lang w:val="en-US"/>
        </w:rPr>
        <w:t xml:space="preserve">. The </w:t>
      </w:r>
      <w:proofErr w:type="gramStart"/>
      <w:r w:rsidRPr="008E348A">
        <w:rPr>
          <w:bCs/>
          <w:i/>
          <w:iCs/>
          <w:szCs w:val="22"/>
          <w:lang w:val="en-US"/>
        </w:rPr>
        <w:t xml:space="preserve">board </w:t>
      </w:r>
      <w:r w:rsidR="00FD2843">
        <w:rPr>
          <w:bCs/>
          <w:i/>
          <w:iCs/>
          <w:szCs w:val="22"/>
          <w:lang w:val="en-US"/>
        </w:rPr>
        <w:t>shall</w:t>
      </w:r>
      <w:proofErr w:type="gramEnd"/>
      <w:r w:rsidR="00FD2843">
        <w:rPr>
          <w:bCs/>
          <w:i/>
          <w:iCs/>
          <w:szCs w:val="22"/>
          <w:lang w:val="en-US"/>
        </w:rPr>
        <w:t xml:space="preserve"> have</w:t>
      </w:r>
      <w:r w:rsidRPr="008E348A">
        <w:rPr>
          <w:bCs/>
          <w:i/>
          <w:iCs/>
          <w:szCs w:val="22"/>
          <w:lang w:val="en-US"/>
        </w:rPr>
        <w:t xml:space="preserve"> the right to extend the subscription period.</w:t>
      </w:r>
      <w:r w:rsidRPr="008E348A">
        <w:rPr>
          <w:i/>
          <w:iCs/>
          <w:szCs w:val="22"/>
          <w:lang w:val="en-US"/>
        </w:rPr>
        <w:t xml:space="preserve"> </w:t>
      </w:r>
    </w:p>
    <w:p w14:paraId="17A76F0F" w14:textId="77777777" w:rsidR="006B1763" w:rsidRPr="008E348A" w:rsidRDefault="006B1763" w:rsidP="006B1763">
      <w:pPr>
        <w:pStyle w:val="ListParagraph"/>
        <w:widowControl w:val="0"/>
        <w:contextualSpacing w:val="0"/>
        <w:rPr>
          <w:szCs w:val="22"/>
          <w:lang w:val="en-US"/>
        </w:rPr>
      </w:pPr>
    </w:p>
    <w:p w14:paraId="0D5C48DA" w14:textId="77777777" w:rsidR="006B1763" w:rsidRPr="008E348A" w:rsidRDefault="006B1763" w:rsidP="00F3012E">
      <w:pPr>
        <w:pStyle w:val="ListParagraph"/>
        <w:widowControl w:val="0"/>
        <w:numPr>
          <w:ilvl w:val="0"/>
          <w:numId w:val="34"/>
        </w:numPr>
        <w:ind w:hanging="720"/>
        <w:contextualSpacing w:val="0"/>
        <w:rPr>
          <w:i/>
          <w:iCs/>
          <w:szCs w:val="22"/>
          <w:lang w:val="sv-SE"/>
        </w:rPr>
      </w:pPr>
      <w:r w:rsidRPr="008E348A">
        <w:rPr>
          <w:szCs w:val="22"/>
          <w:lang w:val="sv-SE"/>
        </w:rPr>
        <w:t xml:space="preserve">Varje teckningsoption berättigar till teckning av en ny B-aktie i Bolaget under perioden från och med registrering hos Bolagsverket till och med den </w:t>
      </w:r>
      <w:r>
        <w:rPr>
          <w:iCs/>
          <w:szCs w:val="22"/>
          <w:lang w:val="sv-SE"/>
        </w:rPr>
        <w:t>30</w:t>
      </w:r>
      <w:r w:rsidRPr="008E348A">
        <w:rPr>
          <w:iCs/>
          <w:szCs w:val="22"/>
          <w:lang w:val="sv-SE"/>
        </w:rPr>
        <w:t xml:space="preserve"> november 202</w:t>
      </w:r>
      <w:r>
        <w:rPr>
          <w:iCs/>
          <w:szCs w:val="22"/>
          <w:lang w:val="sv-SE"/>
        </w:rPr>
        <w:t>8</w:t>
      </w:r>
      <w:r w:rsidRPr="008E348A">
        <w:rPr>
          <w:szCs w:val="22"/>
          <w:lang w:val="sv-SE"/>
        </w:rPr>
        <w:t xml:space="preserve"> eller den tidigare dag som följer av villkoren för teckningsoptionerna. Styrelsen ska äga rätt att förlänga tiden för aktieteckning för det fall att deltagare är förhindrade att teckna aktier i slutet av teckningsperioden på grund av EU:s marknadsmissbruksförordning.</w:t>
      </w:r>
    </w:p>
    <w:p w14:paraId="28638D3B" w14:textId="2F8AAC44" w:rsidR="006B1763" w:rsidRPr="008E348A" w:rsidRDefault="006B1763" w:rsidP="006B1763">
      <w:pPr>
        <w:pStyle w:val="ListParagraph"/>
        <w:widowControl w:val="0"/>
        <w:contextualSpacing w:val="0"/>
        <w:rPr>
          <w:i/>
          <w:iCs/>
          <w:szCs w:val="22"/>
          <w:lang w:val="en-US"/>
        </w:rPr>
      </w:pPr>
      <w:r w:rsidRPr="008E348A">
        <w:rPr>
          <w:bCs/>
          <w:i/>
          <w:iCs/>
          <w:szCs w:val="22"/>
          <w:lang w:val="en-US"/>
        </w:rPr>
        <w:t xml:space="preserve">Each warrant entitles the holder to subscribe for one new class B share in the Company during the period from registration with the Swedish Companies Registration Office up to and including </w:t>
      </w:r>
      <w:r>
        <w:rPr>
          <w:i/>
          <w:iCs/>
          <w:szCs w:val="22"/>
          <w:lang w:val="en-US"/>
        </w:rPr>
        <w:t>30</w:t>
      </w:r>
      <w:r w:rsidRPr="008E348A">
        <w:rPr>
          <w:i/>
          <w:iCs/>
          <w:szCs w:val="22"/>
          <w:lang w:val="en-US"/>
        </w:rPr>
        <w:t> November 202</w:t>
      </w:r>
      <w:r>
        <w:rPr>
          <w:i/>
          <w:iCs/>
          <w:szCs w:val="22"/>
          <w:lang w:val="en-US"/>
        </w:rPr>
        <w:t>8</w:t>
      </w:r>
      <w:r w:rsidRPr="008E348A">
        <w:rPr>
          <w:bCs/>
          <w:i/>
          <w:iCs/>
          <w:szCs w:val="22"/>
          <w:lang w:val="en-US"/>
        </w:rPr>
        <w:t xml:space="preserve">, or the earlier day that follows from the terms of the warrants. The board </w:t>
      </w:r>
      <w:r w:rsidR="00FD2843">
        <w:rPr>
          <w:bCs/>
          <w:i/>
          <w:iCs/>
          <w:szCs w:val="22"/>
          <w:lang w:val="en-US"/>
        </w:rPr>
        <w:t>shall have</w:t>
      </w:r>
      <w:r w:rsidRPr="008E348A">
        <w:rPr>
          <w:bCs/>
          <w:i/>
          <w:iCs/>
          <w:szCs w:val="22"/>
          <w:lang w:val="en-US"/>
        </w:rPr>
        <w:t xml:space="preserve"> the right to </w:t>
      </w:r>
      <w:r w:rsidRPr="008E348A">
        <w:rPr>
          <w:i/>
          <w:iCs/>
          <w:szCs w:val="22"/>
          <w:lang w:val="en-US"/>
        </w:rPr>
        <w:t>extend</w:t>
      </w:r>
      <w:r w:rsidRPr="008E348A">
        <w:rPr>
          <w:bCs/>
          <w:i/>
          <w:iCs/>
          <w:szCs w:val="22"/>
          <w:lang w:val="en-US"/>
        </w:rPr>
        <w:t xml:space="preserve"> the time for share subscription if participants are prevented from subscribing for shares at the end of the subscription period due to the EU's Market Abuse Regulation.</w:t>
      </w:r>
    </w:p>
    <w:p w14:paraId="0E2DCAD8" w14:textId="77777777" w:rsidR="006B1763" w:rsidRPr="008E348A" w:rsidRDefault="006B1763" w:rsidP="006B1763">
      <w:pPr>
        <w:pStyle w:val="ListParagraph"/>
        <w:widowControl w:val="0"/>
        <w:contextualSpacing w:val="0"/>
        <w:rPr>
          <w:szCs w:val="22"/>
          <w:lang w:val="en-US"/>
        </w:rPr>
      </w:pPr>
    </w:p>
    <w:p w14:paraId="0DCB775B" w14:textId="77777777" w:rsidR="006B1763" w:rsidRPr="008E348A" w:rsidRDefault="006B1763" w:rsidP="00F3012E">
      <w:pPr>
        <w:pStyle w:val="ListParagraph"/>
        <w:widowControl w:val="0"/>
        <w:numPr>
          <w:ilvl w:val="0"/>
          <w:numId w:val="34"/>
        </w:numPr>
        <w:ind w:hanging="720"/>
        <w:contextualSpacing w:val="0"/>
        <w:rPr>
          <w:i/>
          <w:iCs/>
          <w:szCs w:val="22"/>
          <w:lang w:val="sv-SE"/>
        </w:rPr>
      </w:pPr>
      <w:r w:rsidRPr="008E348A">
        <w:rPr>
          <w:szCs w:val="22"/>
          <w:lang w:val="sv-SE"/>
        </w:rPr>
        <w:t>Varje teckningsoption ger rätt att teckna en ny B-aktie i Bolaget mot kontant betalning enligt en teckningskurs som motsvarar aktiens kvotvärde.</w:t>
      </w:r>
    </w:p>
    <w:p w14:paraId="51AEA6B3" w14:textId="5BD6E15C" w:rsidR="006B1763" w:rsidRPr="008E348A" w:rsidRDefault="006B1763" w:rsidP="006B1763">
      <w:pPr>
        <w:pStyle w:val="ListParagraph"/>
        <w:widowControl w:val="0"/>
        <w:contextualSpacing w:val="0"/>
        <w:rPr>
          <w:i/>
          <w:iCs/>
          <w:szCs w:val="22"/>
          <w:lang w:val="en-US"/>
        </w:rPr>
      </w:pPr>
      <w:bookmarkStart w:id="19" w:name="_Hlk206163777"/>
      <w:r w:rsidRPr="008E348A">
        <w:rPr>
          <w:bCs/>
          <w:i/>
          <w:iCs/>
          <w:szCs w:val="22"/>
          <w:lang w:val="en-US"/>
        </w:rPr>
        <w:t xml:space="preserve">Each warrant gives the right to subscribe for </w:t>
      </w:r>
      <w:r w:rsidR="003C343D">
        <w:rPr>
          <w:bCs/>
          <w:i/>
          <w:iCs/>
          <w:szCs w:val="22"/>
          <w:lang w:val="en-US"/>
        </w:rPr>
        <w:t>one</w:t>
      </w:r>
      <w:r w:rsidRPr="008E348A">
        <w:rPr>
          <w:bCs/>
          <w:i/>
          <w:iCs/>
          <w:szCs w:val="22"/>
          <w:lang w:val="en-US"/>
        </w:rPr>
        <w:t xml:space="preserve"> new </w:t>
      </w:r>
      <w:r w:rsidR="003C343D">
        <w:rPr>
          <w:bCs/>
          <w:i/>
          <w:iCs/>
          <w:szCs w:val="22"/>
          <w:lang w:val="en-US"/>
        </w:rPr>
        <w:t xml:space="preserve">class </w:t>
      </w:r>
      <w:r w:rsidRPr="008E348A">
        <w:rPr>
          <w:bCs/>
          <w:i/>
          <w:iCs/>
          <w:szCs w:val="22"/>
          <w:lang w:val="en-US"/>
        </w:rPr>
        <w:t>B share in the Company against cash payment according to a subscription price that corresponds to the share's quota value.</w:t>
      </w:r>
      <w:bookmarkEnd w:id="19"/>
    </w:p>
    <w:p w14:paraId="343E11E8" w14:textId="77777777" w:rsidR="006B1763" w:rsidRPr="008E348A" w:rsidRDefault="006B1763" w:rsidP="006B1763">
      <w:pPr>
        <w:pStyle w:val="ListParagraph"/>
        <w:widowControl w:val="0"/>
        <w:contextualSpacing w:val="0"/>
        <w:rPr>
          <w:szCs w:val="22"/>
          <w:lang w:val="en-US"/>
        </w:rPr>
      </w:pPr>
    </w:p>
    <w:p w14:paraId="4C41D097" w14:textId="77777777" w:rsidR="006B1763" w:rsidRPr="008E348A" w:rsidRDefault="006B1763" w:rsidP="00F3012E">
      <w:pPr>
        <w:pStyle w:val="ListParagraph"/>
        <w:widowControl w:val="0"/>
        <w:numPr>
          <w:ilvl w:val="0"/>
          <w:numId w:val="34"/>
        </w:numPr>
        <w:ind w:hanging="720"/>
        <w:contextualSpacing w:val="0"/>
        <w:rPr>
          <w:szCs w:val="22"/>
          <w:lang w:val="sv-SE"/>
        </w:rPr>
      </w:pPr>
      <w:r w:rsidRPr="008E348A">
        <w:rPr>
          <w:szCs w:val="22"/>
          <w:lang w:val="sv-SE"/>
        </w:rPr>
        <w:t xml:space="preserve">Ny aktie som tecknats genom utnyttjande av teckningsoption medför rätt till vinstutdelning </w:t>
      </w:r>
      <w:r w:rsidRPr="008E348A">
        <w:rPr>
          <w:szCs w:val="22"/>
          <w:lang w:val="sv-SE"/>
        </w:rPr>
        <w:lastRenderedPageBreak/>
        <w:t>första gången på den avstämningsdag för utdelning som infaller närmast efter det att de nya aktierna registrerats vid Bolagsverket och aktierna införts i den av Euroclear Sweden AB förda aktieboken.</w:t>
      </w:r>
    </w:p>
    <w:p w14:paraId="13EC0C7F" w14:textId="77777777" w:rsidR="006B1763" w:rsidRPr="008E348A" w:rsidRDefault="006B1763" w:rsidP="006B1763">
      <w:pPr>
        <w:pStyle w:val="ListParagraph"/>
        <w:widowControl w:val="0"/>
        <w:contextualSpacing w:val="0"/>
        <w:rPr>
          <w:i/>
          <w:iCs/>
          <w:szCs w:val="22"/>
          <w:lang w:val="en-US"/>
        </w:rPr>
      </w:pPr>
      <w:bookmarkStart w:id="20" w:name="_Hlk206163791"/>
      <w:r w:rsidRPr="008E348A">
        <w:rPr>
          <w:bCs/>
          <w:i/>
          <w:iCs/>
          <w:szCs w:val="22"/>
          <w:lang w:val="en-US"/>
        </w:rPr>
        <w:t>A new share subscribed for by exercising a warrant carries the right to a dividend for the first time on the record date for the dividend that falls closest after the new shares have been registered with the Swedish Companies Registration Office and the shares have been entered in the share register maintained by Euroclear Sweden AB.</w:t>
      </w:r>
      <w:bookmarkEnd w:id="20"/>
    </w:p>
    <w:p w14:paraId="61A81D3B" w14:textId="77777777" w:rsidR="006B1763" w:rsidRPr="008E348A" w:rsidRDefault="006B1763" w:rsidP="006B1763">
      <w:pPr>
        <w:pStyle w:val="ListParagraph"/>
        <w:widowControl w:val="0"/>
        <w:contextualSpacing w:val="0"/>
        <w:rPr>
          <w:szCs w:val="22"/>
          <w:lang w:val="en-US"/>
        </w:rPr>
      </w:pPr>
    </w:p>
    <w:p w14:paraId="09764A03" w14:textId="2F5AC684" w:rsidR="006B1763" w:rsidRPr="008E348A" w:rsidRDefault="006B1763" w:rsidP="00F3012E">
      <w:pPr>
        <w:pStyle w:val="ListParagraph"/>
        <w:widowControl w:val="0"/>
        <w:numPr>
          <w:ilvl w:val="0"/>
          <w:numId w:val="34"/>
        </w:numPr>
        <w:ind w:hanging="720"/>
        <w:contextualSpacing w:val="0"/>
        <w:rPr>
          <w:szCs w:val="22"/>
          <w:lang w:val="sv-SE"/>
        </w:rPr>
      </w:pPr>
      <w:r w:rsidRPr="008E348A">
        <w:rPr>
          <w:szCs w:val="22"/>
          <w:lang w:val="sv-SE"/>
        </w:rPr>
        <w:t xml:space="preserve">Syftet med emissionen och avvikelsen från aktieägarnas företrädesrätt är att inom ramen för Prestationsaktieprogram </w:t>
      </w:r>
      <w:r>
        <w:rPr>
          <w:szCs w:val="22"/>
          <w:lang w:val="sv-SE"/>
        </w:rPr>
        <w:t>2025/2028:1</w:t>
      </w:r>
      <w:r w:rsidRPr="008E348A">
        <w:rPr>
          <w:szCs w:val="22"/>
          <w:lang w:val="sv-SE"/>
        </w:rPr>
        <w:t xml:space="preserve"> säkerställa leverans av aktier till deltagare i programmet.</w:t>
      </w:r>
    </w:p>
    <w:p w14:paraId="1A0205F2" w14:textId="6C7706ED" w:rsidR="006B1763" w:rsidRPr="008E348A" w:rsidRDefault="006B1763" w:rsidP="006B1763">
      <w:pPr>
        <w:pStyle w:val="ListParagraph"/>
        <w:widowControl w:val="0"/>
        <w:contextualSpacing w:val="0"/>
        <w:rPr>
          <w:szCs w:val="22"/>
          <w:lang w:val="en-US"/>
        </w:rPr>
      </w:pPr>
      <w:bookmarkStart w:id="21" w:name="_Hlk206163798"/>
      <w:r w:rsidRPr="008E348A">
        <w:rPr>
          <w:bCs/>
          <w:i/>
          <w:iCs/>
          <w:szCs w:val="22"/>
          <w:lang w:val="en-US"/>
        </w:rPr>
        <w:t xml:space="preserve">The purpose of the issue and the deviation from the shareholders' preferential right is to ensure delivery of shares to participants in the program within the framework of the Performance Share Program </w:t>
      </w:r>
      <w:r>
        <w:rPr>
          <w:bCs/>
          <w:i/>
          <w:iCs/>
          <w:szCs w:val="22"/>
          <w:lang w:val="en-US"/>
        </w:rPr>
        <w:t>2025/2028:1</w:t>
      </w:r>
      <w:r w:rsidRPr="008E348A">
        <w:rPr>
          <w:bCs/>
          <w:i/>
          <w:iCs/>
          <w:szCs w:val="22"/>
          <w:lang w:val="en-US"/>
        </w:rPr>
        <w:t>.</w:t>
      </w:r>
      <w:bookmarkEnd w:id="21"/>
    </w:p>
    <w:p w14:paraId="5AAAD8DF" w14:textId="77777777" w:rsidR="006B1763" w:rsidRPr="008E348A" w:rsidRDefault="006B1763" w:rsidP="006B1763">
      <w:pPr>
        <w:pStyle w:val="ListParagraph"/>
        <w:widowControl w:val="0"/>
        <w:contextualSpacing w:val="0"/>
        <w:rPr>
          <w:szCs w:val="22"/>
          <w:lang w:val="en-US"/>
        </w:rPr>
      </w:pPr>
    </w:p>
    <w:p w14:paraId="674ED98C" w14:textId="6CA0715A" w:rsidR="006B1763" w:rsidRPr="008E348A" w:rsidRDefault="006B1763" w:rsidP="00F3012E">
      <w:pPr>
        <w:pStyle w:val="ListParagraph"/>
        <w:widowControl w:val="0"/>
        <w:numPr>
          <w:ilvl w:val="0"/>
          <w:numId w:val="34"/>
        </w:numPr>
        <w:ind w:hanging="720"/>
        <w:contextualSpacing w:val="0"/>
        <w:rPr>
          <w:szCs w:val="22"/>
          <w:lang w:val="sv-SE"/>
        </w:rPr>
      </w:pPr>
      <w:r w:rsidRPr="008E348A">
        <w:rPr>
          <w:szCs w:val="22"/>
          <w:lang w:val="sv-SE"/>
        </w:rPr>
        <w:t xml:space="preserve">De fullständiga villkoren för teckningsoptionerna framgår av </w:t>
      </w:r>
      <w:r w:rsidRPr="008E348A">
        <w:rPr>
          <w:szCs w:val="22"/>
          <w:u w:val="single"/>
          <w:lang w:val="sv-SE"/>
        </w:rPr>
        <w:t xml:space="preserve">Bilaga </w:t>
      </w:r>
      <w:r>
        <w:rPr>
          <w:szCs w:val="22"/>
          <w:u w:val="single"/>
          <w:lang w:val="sv-SE"/>
        </w:rPr>
        <w:t>3</w:t>
      </w:r>
      <w:r w:rsidRPr="008E348A">
        <w:rPr>
          <w:szCs w:val="22"/>
          <w:u w:val="single"/>
          <w:lang w:val="sv-SE"/>
        </w:rPr>
        <w:t>c</w:t>
      </w:r>
      <w:r w:rsidRPr="008E348A">
        <w:rPr>
          <w:szCs w:val="22"/>
          <w:lang w:val="sv-SE"/>
        </w:rPr>
        <w:t xml:space="preserve"> som bland annat innebär att teckningskursen liksom antalet aktier som teckningsoption berättigar till teckning av komma att omräknas i vissa fall.</w:t>
      </w:r>
    </w:p>
    <w:p w14:paraId="56FCB756" w14:textId="2CEC0C39" w:rsidR="006B1763" w:rsidRPr="008E348A" w:rsidRDefault="006B1763" w:rsidP="006B1763">
      <w:pPr>
        <w:pStyle w:val="ListParagraph"/>
        <w:widowControl w:val="0"/>
        <w:contextualSpacing w:val="0"/>
        <w:rPr>
          <w:szCs w:val="22"/>
          <w:lang w:val="en-US"/>
        </w:rPr>
      </w:pPr>
      <w:bookmarkStart w:id="22" w:name="_Hlk206163807"/>
      <w:r w:rsidRPr="008E348A">
        <w:rPr>
          <w:bCs/>
          <w:i/>
          <w:iCs/>
          <w:szCs w:val="22"/>
          <w:lang w:val="en-US"/>
        </w:rPr>
        <w:t xml:space="preserve">The full terms and conditions for the warrants are available in </w:t>
      </w:r>
      <w:r w:rsidRPr="008E348A">
        <w:rPr>
          <w:bCs/>
          <w:i/>
          <w:iCs/>
          <w:szCs w:val="22"/>
          <w:u w:val="single"/>
          <w:lang w:val="en-US"/>
        </w:rPr>
        <w:t xml:space="preserve">Exhibit </w:t>
      </w:r>
      <w:r>
        <w:rPr>
          <w:bCs/>
          <w:i/>
          <w:iCs/>
          <w:szCs w:val="22"/>
          <w:u w:val="single"/>
          <w:lang w:val="en-US"/>
        </w:rPr>
        <w:t>3</w:t>
      </w:r>
      <w:r w:rsidRPr="008E348A">
        <w:rPr>
          <w:bCs/>
          <w:i/>
          <w:iCs/>
          <w:szCs w:val="22"/>
          <w:u w:val="single"/>
          <w:lang w:val="en-US"/>
        </w:rPr>
        <w:t>c</w:t>
      </w:r>
      <w:r w:rsidRPr="008E348A">
        <w:rPr>
          <w:bCs/>
          <w:i/>
          <w:iCs/>
          <w:szCs w:val="22"/>
          <w:lang w:val="en-US"/>
        </w:rPr>
        <w:t xml:space="preserve"> </w:t>
      </w:r>
      <w:bookmarkStart w:id="23" w:name="_Hlk206163990"/>
      <w:r w:rsidRPr="008E348A">
        <w:rPr>
          <w:bCs/>
          <w:i/>
          <w:iCs/>
          <w:szCs w:val="22"/>
          <w:lang w:val="en-US"/>
        </w:rPr>
        <w:t>including</w:t>
      </w:r>
      <w:r w:rsidR="003C343D">
        <w:rPr>
          <w:bCs/>
          <w:i/>
          <w:iCs/>
          <w:szCs w:val="22"/>
          <w:lang w:val="en-US"/>
        </w:rPr>
        <w:t xml:space="preserve"> </w:t>
      </w:r>
      <w:r w:rsidRPr="008E348A">
        <w:rPr>
          <w:bCs/>
          <w:i/>
          <w:iCs/>
          <w:szCs w:val="22"/>
          <w:lang w:val="en-US"/>
        </w:rPr>
        <w:t>conditions regarding re-calculation, in certain cases, of the subscription price and the number of shares that the warrant entitles to.</w:t>
      </w:r>
      <w:bookmarkEnd w:id="22"/>
      <w:bookmarkEnd w:id="23"/>
    </w:p>
    <w:p w14:paraId="3812322A" w14:textId="77777777" w:rsidR="006B1763" w:rsidRPr="008E348A" w:rsidRDefault="006B1763" w:rsidP="006B1763">
      <w:pPr>
        <w:pStyle w:val="ListParagraph"/>
        <w:widowControl w:val="0"/>
        <w:contextualSpacing w:val="0"/>
        <w:rPr>
          <w:szCs w:val="22"/>
          <w:lang w:val="en-US"/>
        </w:rPr>
      </w:pPr>
    </w:p>
    <w:p w14:paraId="2D1B3985" w14:textId="77777777" w:rsidR="006B1763" w:rsidRPr="008E348A" w:rsidRDefault="006B1763" w:rsidP="00F3012E">
      <w:pPr>
        <w:pStyle w:val="ListParagraph"/>
        <w:widowControl w:val="0"/>
        <w:numPr>
          <w:ilvl w:val="0"/>
          <w:numId w:val="34"/>
        </w:numPr>
        <w:ind w:hanging="720"/>
        <w:contextualSpacing w:val="0"/>
        <w:rPr>
          <w:szCs w:val="22"/>
          <w:lang w:val="sv-SE"/>
        </w:rPr>
      </w:pPr>
      <w:r w:rsidRPr="008E348A">
        <w:rPr>
          <w:szCs w:val="22"/>
          <w:lang w:val="sv-SE"/>
        </w:rPr>
        <w:t>Styrelsen eller den styrelsen förordnar ska ha rätt att vidta de smärre justeringar i beslutet som kan visas erforderliga i samband med registrering av beslutet hos Bolagsverket och eventuellt Euroclear Sweden AB.</w:t>
      </w:r>
    </w:p>
    <w:p w14:paraId="087A6901" w14:textId="77777777" w:rsidR="006B1763" w:rsidRPr="008E348A" w:rsidRDefault="006B1763" w:rsidP="006B1763">
      <w:pPr>
        <w:pStyle w:val="ListParagraph"/>
        <w:widowControl w:val="0"/>
        <w:contextualSpacing w:val="0"/>
        <w:rPr>
          <w:szCs w:val="22"/>
          <w:lang w:val="en-US"/>
        </w:rPr>
      </w:pPr>
      <w:bookmarkStart w:id="24" w:name="_Hlk206164038"/>
      <w:r w:rsidRPr="008E348A">
        <w:rPr>
          <w:bCs/>
          <w:i/>
          <w:iCs/>
          <w:szCs w:val="22"/>
          <w:lang w:val="en-US"/>
        </w:rPr>
        <w:t>The board of directors, or the person that the board of directors may appoint, shall be authorized to make minor adjustment necessary in connection with the registration of the resolution with the Swedish Companies Registration Office or, where applicable, Euroclear Sweden AB.</w:t>
      </w:r>
      <w:bookmarkEnd w:id="24"/>
    </w:p>
    <w:p w14:paraId="5B1AFBFE" w14:textId="77777777" w:rsidR="006B1763" w:rsidRPr="008E348A" w:rsidRDefault="006B1763" w:rsidP="006B1763">
      <w:pPr>
        <w:pStyle w:val="ListParagraph"/>
        <w:widowControl w:val="0"/>
        <w:contextualSpacing w:val="0"/>
        <w:rPr>
          <w:szCs w:val="22"/>
          <w:lang w:val="en-US"/>
        </w:rPr>
      </w:pPr>
    </w:p>
    <w:p w14:paraId="354214B1" w14:textId="4963E69A" w:rsidR="006B1763" w:rsidRPr="008E348A" w:rsidRDefault="00A1376F" w:rsidP="00F3012E">
      <w:pPr>
        <w:pStyle w:val="ListParagraph"/>
        <w:widowControl w:val="0"/>
        <w:numPr>
          <w:ilvl w:val="0"/>
          <w:numId w:val="34"/>
        </w:numPr>
        <w:ind w:hanging="720"/>
        <w:contextualSpacing w:val="0"/>
        <w:rPr>
          <w:szCs w:val="22"/>
          <w:lang w:val="sv-SE"/>
        </w:rPr>
      </w:pPr>
      <w:r>
        <w:rPr>
          <w:szCs w:val="22"/>
          <w:lang w:val="sv-SE"/>
        </w:rPr>
        <w:t>Aktieägaren</w:t>
      </w:r>
      <w:r w:rsidR="006B1763" w:rsidRPr="008E348A">
        <w:rPr>
          <w:szCs w:val="22"/>
          <w:lang w:val="sv-SE"/>
        </w:rPr>
        <w:t xml:space="preserve"> föreslår vidare att bolagsstämman ska besluta om att godkänna att Bolaget eller annat koncernbolag får överlåta teckningsoptioner till deltagare i Prestationsaktieprogram </w:t>
      </w:r>
      <w:r w:rsidR="006B1763">
        <w:rPr>
          <w:szCs w:val="22"/>
          <w:lang w:val="sv-SE"/>
        </w:rPr>
        <w:t>2025/2028:1</w:t>
      </w:r>
      <w:r w:rsidR="006B1763" w:rsidRPr="008E348A">
        <w:rPr>
          <w:szCs w:val="22"/>
          <w:lang w:val="sv-SE"/>
        </w:rPr>
        <w:t xml:space="preserve"> utan vederlag i samband med att Prestationsaktier utnyttjas i enlighet med villkoren enligt </w:t>
      </w:r>
      <w:r w:rsidR="006B1763" w:rsidRPr="008E348A">
        <w:rPr>
          <w:szCs w:val="22"/>
          <w:u w:val="single"/>
          <w:lang w:val="sv-SE"/>
        </w:rPr>
        <w:t xml:space="preserve">Bilaga </w:t>
      </w:r>
      <w:r w:rsidR="006B1763">
        <w:rPr>
          <w:szCs w:val="22"/>
          <w:u w:val="single"/>
          <w:lang w:val="sv-SE"/>
        </w:rPr>
        <w:t>3</w:t>
      </w:r>
      <w:r w:rsidR="006B1763" w:rsidRPr="008E348A">
        <w:rPr>
          <w:szCs w:val="22"/>
          <w:u w:val="single"/>
          <w:lang w:val="sv-SE"/>
        </w:rPr>
        <w:t xml:space="preserve">a </w:t>
      </w:r>
      <w:r w:rsidR="006B1763" w:rsidRPr="008E348A">
        <w:rPr>
          <w:szCs w:val="22"/>
          <w:lang w:val="sv-SE"/>
        </w:rPr>
        <w:t xml:space="preserve">eller på annat sätt förfoga över teckningsoptionerna för att säkerställa Bolagets åtaganden i anledning av Prestationsaktieprogram </w:t>
      </w:r>
      <w:r w:rsidR="006B1763">
        <w:rPr>
          <w:szCs w:val="22"/>
          <w:lang w:val="sv-SE"/>
        </w:rPr>
        <w:t>2025/2028:1</w:t>
      </w:r>
      <w:r w:rsidR="006B1763" w:rsidRPr="008E348A">
        <w:rPr>
          <w:szCs w:val="22"/>
          <w:lang w:val="sv-SE"/>
        </w:rPr>
        <w:t>.</w:t>
      </w:r>
    </w:p>
    <w:p w14:paraId="4320A6D6" w14:textId="4686C892" w:rsidR="006B1763" w:rsidRPr="008E348A" w:rsidRDefault="006B1763" w:rsidP="006B1763">
      <w:pPr>
        <w:pStyle w:val="ListParagraph"/>
        <w:widowControl w:val="0"/>
        <w:contextualSpacing w:val="0"/>
        <w:rPr>
          <w:szCs w:val="22"/>
          <w:lang w:val="en-US"/>
        </w:rPr>
      </w:pPr>
      <w:bookmarkStart w:id="25" w:name="_Hlk206164046"/>
      <w:r w:rsidRPr="008E348A">
        <w:rPr>
          <w:bCs/>
          <w:i/>
          <w:iCs/>
          <w:szCs w:val="22"/>
          <w:lang w:val="en-US"/>
        </w:rPr>
        <w:t xml:space="preserve">The </w:t>
      </w:r>
      <w:r w:rsidR="00A1376F">
        <w:rPr>
          <w:bCs/>
          <w:i/>
          <w:iCs/>
          <w:szCs w:val="22"/>
          <w:lang w:val="en-US"/>
        </w:rPr>
        <w:t>Shareholder</w:t>
      </w:r>
      <w:r w:rsidRPr="008E348A">
        <w:rPr>
          <w:bCs/>
          <w:i/>
          <w:iCs/>
          <w:szCs w:val="22"/>
          <w:lang w:val="en-US"/>
        </w:rPr>
        <w:t xml:space="preserve"> further proposes that the </w:t>
      </w:r>
      <w:r>
        <w:rPr>
          <w:bCs/>
          <w:i/>
          <w:iCs/>
          <w:szCs w:val="22"/>
          <w:lang w:val="en-US"/>
        </w:rPr>
        <w:t>annual general</w:t>
      </w:r>
      <w:r w:rsidRPr="008E348A">
        <w:rPr>
          <w:bCs/>
          <w:i/>
          <w:iCs/>
          <w:szCs w:val="22"/>
          <w:lang w:val="en-US"/>
        </w:rPr>
        <w:t xml:space="preserve"> meeting resolves to approve that the Company or another group company may transfer warrants to participants in the Performance Share Program </w:t>
      </w:r>
      <w:r>
        <w:rPr>
          <w:bCs/>
          <w:i/>
          <w:iCs/>
          <w:szCs w:val="22"/>
          <w:lang w:val="en-US"/>
        </w:rPr>
        <w:t>2025/2028:1</w:t>
      </w:r>
      <w:r w:rsidRPr="008E348A">
        <w:rPr>
          <w:bCs/>
          <w:i/>
          <w:iCs/>
          <w:szCs w:val="22"/>
          <w:lang w:val="en-US"/>
        </w:rPr>
        <w:t xml:space="preserve"> free of charge in connection with the exercise of Performance Shares in accordance with the conditions in </w:t>
      </w:r>
      <w:r w:rsidRPr="008E348A">
        <w:rPr>
          <w:bCs/>
          <w:i/>
          <w:iCs/>
          <w:szCs w:val="22"/>
          <w:u w:val="single"/>
          <w:lang w:val="en-US"/>
        </w:rPr>
        <w:t xml:space="preserve">Exhibit </w:t>
      </w:r>
      <w:r>
        <w:rPr>
          <w:bCs/>
          <w:i/>
          <w:iCs/>
          <w:szCs w:val="22"/>
          <w:u w:val="single"/>
          <w:lang w:val="en-US"/>
        </w:rPr>
        <w:t>3</w:t>
      </w:r>
      <w:r w:rsidRPr="008E348A">
        <w:rPr>
          <w:bCs/>
          <w:i/>
          <w:iCs/>
          <w:szCs w:val="22"/>
          <w:u w:val="single"/>
          <w:lang w:val="en-US"/>
        </w:rPr>
        <w:t>a</w:t>
      </w:r>
      <w:r w:rsidRPr="008E348A">
        <w:rPr>
          <w:bCs/>
          <w:i/>
          <w:iCs/>
          <w:szCs w:val="22"/>
          <w:lang w:val="en-US"/>
        </w:rPr>
        <w:t xml:space="preserve"> or otherwise dispose of the warrants to secure the Company's commitments due to the Performance Share Program </w:t>
      </w:r>
      <w:r>
        <w:rPr>
          <w:bCs/>
          <w:i/>
          <w:iCs/>
          <w:szCs w:val="22"/>
          <w:lang w:val="en-US"/>
        </w:rPr>
        <w:t>2025/2028:1</w:t>
      </w:r>
      <w:r w:rsidRPr="008E348A">
        <w:rPr>
          <w:bCs/>
          <w:i/>
          <w:iCs/>
          <w:szCs w:val="22"/>
          <w:lang w:val="en-US"/>
        </w:rPr>
        <w:t>.</w:t>
      </w:r>
      <w:bookmarkEnd w:id="25"/>
    </w:p>
    <w:p w14:paraId="56AD4618" w14:textId="77777777" w:rsidR="006B1763" w:rsidRPr="008E348A" w:rsidRDefault="006B1763" w:rsidP="006B1763">
      <w:pPr>
        <w:pStyle w:val="ListParagraph"/>
        <w:widowControl w:val="0"/>
        <w:contextualSpacing w:val="0"/>
        <w:rPr>
          <w:szCs w:val="22"/>
          <w:lang w:val="en-US"/>
        </w:rPr>
      </w:pPr>
    </w:p>
    <w:p w14:paraId="5066E534" w14:textId="30589439" w:rsidR="006B1763" w:rsidRPr="008E348A" w:rsidRDefault="006B1763" w:rsidP="00F3012E">
      <w:pPr>
        <w:pStyle w:val="ListParagraph"/>
        <w:widowControl w:val="0"/>
        <w:numPr>
          <w:ilvl w:val="0"/>
          <w:numId w:val="34"/>
        </w:numPr>
        <w:ind w:hanging="720"/>
        <w:contextualSpacing w:val="0"/>
        <w:rPr>
          <w:szCs w:val="22"/>
          <w:lang w:val="sv-SE"/>
        </w:rPr>
      </w:pPr>
      <w:r w:rsidRPr="008E348A">
        <w:rPr>
          <w:szCs w:val="22"/>
          <w:lang w:val="sv-SE"/>
        </w:rPr>
        <w:t xml:space="preserve">Styrelsen ska inte äga rätt att förfoga över teckningsoptionerna för något annat ändamål än för att säkerställa Bolagets åtaganden i anledning av Prestationsaktieprogram </w:t>
      </w:r>
      <w:r>
        <w:rPr>
          <w:szCs w:val="22"/>
          <w:lang w:val="sv-SE"/>
        </w:rPr>
        <w:t>2025/2028:1</w:t>
      </w:r>
      <w:r w:rsidRPr="008E348A">
        <w:rPr>
          <w:szCs w:val="22"/>
          <w:lang w:val="sv-SE"/>
        </w:rPr>
        <w:t>.</w:t>
      </w:r>
    </w:p>
    <w:p w14:paraId="1673D79B" w14:textId="66080F19" w:rsidR="006B1763" w:rsidRPr="008E348A" w:rsidRDefault="006B1763" w:rsidP="006B1763">
      <w:pPr>
        <w:pStyle w:val="ListParagraph"/>
        <w:widowControl w:val="0"/>
        <w:contextualSpacing w:val="0"/>
        <w:rPr>
          <w:bCs/>
          <w:i/>
          <w:iCs/>
          <w:szCs w:val="22"/>
          <w:lang w:val="en-US"/>
        </w:rPr>
      </w:pPr>
      <w:bookmarkStart w:id="26" w:name="_Hlk206164063"/>
      <w:r w:rsidRPr="008E348A">
        <w:rPr>
          <w:bCs/>
          <w:i/>
          <w:iCs/>
          <w:szCs w:val="22"/>
          <w:lang w:val="en-US"/>
        </w:rPr>
        <w:t xml:space="preserve">The board of directors shall not have the right to </w:t>
      </w:r>
      <w:proofErr w:type="gramStart"/>
      <w:r w:rsidRPr="008E348A">
        <w:rPr>
          <w:bCs/>
          <w:i/>
          <w:iCs/>
          <w:szCs w:val="22"/>
          <w:lang w:val="en-US"/>
        </w:rPr>
        <w:t>dispose</w:t>
      </w:r>
      <w:proofErr w:type="gramEnd"/>
      <w:r w:rsidRPr="008E348A">
        <w:rPr>
          <w:bCs/>
          <w:i/>
          <w:iCs/>
          <w:szCs w:val="22"/>
          <w:lang w:val="en-US"/>
        </w:rPr>
        <w:t xml:space="preserve"> the warrants for any other purpose than to secure the Company's commitments in connection with the Performance Share Program </w:t>
      </w:r>
      <w:r>
        <w:rPr>
          <w:bCs/>
          <w:i/>
          <w:iCs/>
          <w:szCs w:val="22"/>
          <w:lang w:val="en-US"/>
        </w:rPr>
        <w:t>2025/2028:1</w:t>
      </w:r>
      <w:r w:rsidRPr="008E348A">
        <w:rPr>
          <w:bCs/>
          <w:i/>
          <w:iCs/>
          <w:szCs w:val="22"/>
          <w:lang w:val="en-US"/>
        </w:rPr>
        <w:t>.</w:t>
      </w:r>
      <w:bookmarkEnd w:id="26"/>
    </w:p>
    <w:bookmarkEnd w:id="18"/>
    <w:p w14:paraId="7523155F" w14:textId="77777777" w:rsidR="006B1763" w:rsidRPr="008E348A" w:rsidRDefault="006B1763" w:rsidP="006B1763">
      <w:pPr>
        <w:pStyle w:val="ListParagraph"/>
        <w:widowControl w:val="0"/>
        <w:contextualSpacing w:val="0"/>
        <w:rPr>
          <w:bCs/>
          <w:i/>
          <w:iCs/>
          <w:szCs w:val="22"/>
          <w:lang w:val="en-US"/>
        </w:rPr>
      </w:pPr>
    </w:p>
    <w:p w14:paraId="5DF7C2F7" w14:textId="77777777" w:rsidR="006B1763" w:rsidRDefault="006B1763" w:rsidP="006B1763">
      <w:pPr>
        <w:jc w:val="center"/>
        <w:rPr>
          <w:szCs w:val="22"/>
          <w:lang w:val="en-GB"/>
        </w:rPr>
      </w:pPr>
      <w:r w:rsidRPr="00545E05">
        <w:rPr>
          <w:szCs w:val="22"/>
          <w:lang w:val="en-GB"/>
        </w:rPr>
        <w:t>* * * * *</w:t>
      </w:r>
    </w:p>
    <w:p w14:paraId="386F11CD" w14:textId="04FF557A" w:rsidR="00AA12B6" w:rsidRDefault="006B1763" w:rsidP="006B1763">
      <w:pPr>
        <w:pStyle w:val="BodyText"/>
        <w:spacing w:after="0"/>
        <w:rPr>
          <w:szCs w:val="22"/>
        </w:rPr>
      </w:pPr>
      <w:r>
        <w:rPr>
          <w:szCs w:val="22"/>
        </w:rPr>
        <w:br w:type="page"/>
      </w:r>
    </w:p>
    <w:p w14:paraId="0326A988" w14:textId="1884F414" w:rsidR="006350FE" w:rsidRPr="00437F01" w:rsidRDefault="006350FE" w:rsidP="006350FE">
      <w:pPr>
        <w:pStyle w:val="BodyText"/>
        <w:jc w:val="right"/>
        <w:rPr>
          <w:b/>
        </w:rPr>
      </w:pPr>
      <w:proofErr w:type="spellStart"/>
      <w:r w:rsidRPr="00EE396E">
        <w:rPr>
          <w:b/>
          <w:lang w:val="en-US"/>
        </w:rPr>
        <w:lastRenderedPageBreak/>
        <w:t>Bilaga</w:t>
      </w:r>
      <w:proofErr w:type="spellEnd"/>
      <w:r w:rsidRPr="00F86D77">
        <w:rPr>
          <w:b/>
        </w:rPr>
        <w:t xml:space="preserve"> </w:t>
      </w:r>
      <w:r w:rsidR="007C4B62">
        <w:rPr>
          <w:b/>
        </w:rPr>
        <w:t>3</w:t>
      </w:r>
      <w:r>
        <w:rPr>
          <w:b/>
        </w:rPr>
        <w:t>c</w:t>
      </w:r>
      <w:r w:rsidRPr="00F86D77">
        <w:rPr>
          <w:b/>
        </w:rPr>
        <w:t>/</w:t>
      </w:r>
      <w:r w:rsidRPr="00F86D77">
        <w:rPr>
          <w:b/>
          <w:i/>
        </w:rPr>
        <w:t xml:space="preserve">Exhibit </w:t>
      </w:r>
      <w:r w:rsidR="007C4B62">
        <w:rPr>
          <w:b/>
          <w:i/>
        </w:rPr>
        <w:t>3</w:t>
      </w:r>
      <w:r>
        <w:rPr>
          <w:b/>
          <w:i/>
        </w:rPr>
        <w:t>c</w:t>
      </w:r>
    </w:p>
    <w:p w14:paraId="7D426F50" w14:textId="668A5F84" w:rsidR="006350FE" w:rsidRPr="008570D1" w:rsidRDefault="006350FE" w:rsidP="006350FE">
      <w:pPr>
        <w:pStyle w:val="BodyText"/>
        <w:jc w:val="center"/>
        <w:rPr>
          <w:b/>
        </w:rPr>
      </w:pPr>
      <w:proofErr w:type="spellStart"/>
      <w:r w:rsidRPr="008570D1">
        <w:rPr>
          <w:b/>
          <w:lang w:val="en-US"/>
        </w:rPr>
        <w:t>Villkor</w:t>
      </w:r>
      <w:proofErr w:type="spellEnd"/>
      <w:r w:rsidRPr="008570D1">
        <w:rPr>
          <w:b/>
          <w:lang w:val="en-US"/>
        </w:rPr>
        <w:t xml:space="preserve"> för </w:t>
      </w:r>
      <w:proofErr w:type="spellStart"/>
      <w:r w:rsidRPr="008570D1">
        <w:rPr>
          <w:b/>
          <w:lang w:val="en-US"/>
        </w:rPr>
        <w:t>teckningsoptioner</w:t>
      </w:r>
      <w:proofErr w:type="spellEnd"/>
      <w:r w:rsidRPr="008570D1">
        <w:rPr>
          <w:b/>
          <w:lang w:val="en-US"/>
        </w:rPr>
        <w:t xml:space="preserve"> </w:t>
      </w:r>
      <w:proofErr w:type="spellStart"/>
      <w:r w:rsidRPr="008570D1">
        <w:rPr>
          <w:b/>
          <w:lang w:val="en-US"/>
        </w:rPr>
        <w:t>i</w:t>
      </w:r>
      <w:proofErr w:type="spellEnd"/>
      <w:r w:rsidRPr="008570D1">
        <w:rPr>
          <w:b/>
          <w:lang w:val="en-US"/>
        </w:rPr>
        <w:t xml:space="preserve"> </w:t>
      </w:r>
      <w:r w:rsidRPr="008570D1">
        <w:rPr>
          <w:b/>
          <w:szCs w:val="22"/>
        </w:rPr>
        <w:t>Biovica International AB</w:t>
      </w:r>
      <w:r w:rsidRPr="008570D1">
        <w:rPr>
          <w:b/>
          <w:lang w:val="en-US"/>
        </w:rPr>
        <w:t xml:space="preserve">, </w:t>
      </w:r>
      <w:proofErr w:type="spellStart"/>
      <w:r w:rsidRPr="008570D1">
        <w:rPr>
          <w:b/>
          <w:lang w:val="en-US"/>
        </w:rPr>
        <w:t>serie</w:t>
      </w:r>
      <w:proofErr w:type="spellEnd"/>
      <w:r w:rsidRPr="008570D1">
        <w:rPr>
          <w:b/>
          <w:lang w:val="en-US"/>
        </w:rPr>
        <w:t xml:space="preserve"> </w:t>
      </w:r>
      <w:r>
        <w:rPr>
          <w:b/>
          <w:lang w:val="en-US"/>
        </w:rPr>
        <w:t>2025/2028:1</w:t>
      </w:r>
      <w:r w:rsidRPr="008570D1">
        <w:rPr>
          <w:b/>
        </w:rPr>
        <w:br/>
      </w:r>
      <w:r w:rsidRPr="008570D1">
        <w:rPr>
          <w:b/>
          <w:i/>
        </w:rPr>
        <w:t>Terms and conditions for Warrants in Biovica International AB, series</w:t>
      </w:r>
      <w:r>
        <w:rPr>
          <w:b/>
          <w:i/>
        </w:rPr>
        <w:t xml:space="preserve"> 2025/2028:1</w:t>
      </w:r>
    </w:p>
    <w:p w14:paraId="78B55702" w14:textId="77777777" w:rsidR="006350FE" w:rsidRPr="00207A3F" w:rsidRDefault="006350FE" w:rsidP="006350FE">
      <w:pPr>
        <w:pStyle w:val="BodyText"/>
        <w:numPr>
          <w:ilvl w:val="0"/>
          <w:numId w:val="55"/>
        </w:numPr>
        <w:spacing w:after="0"/>
        <w:rPr>
          <w:b/>
          <w:bCs/>
        </w:rPr>
      </w:pPr>
      <w:r w:rsidRPr="00F00BEF">
        <w:rPr>
          <w:b/>
          <w:bCs/>
          <w:lang w:val="sv-SE"/>
        </w:rPr>
        <w:t>Definitioner</w:t>
      </w:r>
      <w:r w:rsidRPr="00463D40">
        <w:rPr>
          <w:b/>
          <w:bCs/>
        </w:rPr>
        <w:t>/</w:t>
      </w:r>
      <w:r w:rsidRPr="00463D40">
        <w:rPr>
          <w:b/>
          <w:bCs/>
          <w:i/>
        </w:rPr>
        <w:t>Definitions</w:t>
      </w:r>
    </w:p>
    <w:p w14:paraId="5FD7DDBD" w14:textId="77777777" w:rsidR="006350FE" w:rsidRPr="00437F01" w:rsidRDefault="006350FE" w:rsidP="006350FE">
      <w:pPr>
        <w:pStyle w:val="BodyText"/>
        <w:ind w:left="720"/>
      </w:pPr>
      <w:r w:rsidRPr="00437F01">
        <w:rPr>
          <w:lang w:val="sv-SE"/>
        </w:rPr>
        <w:t xml:space="preserve">I dessa villkor </w:t>
      </w:r>
      <w:r>
        <w:rPr>
          <w:lang w:val="sv-SE"/>
        </w:rPr>
        <w:t>ska</w:t>
      </w:r>
      <w:r w:rsidRPr="00437F01">
        <w:rPr>
          <w:lang w:val="sv-SE"/>
        </w:rPr>
        <w:t xml:space="preserve"> följande benämningar ha den innebörd som anges nedan.</w:t>
      </w:r>
      <w:r w:rsidRPr="00437F01">
        <w:rPr>
          <w:lang w:val="sv-SE"/>
        </w:rPr>
        <w:br/>
      </w:r>
      <w:r w:rsidRPr="00437F01">
        <w:rPr>
          <w:i/>
        </w:rPr>
        <w:t>The following terms</w:t>
      </w:r>
      <w:r>
        <w:rPr>
          <w:i/>
        </w:rPr>
        <w:t xml:space="preserve"> and conditions</w:t>
      </w:r>
      <w:r w:rsidRPr="00437F01">
        <w:rPr>
          <w:i/>
        </w:rPr>
        <w:t xml:space="preserve"> shall have the following meaning when used herein.</w:t>
      </w:r>
    </w:p>
    <w:tbl>
      <w:tblPr>
        <w:tblW w:w="8388" w:type="dxa"/>
        <w:tblInd w:w="612" w:type="dxa"/>
        <w:tblLayout w:type="fixed"/>
        <w:tblLook w:val="0000" w:firstRow="0" w:lastRow="0" w:firstColumn="0" w:lastColumn="0" w:noHBand="0" w:noVBand="0"/>
      </w:tblPr>
      <w:tblGrid>
        <w:gridCol w:w="2520"/>
        <w:gridCol w:w="5868"/>
      </w:tblGrid>
      <w:tr w:rsidR="006350FE" w:rsidRPr="003D73C9" w14:paraId="00890FC4" w14:textId="77777777" w:rsidTr="00695A7D">
        <w:tc>
          <w:tcPr>
            <w:tcW w:w="2520" w:type="dxa"/>
          </w:tcPr>
          <w:p w14:paraId="776278CB" w14:textId="77777777" w:rsidR="006350FE" w:rsidRPr="00437F01" w:rsidRDefault="006350FE" w:rsidP="00695A7D">
            <w:pPr>
              <w:pStyle w:val="TableText"/>
            </w:pPr>
            <w:r w:rsidRPr="00437F01">
              <w:t>"</w:t>
            </w:r>
            <w:r w:rsidRPr="00F00BEF">
              <w:rPr>
                <w:b/>
                <w:lang w:val="sv-SE"/>
              </w:rPr>
              <w:t>Aktie</w:t>
            </w:r>
            <w:r w:rsidRPr="00437F01">
              <w:t>"/</w:t>
            </w:r>
            <w:r>
              <w:br/>
            </w:r>
            <w:r w:rsidRPr="00437F01">
              <w:t>"</w:t>
            </w:r>
            <w:r w:rsidRPr="00437F01">
              <w:rPr>
                <w:b/>
                <w:i/>
              </w:rPr>
              <w:t>Share</w:t>
            </w:r>
            <w:r w:rsidRPr="00437F01">
              <w:t>"</w:t>
            </w:r>
          </w:p>
        </w:tc>
        <w:tc>
          <w:tcPr>
            <w:tcW w:w="5868" w:type="dxa"/>
          </w:tcPr>
          <w:p w14:paraId="17C0FB7C" w14:textId="77777777" w:rsidR="006350FE" w:rsidRPr="005B7A0E" w:rsidRDefault="006350FE" w:rsidP="00695A7D">
            <w:pPr>
              <w:pStyle w:val="TableText"/>
              <w:spacing w:after="0"/>
              <w:rPr>
                <w:lang w:val="sv-SE"/>
              </w:rPr>
            </w:pPr>
            <w:r w:rsidRPr="001C3291">
              <w:rPr>
                <w:lang w:val="sv-SE"/>
              </w:rPr>
              <w:t>avser samtliga</w:t>
            </w:r>
            <w:r>
              <w:rPr>
                <w:lang w:val="sv-SE"/>
              </w:rPr>
              <w:t xml:space="preserve"> vid var tid </w:t>
            </w:r>
            <w:r w:rsidRPr="001C3291">
              <w:rPr>
                <w:lang w:val="sv-SE"/>
              </w:rPr>
              <w:t>utgivna aktier i Bolaget,</w:t>
            </w:r>
          </w:p>
          <w:p w14:paraId="617C81B6" w14:textId="77777777" w:rsidR="006350FE" w:rsidRPr="00437F01" w:rsidRDefault="006350FE" w:rsidP="00695A7D">
            <w:pPr>
              <w:pStyle w:val="TableText"/>
            </w:pPr>
            <w:r w:rsidRPr="00437F01">
              <w:rPr>
                <w:i/>
              </w:rPr>
              <w:t>mean</w:t>
            </w:r>
            <w:r>
              <w:rPr>
                <w:i/>
              </w:rPr>
              <w:t>s</w:t>
            </w:r>
            <w:r w:rsidRPr="00437F01">
              <w:rPr>
                <w:i/>
              </w:rPr>
              <w:t xml:space="preserve"> each </w:t>
            </w:r>
            <w:r w:rsidRPr="005C501C">
              <w:rPr>
                <w:i/>
              </w:rPr>
              <w:t>share</w:t>
            </w:r>
            <w:r w:rsidRPr="00437F01">
              <w:rPr>
                <w:i/>
              </w:rPr>
              <w:t xml:space="preserve"> in the Company issued and outstanding from time to time;</w:t>
            </w:r>
          </w:p>
        </w:tc>
      </w:tr>
      <w:tr w:rsidR="006350FE" w:rsidRPr="003D73C9" w14:paraId="407DCB7C" w14:textId="77777777" w:rsidTr="00695A7D">
        <w:tc>
          <w:tcPr>
            <w:tcW w:w="2520" w:type="dxa"/>
          </w:tcPr>
          <w:p w14:paraId="252E9438" w14:textId="77777777" w:rsidR="006350FE" w:rsidRPr="00437F01" w:rsidRDefault="006350FE" w:rsidP="00695A7D">
            <w:pPr>
              <w:pStyle w:val="TableText"/>
            </w:pPr>
            <w:r w:rsidRPr="00437F01">
              <w:t>"</w:t>
            </w:r>
            <w:r w:rsidRPr="00F00BEF">
              <w:rPr>
                <w:b/>
                <w:lang w:val="sv-SE"/>
              </w:rPr>
              <w:t>Aktiebolagslagen</w:t>
            </w:r>
            <w:r w:rsidRPr="00437F01">
              <w:t>"/</w:t>
            </w:r>
            <w:r>
              <w:br/>
            </w:r>
            <w:r w:rsidRPr="00437F01">
              <w:t>"</w:t>
            </w:r>
            <w:r w:rsidRPr="00437F01">
              <w:rPr>
                <w:b/>
                <w:i/>
              </w:rPr>
              <w:t>Swedish Companies Ac</w:t>
            </w:r>
            <w:r w:rsidRPr="00437F01">
              <w:t>t"</w:t>
            </w:r>
          </w:p>
        </w:tc>
        <w:tc>
          <w:tcPr>
            <w:tcW w:w="5868" w:type="dxa"/>
          </w:tcPr>
          <w:p w14:paraId="06F8DCCC" w14:textId="77777777" w:rsidR="006350FE" w:rsidRPr="006B6AC0" w:rsidRDefault="006350FE" w:rsidP="00695A7D">
            <w:pPr>
              <w:pStyle w:val="TableText"/>
              <w:spacing w:after="0"/>
              <w:rPr>
                <w:lang w:val="sv-SE"/>
              </w:rPr>
            </w:pPr>
            <w:r w:rsidRPr="00F00BEF">
              <w:rPr>
                <w:lang w:val="sv-SE"/>
              </w:rPr>
              <w:t>avser aktiebolagslagen (2005:551), i vid var tid gällande lydelse</w:t>
            </w:r>
            <w:r>
              <w:rPr>
                <w:lang w:val="sv-SE"/>
              </w:rPr>
              <w:t>,</w:t>
            </w:r>
          </w:p>
          <w:p w14:paraId="143B42C9" w14:textId="77777777" w:rsidR="006350FE" w:rsidRPr="00437F01" w:rsidRDefault="006350FE" w:rsidP="00695A7D">
            <w:pPr>
              <w:pStyle w:val="TableText"/>
            </w:pPr>
            <w:r w:rsidRPr="00437F01">
              <w:rPr>
                <w:i/>
              </w:rPr>
              <w:t>means the Swedish Companies Act (2005:551), as amended from time to time;</w:t>
            </w:r>
          </w:p>
        </w:tc>
      </w:tr>
      <w:tr w:rsidR="006350FE" w:rsidRPr="003D73C9" w14:paraId="795734D8" w14:textId="77777777" w:rsidTr="00695A7D">
        <w:tc>
          <w:tcPr>
            <w:tcW w:w="2520" w:type="dxa"/>
          </w:tcPr>
          <w:p w14:paraId="34F4278E" w14:textId="77777777" w:rsidR="006350FE" w:rsidRPr="00437F01" w:rsidRDefault="006350FE" w:rsidP="00695A7D">
            <w:pPr>
              <w:pStyle w:val="TableText"/>
            </w:pPr>
            <w:r w:rsidRPr="00437F01">
              <w:t>"</w:t>
            </w:r>
            <w:r w:rsidRPr="00437F01">
              <w:rPr>
                <w:b/>
              </w:rPr>
              <w:t>Bank</w:t>
            </w:r>
            <w:r w:rsidRPr="00437F01">
              <w:t>"/</w:t>
            </w:r>
            <w:r>
              <w:t xml:space="preserve"> </w:t>
            </w:r>
            <w:r>
              <w:br/>
            </w:r>
            <w:r w:rsidRPr="00437F01">
              <w:t>"</w:t>
            </w:r>
            <w:r w:rsidRPr="00437F01">
              <w:rPr>
                <w:b/>
                <w:i/>
              </w:rPr>
              <w:t>Bank</w:t>
            </w:r>
            <w:r w:rsidRPr="00437F01">
              <w:t>"</w:t>
            </w:r>
          </w:p>
        </w:tc>
        <w:tc>
          <w:tcPr>
            <w:tcW w:w="5868" w:type="dxa"/>
          </w:tcPr>
          <w:p w14:paraId="159E4A1B" w14:textId="77777777" w:rsidR="006350FE" w:rsidRPr="005B7A0E" w:rsidRDefault="006350FE" w:rsidP="00695A7D">
            <w:pPr>
              <w:pStyle w:val="TableText"/>
              <w:spacing w:after="0"/>
              <w:rPr>
                <w:lang w:val="sv-SE"/>
              </w:rPr>
            </w:pPr>
            <w:r w:rsidRPr="005B7A0E">
              <w:rPr>
                <w:lang w:val="sv-SE"/>
              </w:rPr>
              <w:t>avser den bank eller kontoförande institut som Bolaget använder för åtgärder relaterade till Teckningsoptionerna,</w:t>
            </w:r>
          </w:p>
          <w:p w14:paraId="748DA747" w14:textId="77777777" w:rsidR="006350FE" w:rsidRPr="00437F01" w:rsidRDefault="006350FE" w:rsidP="00695A7D">
            <w:pPr>
              <w:pStyle w:val="TableText"/>
            </w:pPr>
            <w:r w:rsidRPr="00437F01">
              <w:rPr>
                <w:i/>
              </w:rPr>
              <w:t xml:space="preserve">means the bank or account operator that the </w:t>
            </w:r>
            <w:r>
              <w:rPr>
                <w:i/>
              </w:rPr>
              <w:t>C</w:t>
            </w:r>
            <w:r w:rsidRPr="00437F01">
              <w:rPr>
                <w:i/>
              </w:rPr>
              <w:t>ompany uses for actions related to the Warrants</w:t>
            </w:r>
            <w:r w:rsidRPr="00437F01">
              <w:t>;</w:t>
            </w:r>
          </w:p>
        </w:tc>
      </w:tr>
      <w:tr w:rsidR="006350FE" w:rsidRPr="003D73C9" w14:paraId="045DD467" w14:textId="77777777" w:rsidTr="00695A7D">
        <w:trPr>
          <w:trHeight w:val="1025"/>
        </w:trPr>
        <w:tc>
          <w:tcPr>
            <w:tcW w:w="2520" w:type="dxa"/>
          </w:tcPr>
          <w:p w14:paraId="21932B98" w14:textId="77777777" w:rsidR="006350FE" w:rsidRPr="00437F01" w:rsidRDefault="006350FE" w:rsidP="00695A7D">
            <w:pPr>
              <w:pStyle w:val="TableText"/>
            </w:pPr>
            <w:r w:rsidRPr="00437F01">
              <w:t>"</w:t>
            </w:r>
            <w:r w:rsidRPr="00F00BEF">
              <w:rPr>
                <w:b/>
                <w:lang w:val="sv-SE"/>
              </w:rPr>
              <w:t>Bankdag</w:t>
            </w:r>
            <w:r w:rsidRPr="00437F01">
              <w:t>"/</w:t>
            </w:r>
            <w:r>
              <w:br/>
            </w:r>
            <w:r w:rsidRPr="00437F01">
              <w:t>"</w:t>
            </w:r>
            <w:r w:rsidRPr="00437F01">
              <w:rPr>
                <w:b/>
                <w:i/>
              </w:rPr>
              <w:t>Business Day</w:t>
            </w:r>
            <w:r w:rsidRPr="00437F01">
              <w:t>"</w:t>
            </w:r>
          </w:p>
        </w:tc>
        <w:tc>
          <w:tcPr>
            <w:tcW w:w="5868" w:type="dxa"/>
          </w:tcPr>
          <w:p w14:paraId="25FC3A11" w14:textId="77777777" w:rsidR="006350FE" w:rsidRPr="005B7A0E" w:rsidRDefault="006350FE" w:rsidP="00695A7D">
            <w:pPr>
              <w:pStyle w:val="TableText"/>
              <w:spacing w:after="0"/>
              <w:rPr>
                <w:lang w:val="sv-SE"/>
              </w:rPr>
            </w:pPr>
            <w:r w:rsidRPr="005B7A0E">
              <w:rPr>
                <w:lang w:val="sv-SE"/>
              </w:rPr>
              <w:t>avser dag som inte är söndag eller annan allmän helgdag och på vilken svenska banker är öppna för allmänheten,</w:t>
            </w:r>
          </w:p>
          <w:p w14:paraId="584C5B77" w14:textId="77777777" w:rsidR="006350FE" w:rsidRPr="005B7A0E" w:rsidRDefault="006350FE" w:rsidP="00695A7D">
            <w:pPr>
              <w:pStyle w:val="TableText"/>
            </w:pPr>
            <w:r w:rsidRPr="00437F01">
              <w:rPr>
                <w:i/>
              </w:rPr>
              <w:t xml:space="preserve">means a day that is not a Sunday or other public holiday and on which Swedish banks are open to the </w:t>
            </w:r>
            <w:proofErr w:type="gramStart"/>
            <w:r w:rsidRPr="00437F01">
              <w:rPr>
                <w:i/>
              </w:rPr>
              <w:t>general public</w:t>
            </w:r>
            <w:proofErr w:type="gramEnd"/>
            <w:r w:rsidRPr="00437F01">
              <w:rPr>
                <w:i/>
              </w:rPr>
              <w:t>;</w:t>
            </w:r>
          </w:p>
        </w:tc>
      </w:tr>
      <w:tr w:rsidR="006350FE" w:rsidRPr="003D73C9" w14:paraId="1AD06D5C" w14:textId="77777777" w:rsidTr="00695A7D">
        <w:tc>
          <w:tcPr>
            <w:tcW w:w="2520" w:type="dxa"/>
          </w:tcPr>
          <w:p w14:paraId="1EAA23AD" w14:textId="77777777" w:rsidR="006350FE" w:rsidRPr="00437F01" w:rsidRDefault="006350FE" w:rsidP="00695A7D">
            <w:pPr>
              <w:pStyle w:val="TableText"/>
            </w:pPr>
            <w:r w:rsidRPr="00437F01">
              <w:t>"</w:t>
            </w:r>
            <w:r w:rsidRPr="00F00BEF">
              <w:rPr>
                <w:b/>
                <w:lang w:val="sv-SE"/>
              </w:rPr>
              <w:t>Bolaget</w:t>
            </w:r>
            <w:r w:rsidRPr="00437F01">
              <w:t>"/</w:t>
            </w:r>
            <w:r>
              <w:br/>
            </w:r>
            <w:r w:rsidRPr="00437F01">
              <w:t>"</w:t>
            </w:r>
            <w:r w:rsidRPr="00437F01">
              <w:rPr>
                <w:b/>
                <w:i/>
              </w:rPr>
              <w:t>Company</w:t>
            </w:r>
            <w:r w:rsidRPr="00437F01">
              <w:t>"</w:t>
            </w:r>
          </w:p>
        </w:tc>
        <w:tc>
          <w:tcPr>
            <w:tcW w:w="5868" w:type="dxa"/>
          </w:tcPr>
          <w:p w14:paraId="0027566E" w14:textId="77777777" w:rsidR="006350FE" w:rsidRPr="00EE396E" w:rsidRDefault="006350FE" w:rsidP="00695A7D">
            <w:pPr>
              <w:pStyle w:val="TableText"/>
              <w:spacing w:after="0"/>
              <w:rPr>
                <w:lang w:val="sv-SE"/>
              </w:rPr>
            </w:pPr>
            <w:r w:rsidRPr="00EE396E">
              <w:rPr>
                <w:lang w:val="sv-SE"/>
              </w:rPr>
              <w:t xml:space="preserve">avser </w:t>
            </w:r>
            <w:r w:rsidRPr="00EE396E">
              <w:rPr>
                <w:szCs w:val="22"/>
                <w:lang w:val="sv-SE"/>
              </w:rPr>
              <w:t xml:space="preserve">Biovica International AB, org.nr </w:t>
            </w:r>
            <w:proofErr w:type="gramStart"/>
            <w:r w:rsidRPr="00EE396E">
              <w:rPr>
                <w:szCs w:val="22"/>
                <w:lang w:val="sv-SE"/>
              </w:rPr>
              <w:t>556774-6150</w:t>
            </w:r>
            <w:proofErr w:type="gramEnd"/>
            <w:r w:rsidRPr="00EE396E">
              <w:rPr>
                <w:lang w:val="sv-SE"/>
              </w:rPr>
              <w:t>,</w:t>
            </w:r>
          </w:p>
          <w:p w14:paraId="002B5E61" w14:textId="77777777" w:rsidR="006350FE" w:rsidRPr="00437F01" w:rsidRDefault="006350FE" w:rsidP="00695A7D">
            <w:pPr>
              <w:pStyle w:val="TableText"/>
            </w:pPr>
            <w:r w:rsidRPr="00437F01">
              <w:rPr>
                <w:i/>
              </w:rPr>
              <w:t xml:space="preserve">means </w:t>
            </w:r>
            <w:r w:rsidRPr="008570D1">
              <w:rPr>
                <w:i/>
              </w:rPr>
              <w:t xml:space="preserve">Biovica International AB, </w:t>
            </w:r>
            <w:r>
              <w:rPr>
                <w:i/>
              </w:rPr>
              <w:t>reg</w:t>
            </w:r>
            <w:r w:rsidRPr="008570D1">
              <w:rPr>
                <w:i/>
              </w:rPr>
              <w:t>.</w:t>
            </w:r>
            <w:r>
              <w:rPr>
                <w:i/>
              </w:rPr>
              <w:t xml:space="preserve"> no</w:t>
            </w:r>
            <w:r w:rsidRPr="008570D1">
              <w:rPr>
                <w:i/>
              </w:rPr>
              <w:t xml:space="preserve"> 556774-6150</w:t>
            </w:r>
            <w:r w:rsidRPr="00437F01">
              <w:rPr>
                <w:i/>
              </w:rPr>
              <w:t>;</w:t>
            </w:r>
          </w:p>
        </w:tc>
      </w:tr>
      <w:tr w:rsidR="006350FE" w:rsidRPr="003D73C9" w14:paraId="30BF21B1" w14:textId="77777777" w:rsidTr="00695A7D">
        <w:tc>
          <w:tcPr>
            <w:tcW w:w="2520" w:type="dxa"/>
          </w:tcPr>
          <w:p w14:paraId="49001429" w14:textId="77777777" w:rsidR="006350FE" w:rsidRPr="00437F01" w:rsidRDefault="006350FE" w:rsidP="00695A7D">
            <w:pPr>
              <w:pStyle w:val="TableText"/>
            </w:pPr>
            <w:r w:rsidRPr="00437F01">
              <w:t>"</w:t>
            </w:r>
            <w:r w:rsidRPr="00437F01">
              <w:rPr>
                <w:b/>
              </w:rPr>
              <w:t>Euroclear</w:t>
            </w:r>
            <w:r w:rsidRPr="00437F01">
              <w:t>"</w:t>
            </w:r>
            <w:r>
              <w:t>/</w:t>
            </w:r>
            <w:r>
              <w:br/>
              <w:t>"</w:t>
            </w:r>
            <w:r w:rsidRPr="006B6AC0">
              <w:rPr>
                <w:b/>
                <w:bCs/>
                <w:i/>
                <w:iCs/>
              </w:rPr>
              <w:t>Euroclear</w:t>
            </w:r>
            <w:r>
              <w:t>"</w:t>
            </w:r>
          </w:p>
        </w:tc>
        <w:tc>
          <w:tcPr>
            <w:tcW w:w="5868" w:type="dxa"/>
          </w:tcPr>
          <w:p w14:paraId="23125475" w14:textId="77777777" w:rsidR="006350FE" w:rsidRPr="005B7A0E" w:rsidRDefault="006350FE" w:rsidP="00695A7D">
            <w:pPr>
              <w:pStyle w:val="TableText"/>
              <w:spacing w:after="0"/>
              <w:rPr>
                <w:lang w:val="sv-SE"/>
              </w:rPr>
            </w:pPr>
            <w:r w:rsidRPr="005B7A0E">
              <w:rPr>
                <w:lang w:val="sv-SE"/>
              </w:rPr>
              <w:t>avser Euroclear Sweden AB eller annan värdepapperscentral enligt lagen (1998:1479) om värdepapperscentraler och kontoföring av finansiella instrument,</w:t>
            </w:r>
          </w:p>
          <w:p w14:paraId="113EC959" w14:textId="77777777" w:rsidR="006350FE" w:rsidRPr="004A63E5" w:rsidRDefault="006350FE" w:rsidP="00695A7D">
            <w:pPr>
              <w:pStyle w:val="TableText"/>
            </w:pPr>
            <w:r w:rsidRPr="00437F01">
              <w:rPr>
                <w:i/>
              </w:rPr>
              <w:t xml:space="preserve">means Euroclear Sweden AB or other central securities depository (Sw. </w:t>
            </w:r>
            <w:proofErr w:type="spellStart"/>
            <w:r w:rsidRPr="00437F01">
              <w:rPr>
                <w:i/>
              </w:rPr>
              <w:t>värdepapperscentral</w:t>
            </w:r>
            <w:proofErr w:type="spellEnd"/>
            <w:r w:rsidRPr="00437F01">
              <w:rPr>
                <w:i/>
              </w:rPr>
              <w:t xml:space="preserve">) in accordance with the </w:t>
            </w:r>
            <w:r>
              <w:rPr>
                <w:i/>
              </w:rPr>
              <w:t xml:space="preserve">Swedish </w:t>
            </w:r>
            <w:r w:rsidRPr="00437F01">
              <w:rPr>
                <w:i/>
              </w:rPr>
              <w:t>Central Securities Deposit</w:t>
            </w:r>
            <w:r>
              <w:rPr>
                <w:i/>
              </w:rPr>
              <w:t>ories</w:t>
            </w:r>
            <w:r w:rsidRPr="00437F01">
              <w:rPr>
                <w:i/>
              </w:rPr>
              <w:t xml:space="preserve"> and Financial Instrument Accounts Act (1998:1479).</w:t>
            </w:r>
          </w:p>
        </w:tc>
      </w:tr>
      <w:tr w:rsidR="006350FE" w:rsidRPr="00437F01" w14:paraId="7AF8AFAD" w14:textId="77777777" w:rsidTr="00695A7D">
        <w:tc>
          <w:tcPr>
            <w:tcW w:w="2520" w:type="dxa"/>
          </w:tcPr>
          <w:p w14:paraId="2F7C4C48" w14:textId="77777777" w:rsidR="006350FE" w:rsidRPr="00437F01" w:rsidRDefault="006350FE" w:rsidP="00695A7D">
            <w:pPr>
              <w:pStyle w:val="TableText"/>
            </w:pPr>
            <w:r w:rsidRPr="00437F01">
              <w:t>"</w:t>
            </w:r>
            <w:r>
              <w:rPr>
                <w:b/>
                <w:lang w:val="sv-SE"/>
              </w:rPr>
              <w:t>Optionsinnehavare</w:t>
            </w:r>
            <w:r w:rsidRPr="00437F01">
              <w:t>"/</w:t>
            </w:r>
            <w:r>
              <w:br/>
            </w:r>
            <w:r w:rsidRPr="00437F01">
              <w:t>"</w:t>
            </w:r>
            <w:r w:rsidRPr="00437F01">
              <w:rPr>
                <w:b/>
                <w:i/>
              </w:rPr>
              <w:t xml:space="preserve">Warrant </w:t>
            </w:r>
            <w:r>
              <w:rPr>
                <w:b/>
                <w:i/>
              </w:rPr>
              <w:t>H</w:t>
            </w:r>
            <w:r w:rsidRPr="00437F01">
              <w:rPr>
                <w:b/>
                <w:i/>
              </w:rPr>
              <w:t>older</w:t>
            </w:r>
            <w:r w:rsidRPr="00437F01">
              <w:t>"</w:t>
            </w:r>
          </w:p>
        </w:tc>
        <w:tc>
          <w:tcPr>
            <w:tcW w:w="5868" w:type="dxa"/>
          </w:tcPr>
          <w:p w14:paraId="4E873CD9" w14:textId="77777777" w:rsidR="006350FE" w:rsidRPr="006B6AC0" w:rsidRDefault="006350FE" w:rsidP="00695A7D">
            <w:pPr>
              <w:pStyle w:val="TableText"/>
              <w:spacing w:after="0"/>
              <w:rPr>
                <w:lang w:val="sv-SE"/>
              </w:rPr>
            </w:pPr>
            <w:r w:rsidRPr="00F00BEF">
              <w:rPr>
                <w:lang w:val="sv-SE"/>
              </w:rPr>
              <w:t>avser innehavare av Teckningsoption</w:t>
            </w:r>
            <w:r>
              <w:rPr>
                <w:lang w:val="sv-SE"/>
              </w:rPr>
              <w:t>er</w:t>
            </w:r>
            <w:r w:rsidRPr="006B6AC0">
              <w:rPr>
                <w:lang w:val="sv-SE"/>
              </w:rPr>
              <w:t>,</w:t>
            </w:r>
          </w:p>
          <w:p w14:paraId="353630BE" w14:textId="77777777" w:rsidR="006350FE" w:rsidRPr="00437F01" w:rsidRDefault="006350FE" w:rsidP="00695A7D">
            <w:pPr>
              <w:pStyle w:val="TableText"/>
            </w:pPr>
            <w:r w:rsidRPr="00437F01">
              <w:rPr>
                <w:i/>
              </w:rPr>
              <w:t xml:space="preserve">means </w:t>
            </w:r>
            <w:r>
              <w:rPr>
                <w:i/>
              </w:rPr>
              <w:t>a</w:t>
            </w:r>
            <w:r w:rsidRPr="00437F01">
              <w:rPr>
                <w:i/>
              </w:rPr>
              <w:t xml:space="preserve"> holder of Warrant</w:t>
            </w:r>
            <w:r>
              <w:rPr>
                <w:i/>
              </w:rPr>
              <w:t>s</w:t>
            </w:r>
            <w:r w:rsidRPr="00437F01">
              <w:rPr>
                <w:i/>
              </w:rPr>
              <w:t>;</w:t>
            </w:r>
          </w:p>
        </w:tc>
      </w:tr>
      <w:tr w:rsidR="006350FE" w:rsidRPr="003D73C9" w14:paraId="59A7C597" w14:textId="77777777" w:rsidTr="00695A7D">
        <w:tc>
          <w:tcPr>
            <w:tcW w:w="2520" w:type="dxa"/>
          </w:tcPr>
          <w:p w14:paraId="31788B11" w14:textId="77777777" w:rsidR="006350FE" w:rsidRPr="00437F01" w:rsidRDefault="006350FE" w:rsidP="00695A7D">
            <w:pPr>
              <w:pStyle w:val="TableText"/>
            </w:pPr>
            <w:r w:rsidRPr="00437F01">
              <w:t>"</w:t>
            </w:r>
            <w:r w:rsidRPr="00F00BEF">
              <w:rPr>
                <w:b/>
                <w:lang w:val="sv-SE"/>
              </w:rPr>
              <w:t>Teckning</w:t>
            </w:r>
            <w:r w:rsidRPr="00437F01">
              <w:t>"/</w:t>
            </w:r>
            <w:r>
              <w:br/>
            </w:r>
            <w:r w:rsidRPr="00437F01">
              <w:t>"</w:t>
            </w:r>
            <w:r w:rsidRPr="00437F01">
              <w:rPr>
                <w:b/>
                <w:i/>
              </w:rPr>
              <w:t>Subscription</w:t>
            </w:r>
            <w:r w:rsidRPr="00437F01">
              <w:t>"</w:t>
            </w:r>
          </w:p>
        </w:tc>
        <w:tc>
          <w:tcPr>
            <w:tcW w:w="5868" w:type="dxa"/>
          </w:tcPr>
          <w:p w14:paraId="787BD188" w14:textId="77777777" w:rsidR="006350FE" w:rsidRDefault="006350FE" w:rsidP="00695A7D">
            <w:pPr>
              <w:pStyle w:val="TableText"/>
              <w:spacing w:after="0"/>
            </w:pPr>
            <w:r w:rsidRPr="00CD6D9C">
              <w:rPr>
                <w:lang w:val="sv-SE"/>
              </w:rPr>
              <w:t>avser teckning av Aktie</w:t>
            </w:r>
            <w:r>
              <w:rPr>
                <w:lang w:val="sv-SE"/>
              </w:rPr>
              <w:t>r genom</w:t>
            </w:r>
            <w:r w:rsidRPr="00CD6D9C">
              <w:rPr>
                <w:lang w:val="sv-SE"/>
              </w:rPr>
              <w:t xml:space="preserve"> utnyttjande av Teckningsoption</w:t>
            </w:r>
            <w:r>
              <w:rPr>
                <w:lang w:val="sv-SE"/>
              </w:rPr>
              <w:t>er</w:t>
            </w:r>
            <w:r w:rsidRPr="00CD6D9C">
              <w:rPr>
                <w:lang w:val="sv-SE"/>
              </w:rPr>
              <w:t xml:space="preserve"> enligt 14 kap</w:t>
            </w:r>
            <w:r>
              <w:rPr>
                <w:lang w:val="sv-SE"/>
              </w:rPr>
              <w:t>.</w:t>
            </w:r>
            <w:r w:rsidRPr="00CD6D9C">
              <w:rPr>
                <w:lang w:val="sv-SE"/>
              </w:rPr>
              <w:t xml:space="preserve"> </w:t>
            </w:r>
            <w:proofErr w:type="spellStart"/>
            <w:r w:rsidRPr="006B6AC0">
              <w:rPr>
                <w:lang w:val="en-US"/>
              </w:rPr>
              <w:t>Aktiebolagslagen</w:t>
            </w:r>
            <w:proofErr w:type="spellEnd"/>
            <w:r w:rsidRPr="006B6AC0">
              <w:rPr>
                <w:lang w:val="en-US"/>
              </w:rPr>
              <w:t>,</w:t>
            </w:r>
          </w:p>
          <w:p w14:paraId="41223DC0" w14:textId="77777777" w:rsidR="006350FE" w:rsidRPr="00437F01" w:rsidRDefault="006350FE" w:rsidP="00695A7D">
            <w:pPr>
              <w:pStyle w:val="TableText"/>
            </w:pPr>
            <w:r w:rsidRPr="00437F01">
              <w:rPr>
                <w:i/>
              </w:rPr>
              <w:t xml:space="preserve">means subscription for </w:t>
            </w:r>
            <w:r>
              <w:rPr>
                <w:i/>
              </w:rPr>
              <w:t>S</w:t>
            </w:r>
            <w:r w:rsidRPr="00437F01">
              <w:rPr>
                <w:i/>
              </w:rPr>
              <w:t xml:space="preserve">hares by </w:t>
            </w:r>
            <w:r>
              <w:rPr>
                <w:i/>
              </w:rPr>
              <w:t>exercising</w:t>
            </w:r>
            <w:r w:rsidRPr="00437F01">
              <w:rPr>
                <w:i/>
              </w:rPr>
              <w:t xml:space="preserve"> Warrant</w:t>
            </w:r>
            <w:r>
              <w:rPr>
                <w:i/>
              </w:rPr>
              <w:t>s</w:t>
            </w:r>
            <w:r w:rsidRPr="00437F01">
              <w:rPr>
                <w:i/>
              </w:rPr>
              <w:t xml:space="preserve"> in accordance with Ch</w:t>
            </w:r>
            <w:r>
              <w:rPr>
                <w:i/>
              </w:rPr>
              <w:t>.</w:t>
            </w:r>
            <w:r w:rsidRPr="00437F01">
              <w:rPr>
                <w:i/>
              </w:rPr>
              <w:t xml:space="preserve"> 14 of the Swedish Companies Act;</w:t>
            </w:r>
          </w:p>
        </w:tc>
      </w:tr>
      <w:tr w:rsidR="006350FE" w:rsidRPr="003D73C9" w14:paraId="51422C37" w14:textId="77777777" w:rsidTr="00695A7D">
        <w:tc>
          <w:tcPr>
            <w:tcW w:w="2520" w:type="dxa"/>
          </w:tcPr>
          <w:p w14:paraId="14541FB4" w14:textId="77777777" w:rsidR="006350FE" w:rsidRPr="00437F01" w:rsidRDefault="006350FE" w:rsidP="00695A7D">
            <w:pPr>
              <w:pStyle w:val="TableText"/>
            </w:pPr>
            <w:r w:rsidRPr="00437F01">
              <w:t>"</w:t>
            </w:r>
            <w:r w:rsidRPr="00F00BEF">
              <w:rPr>
                <w:b/>
                <w:lang w:val="sv-SE"/>
              </w:rPr>
              <w:t>Teckningskurs</w:t>
            </w:r>
            <w:r w:rsidRPr="00437F01">
              <w:t>"/</w:t>
            </w:r>
            <w:r>
              <w:br/>
            </w:r>
            <w:r w:rsidRPr="00437F01">
              <w:t>"</w:t>
            </w:r>
            <w:r w:rsidRPr="00437F01">
              <w:rPr>
                <w:b/>
                <w:i/>
              </w:rPr>
              <w:t>Subscription Price</w:t>
            </w:r>
            <w:r w:rsidRPr="00437F01">
              <w:t>"</w:t>
            </w:r>
          </w:p>
        </w:tc>
        <w:tc>
          <w:tcPr>
            <w:tcW w:w="5868" w:type="dxa"/>
          </w:tcPr>
          <w:p w14:paraId="7A50FACD" w14:textId="77777777" w:rsidR="006350FE" w:rsidRPr="006B6AC0" w:rsidRDefault="006350FE" w:rsidP="00695A7D">
            <w:pPr>
              <w:pStyle w:val="TableText"/>
              <w:spacing w:after="0"/>
              <w:rPr>
                <w:lang w:val="sv-SE"/>
              </w:rPr>
            </w:pPr>
            <w:r w:rsidRPr="001C3291">
              <w:rPr>
                <w:lang w:val="sv-SE"/>
              </w:rPr>
              <w:t xml:space="preserve">avser den kurs till vilken Teckning av nya Aktier </w:t>
            </w:r>
            <w:r>
              <w:rPr>
                <w:lang w:val="sv-SE"/>
              </w:rPr>
              <w:t>genom</w:t>
            </w:r>
            <w:r w:rsidRPr="001C3291">
              <w:rPr>
                <w:lang w:val="sv-SE"/>
              </w:rPr>
              <w:t xml:space="preserve"> utnyttjande av Teckningsoption kan ske,</w:t>
            </w:r>
          </w:p>
          <w:p w14:paraId="0FB29671" w14:textId="77777777" w:rsidR="006350FE" w:rsidRPr="00437F01" w:rsidRDefault="006350FE" w:rsidP="00695A7D">
            <w:pPr>
              <w:pStyle w:val="TableText"/>
            </w:pPr>
            <w:r w:rsidRPr="00437F01">
              <w:rPr>
                <w:i/>
              </w:rPr>
              <w:t xml:space="preserve">means the price at which Subscription of new </w:t>
            </w:r>
            <w:r>
              <w:rPr>
                <w:i/>
              </w:rPr>
              <w:t>S</w:t>
            </w:r>
            <w:r w:rsidRPr="00437F01">
              <w:rPr>
                <w:i/>
              </w:rPr>
              <w:t xml:space="preserve">hares, by </w:t>
            </w:r>
            <w:r>
              <w:rPr>
                <w:i/>
              </w:rPr>
              <w:t>exercising</w:t>
            </w:r>
            <w:r w:rsidRPr="00437F01">
              <w:rPr>
                <w:i/>
              </w:rPr>
              <w:t xml:space="preserve"> </w:t>
            </w:r>
            <w:r>
              <w:rPr>
                <w:i/>
              </w:rPr>
              <w:t>a</w:t>
            </w:r>
            <w:r w:rsidRPr="00437F01">
              <w:rPr>
                <w:i/>
              </w:rPr>
              <w:t xml:space="preserve"> Warrant, can be made</w:t>
            </w:r>
            <w:r w:rsidRPr="00437F01">
              <w:t>;</w:t>
            </w:r>
          </w:p>
        </w:tc>
      </w:tr>
      <w:tr w:rsidR="006350FE" w:rsidRPr="003D73C9" w14:paraId="18CD4B59" w14:textId="77777777" w:rsidTr="00695A7D">
        <w:tc>
          <w:tcPr>
            <w:tcW w:w="2520" w:type="dxa"/>
          </w:tcPr>
          <w:p w14:paraId="72A7188A" w14:textId="77777777" w:rsidR="006350FE" w:rsidRPr="00437F01" w:rsidRDefault="006350FE" w:rsidP="00695A7D">
            <w:pPr>
              <w:pStyle w:val="TableText"/>
            </w:pPr>
            <w:r w:rsidRPr="00437F01">
              <w:t>"</w:t>
            </w:r>
            <w:r w:rsidRPr="00F00BEF">
              <w:rPr>
                <w:b/>
                <w:lang w:val="sv-SE"/>
              </w:rPr>
              <w:t>Teckningsoption</w:t>
            </w:r>
            <w:r w:rsidRPr="00437F01">
              <w:t>"/</w:t>
            </w:r>
            <w:r>
              <w:br/>
            </w:r>
            <w:r w:rsidRPr="00437F01">
              <w:t>"</w:t>
            </w:r>
            <w:r w:rsidRPr="00437F01">
              <w:rPr>
                <w:b/>
                <w:i/>
              </w:rPr>
              <w:t>Warrant</w:t>
            </w:r>
            <w:r w:rsidRPr="00437F01">
              <w:t>"</w:t>
            </w:r>
          </w:p>
        </w:tc>
        <w:tc>
          <w:tcPr>
            <w:tcW w:w="5868" w:type="dxa"/>
          </w:tcPr>
          <w:p w14:paraId="0F6548D1" w14:textId="77777777" w:rsidR="006350FE" w:rsidRPr="006B6AC0" w:rsidRDefault="006350FE" w:rsidP="00695A7D">
            <w:pPr>
              <w:pStyle w:val="TableText"/>
              <w:spacing w:after="0"/>
              <w:rPr>
                <w:lang w:val="sv-SE"/>
              </w:rPr>
            </w:pPr>
            <w:r w:rsidRPr="001C3291">
              <w:rPr>
                <w:lang w:val="sv-SE"/>
              </w:rPr>
              <w:t>avser rätt att teckna en Aktie mot betalning i pengar enligt dessa villkor,</w:t>
            </w:r>
          </w:p>
          <w:p w14:paraId="3BA735F2" w14:textId="77777777" w:rsidR="006350FE" w:rsidRPr="00437F01" w:rsidRDefault="006350FE" w:rsidP="00695A7D">
            <w:pPr>
              <w:pStyle w:val="TableText"/>
            </w:pPr>
            <w:r w:rsidRPr="00437F01">
              <w:rPr>
                <w:i/>
              </w:rPr>
              <w:t xml:space="preserve">means a right to subscribe for one new </w:t>
            </w:r>
            <w:r>
              <w:rPr>
                <w:i/>
              </w:rPr>
              <w:t>S</w:t>
            </w:r>
            <w:r w:rsidRPr="00437F01">
              <w:rPr>
                <w:i/>
              </w:rPr>
              <w:t>hare against cash payment in accordance with these terms</w:t>
            </w:r>
            <w:r>
              <w:rPr>
                <w:i/>
              </w:rPr>
              <w:t xml:space="preserve"> and </w:t>
            </w:r>
            <w:proofErr w:type="gramStart"/>
            <w:r>
              <w:rPr>
                <w:i/>
              </w:rPr>
              <w:t>conditions</w:t>
            </w:r>
            <w:r w:rsidRPr="00437F01">
              <w:rPr>
                <w:i/>
              </w:rPr>
              <w:t>;</w:t>
            </w:r>
            <w:proofErr w:type="gramEnd"/>
          </w:p>
        </w:tc>
      </w:tr>
    </w:tbl>
    <w:p w14:paraId="16D06549" w14:textId="77777777" w:rsidR="006350FE" w:rsidRPr="00207A3F" w:rsidRDefault="006350FE" w:rsidP="006350FE">
      <w:pPr>
        <w:pStyle w:val="BodyText"/>
        <w:numPr>
          <w:ilvl w:val="0"/>
          <w:numId w:val="55"/>
        </w:numPr>
        <w:spacing w:after="0"/>
        <w:rPr>
          <w:b/>
          <w:bCs/>
        </w:rPr>
      </w:pPr>
      <w:r w:rsidRPr="00CD6D9C">
        <w:rPr>
          <w:b/>
          <w:bCs/>
          <w:lang w:val="sv-SE"/>
        </w:rPr>
        <w:lastRenderedPageBreak/>
        <w:t>Teckningsoptioner och registrering</w:t>
      </w:r>
      <w:r w:rsidRPr="00207A3F">
        <w:rPr>
          <w:b/>
          <w:bCs/>
        </w:rPr>
        <w:t>/</w:t>
      </w:r>
      <w:r w:rsidRPr="00207A3F">
        <w:rPr>
          <w:b/>
          <w:bCs/>
          <w:i/>
        </w:rPr>
        <w:t>Warrants and registration</w:t>
      </w:r>
    </w:p>
    <w:p w14:paraId="53CA4DBA" w14:textId="4CE258F9" w:rsidR="006350FE" w:rsidRPr="00207A3F" w:rsidRDefault="006350FE" w:rsidP="006350FE">
      <w:pPr>
        <w:pStyle w:val="BodyText"/>
        <w:numPr>
          <w:ilvl w:val="1"/>
          <w:numId w:val="55"/>
        </w:numPr>
        <w:rPr>
          <w:b/>
          <w:bCs/>
        </w:rPr>
      </w:pPr>
      <w:r w:rsidRPr="00207A3F">
        <w:rPr>
          <w:lang w:val="sv-SE"/>
        </w:rPr>
        <w:t xml:space="preserve">Antalet Teckningsoptioner uppgår till sammanlagt högst </w:t>
      </w:r>
      <w:r w:rsidRPr="0081148E">
        <w:rPr>
          <w:lang w:val="sv-SE"/>
        </w:rPr>
        <w:t xml:space="preserve">1 </w:t>
      </w:r>
      <w:r>
        <w:rPr>
          <w:lang w:val="sv-SE"/>
        </w:rPr>
        <w:t>853</w:t>
      </w:r>
      <w:r w:rsidRPr="0081148E">
        <w:rPr>
          <w:lang w:val="sv-SE"/>
        </w:rPr>
        <w:t xml:space="preserve"> </w:t>
      </w:r>
      <w:r>
        <w:rPr>
          <w:lang w:val="sv-SE"/>
        </w:rPr>
        <w:t>1</w:t>
      </w:r>
      <w:r w:rsidRPr="0081148E">
        <w:rPr>
          <w:lang w:val="sv-SE"/>
        </w:rPr>
        <w:t>00</w:t>
      </w:r>
      <w:r w:rsidRPr="00207A3F">
        <w:rPr>
          <w:lang w:val="sv-SE"/>
        </w:rPr>
        <w:t>.</w:t>
      </w:r>
      <w:r w:rsidRPr="00207A3F">
        <w:rPr>
          <w:lang w:val="sv-SE"/>
        </w:rPr>
        <w:br/>
      </w:r>
      <w:r w:rsidRPr="00207A3F">
        <w:rPr>
          <w:i/>
        </w:rPr>
        <w:t xml:space="preserve">The number of Warrants amounts to a maximum of </w:t>
      </w:r>
      <w:r w:rsidRPr="0081148E">
        <w:rPr>
          <w:i/>
        </w:rPr>
        <w:t>1</w:t>
      </w:r>
      <w:r>
        <w:rPr>
          <w:i/>
        </w:rPr>
        <w:t>,853,1</w:t>
      </w:r>
      <w:r w:rsidRPr="0081148E">
        <w:rPr>
          <w:i/>
        </w:rPr>
        <w:t>00</w:t>
      </w:r>
      <w:r>
        <w:rPr>
          <w:i/>
        </w:rPr>
        <w:t xml:space="preserve"> in total</w:t>
      </w:r>
      <w:r w:rsidRPr="00207A3F">
        <w:rPr>
          <w:i/>
        </w:rPr>
        <w:t>.</w:t>
      </w:r>
    </w:p>
    <w:p w14:paraId="1314B8DB" w14:textId="77777777" w:rsidR="006350FE" w:rsidRPr="00437F01" w:rsidRDefault="006350FE" w:rsidP="006350FE">
      <w:pPr>
        <w:pStyle w:val="BodyText"/>
        <w:numPr>
          <w:ilvl w:val="1"/>
          <w:numId w:val="55"/>
        </w:numPr>
      </w:pPr>
      <w:r w:rsidRPr="00A50800">
        <w:rPr>
          <w:lang w:val="sv-SE"/>
        </w:rPr>
        <w:t xml:space="preserve">Bolaget </w:t>
      </w:r>
      <w:r>
        <w:rPr>
          <w:lang w:val="sv-SE"/>
        </w:rPr>
        <w:t>ska</w:t>
      </w:r>
      <w:r w:rsidRPr="00A50800">
        <w:rPr>
          <w:lang w:val="sv-SE"/>
        </w:rPr>
        <w:t xml:space="preserve"> </w:t>
      </w:r>
      <w:r>
        <w:rPr>
          <w:lang w:val="sv-SE"/>
        </w:rPr>
        <w:t xml:space="preserve">på begäran av Optionsinnehavare </w:t>
      </w:r>
      <w:r w:rsidRPr="00A50800">
        <w:rPr>
          <w:lang w:val="sv-SE"/>
        </w:rPr>
        <w:t>utfärda teckningsoptionsbevis ställda till viss man eller order, representerande en Teckningsoption eller multiplar därav. Bolaget verkställer på begäran av Optionsinnehavare utbyte och växling av teckningsoptionsbevis.</w:t>
      </w:r>
      <w:r w:rsidRPr="00A50800">
        <w:rPr>
          <w:lang w:val="sv-SE"/>
        </w:rPr>
        <w:br/>
      </w:r>
      <w:r w:rsidRPr="00437F01">
        <w:rPr>
          <w:i/>
        </w:rPr>
        <w:t>The Company shall</w:t>
      </w:r>
      <w:r>
        <w:rPr>
          <w:i/>
        </w:rPr>
        <w:t>, upon request from a Warrant Holder,</w:t>
      </w:r>
      <w:r w:rsidRPr="00437F01">
        <w:rPr>
          <w:i/>
        </w:rPr>
        <w:t xml:space="preserve"> issue warrant certificates payable to a certain person or order, each representing one Warrant or multiples thereof. The Company will </w:t>
      </w:r>
      <w:proofErr w:type="spellStart"/>
      <w:proofErr w:type="gramStart"/>
      <w:r w:rsidRPr="00437F01">
        <w:rPr>
          <w:i/>
        </w:rPr>
        <w:t>effect</w:t>
      </w:r>
      <w:proofErr w:type="spellEnd"/>
      <w:proofErr w:type="gramEnd"/>
      <w:r w:rsidRPr="00437F01">
        <w:rPr>
          <w:i/>
        </w:rPr>
        <w:t xml:space="preserve"> exchanges and conversions of Warrant certificates upon request from a </w:t>
      </w:r>
      <w:r>
        <w:rPr>
          <w:i/>
        </w:rPr>
        <w:t xml:space="preserve">Warrant </w:t>
      </w:r>
      <w:r w:rsidRPr="00437F01">
        <w:rPr>
          <w:i/>
        </w:rPr>
        <w:t>Holder.</w:t>
      </w:r>
    </w:p>
    <w:p w14:paraId="1D046CB2" w14:textId="77777777" w:rsidR="006350FE" w:rsidRPr="00437F01" w:rsidRDefault="006350FE" w:rsidP="006350FE">
      <w:pPr>
        <w:pStyle w:val="BodyText"/>
        <w:numPr>
          <w:ilvl w:val="1"/>
          <w:numId w:val="55"/>
        </w:numPr>
      </w:pPr>
      <w:r w:rsidRPr="00A50800">
        <w:rPr>
          <w:lang w:val="sv-SE"/>
        </w:rPr>
        <w:t xml:space="preserve">Bolagets styrelse </w:t>
      </w:r>
      <w:r>
        <w:rPr>
          <w:lang w:val="sv-SE"/>
        </w:rPr>
        <w:t>ska</w:t>
      </w:r>
      <w:r w:rsidRPr="00A50800">
        <w:rPr>
          <w:lang w:val="sv-SE"/>
        </w:rPr>
        <w:t xml:space="preserve"> äga rätt att fatta beslut om att Teckningsoptionerna </w:t>
      </w:r>
      <w:r>
        <w:rPr>
          <w:lang w:val="sv-SE"/>
        </w:rPr>
        <w:t>ska</w:t>
      </w:r>
      <w:r w:rsidRPr="00A50800">
        <w:rPr>
          <w:lang w:val="sv-SE"/>
        </w:rPr>
        <w:t xml:space="preserve"> registreras av Euroclear i ett avstämningsregister enligt lagen (1998:1479) om värdepapperscentraler och kontoföring av finansiella instrument. För det fall sådant beslut inte fattats </w:t>
      </w:r>
      <w:r>
        <w:rPr>
          <w:lang w:val="sv-SE"/>
        </w:rPr>
        <w:t>ska</w:t>
      </w:r>
      <w:r w:rsidRPr="00A50800">
        <w:rPr>
          <w:lang w:val="sv-SE"/>
        </w:rPr>
        <w:t xml:space="preserve"> vad som stadgas i punkterna </w:t>
      </w:r>
      <w:r>
        <w:fldChar w:fldCharType="begin"/>
      </w:r>
      <w:r>
        <w:rPr>
          <w:lang w:val="sv-SE"/>
        </w:rPr>
        <w:instrText xml:space="preserve"> REF _Ref167307489 \r \h </w:instrText>
      </w:r>
      <w:r>
        <w:fldChar w:fldCharType="separate"/>
      </w:r>
      <w:r>
        <w:rPr>
          <w:lang w:val="sv-SE"/>
        </w:rPr>
        <w:t>2.4</w:t>
      </w:r>
      <w:r>
        <w:fldChar w:fldCharType="end"/>
      </w:r>
      <w:r w:rsidRPr="00A50800">
        <w:rPr>
          <w:lang w:val="sv-SE"/>
        </w:rPr>
        <w:t>–</w:t>
      </w:r>
      <w:r>
        <w:fldChar w:fldCharType="begin"/>
      </w:r>
      <w:r>
        <w:rPr>
          <w:lang w:val="sv-SE"/>
        </w:rPr>
        <w:instrText xml:space="preserve"> REF _Ref167307499 \r \h </w:instrText>
      </w:r>
      <w:r>
        <w:fldChar w:fldCharType="separate"/>
      </w:r>
      <w:r>
        <w:rPr>
          <w:lang w:val="sv-SE"/>
        </w:rPr>
        <w:t>2.7</w:t>
      </w:r>
      <w:r>
        <w:fldChar w:fldCharType="end"/>
      </w:r>
      <w:r w:rsidRPr="00A50800">
        <w:rPr>
          <w:lang w:val="sv-SE"/>
        </w:rPr>
        <w:t xml:space="preserve"> nedan inte gälla. För det fall sådant beslut fattats </w:t>
      </w:r>
      <w:r>
        <w:rPr>
          <w:lang w:val="sv-SE"/>
        </w:rPr>
        <w:t>ska</w:t>
      </w:r>
      <w:r w:rsidRPr="00A50800">
        <w:rPr>
          <w:lang w:val="sv-SE"/>
        </w:rPr>
        <w:t xml:space="preserve"> vad som stadgas i punkterna </w:t>
      </w:r>
      <w:r>
        <w:fldChar w:fldCharType="begin"/>
      </w:r>
      <w:r>
        <w:rPr>
          <w:lang w:val="sv-SE"/>
        </w:rPr>
        <w:instrText xml:space="preserve"> REF _Ref167307489 \r \h </w:instrText>
      </w:r>
      <w:r>
        <w:fldChar w:fldCharType="separate"/>
      </w:r>
      <w:r>
        <w:rPr>
          <w:lang w:val="sv-SE"/>
        </w:rPr>
        <w:t>2.4</w:t>
      </w:r>
      <w:r>
        <w:fldChar w:fldCharType="end"/>
      </w:r>
      <w:r w:rsidRPr="00A50800">
        <w:rPr>
          <w:lang w:val="sv-SE"/>
        </w:rPr>
        <w:t>–</w:t>
      </w:r>
      <w:r>
        <w:fldChar w:fldCharType="begin"/>
      </w:r>
      <w:r>
        <w:rPr>
          <w:lang w:val="sv-SE"/>
        </w:rPr>
        <w:instrText xml:space="preserve"> REF _Ref167307499 \r \h </w:instrText>
      </w:r>
      <w:r>
        <w:fldChar w:fldCharType="separate"/>
      </w:r>
      <w:r>
        <w:rPr>
          <w:lang w:val="sv-SE"/>
        </w:rPr>
        <w:t>2.7</w:t>
      </w:r>
      <w:r>
        <w:fldChar w:fldCharType="end"/>
      </w:r>
      <w:r w:rsidRPr="00A50800">
        <w:rPr>
          <w:lang w:val="sv-SE"/>
        </w:rPr>
        <w:t xml:space="preserve"> nedan gälla </w:t>
      </w:r>
      <w:proofErr w:type="gramStart"/>
      <w:r w:rsidRPr="00A50800">
        <w:rPr>
          <w:lang w:val="sv-SE"/>
        </w:rPr>
        <w:t>istället</w:t>
      </w:r>
      <w:proofErr w:type="gramEnd"/>
      <w:r w:rsidRPr="00A50800">
        <w:rPr>
          <w:lang w:val="sv-SE"/>
        </w:rPr>
        <w:t xml:space="preserve"> för vad som stadgas i punkt </w:t>
      </w:r>
      <w:r>
        <w:fldChar w:fldCharType="begin"/>
      </w:r>
      <w:r>
        <w:rPr>
          <w:lang w:val="sv-SE"/>
        </w:rPr>
        <w:instrText xml:space="preserve"> REF _Ref167307519 \r \h </w:instrText>
      </w:r>
      <w:r>
        <w:fldChar w:fldCharType="separate"/>
      </w:r>
      <w:r>
        <w:rPr>
          <w:lang w:val="sv-SE"/>
        </w:rPr>
        <w:t>2.2</w:t>
      </w:r>
      <w:r>
        <w:fldChar w:fldCharType="end"/>
      </w:r>
      <w:r w:rsidRPr="00A50800">
        <w:rPr>
          <w:lang w:val="sv-SE"/>
        </w:rPr>
        <w:t xml:space="preserve"> ovan.</w:t>
      </w:r>
      <w:r w:rsidRPr="00A50800">
        <w:rPr>
          <w:lang w:val="sv-SE"/>
        </w:rPr>
        <w:br/>
      </w:r>
      <w:r w:rsidRPr="00437F01">
        <w:rPr>
          <w:i/>
        </w:rPr>
        <w:t xml:space="preserve">The Company's board of directors is entitled to resolve that the Warrants shall be registered with Euroclear in a securities register pursuant to the </w:t>
      </w:r>
      <w:r>
        <w:rPr>
          <w:i/>
        </w:rPr>
        <w:t xml:space="preserve">Swedish </w:t>
      </w:r>
      <w:r w:rsidRPr="00437F01">
        <w:rPr>
          <w:i/>
        </w:rPr>
        <w:t>Central Securities Deposit</w:t>
      </w:r>
      <w:r>
        <w:rPr>
          <w:i/>
        </w:rPr>
        <w:t>o</w:t>
      </w:r>
      <w:r w:rsidRPr="00437F01">
        <w:rPr>
          <w:i/>
        </w:rPr>
        <w:t>ries and Financial Instruments Accounts Act (1998:1479). In case such a resolution is not passed, what is stated in sections</w:t>
      </w:r>
      <w:r>
        <w:rPr>
          <w:i/>
        </w:rPr>
        <w:t xml:space="preserve"> </w:t>
      </w:r>
      <w:r>
        <w:rPr>
          <w:i/>
        </w:rPr>
        <w:fldChar w:fldCharType="begin"/>
      </w:r>
      <w:r>
        <w:rPr>
          <w:i/>
        </w:rPr>
        <w:instrText xml:space="preserve"> REF _Ref167307489 \r \h </w:instrText>
      </w:r>
      <w:r>
        <w:rPr>
          <w:i/>
        </w:rPr>
      </w:r>
      <w:r>
        <w:rPr>
          <w:i/>
        </w:rPr>
        <w:fldChar w:fldCharType="separate"/>
      </w:r>
      <w:r>
        <w:rPr>
          <w:i/>
        </w:rPr>
        <w:t>2.4</w:t>
      </w:r>
      <w:r>
        <w:rPr>
          <w:i/>
        </w:rPr>
        <w:fldChar w:fldCharType="end"/>
      </w:r>
      <w:r w:rsidRPr="00437F01">
        <w:rPr>
          <w:i/>
        </w:rPr>
        <w:t>–</w:t>
      </w:r>
      <w:r>
        <w:rPr>
          <w:i/>
        </w:rPr>
        <w:fldChar w:fldCharType="begin"/>
      </w:r>
      <w:r>
        <w:rPr>
          <w:i/>
        </w:rPr>
        <w:instrText xml:space="preserve"> REF _Ref167307499 \r \h </w:instrText>
      </w:r>
      <w:r>
        <w:rPr>
          <w:i/>
        </w:rPr>
      </w:r>
      <w:r>
        <w:rPr>
          <w:i/>
        </w:rPr>
        <w:fldChar w:fldCharType="separate"/>
      </w:r>
      <w:r>
        <w:rPr>
          <w:i/>
        </w:rPr>
        <w:t>2.7</w:t>
      </w:r>
      <w:r>
        <w:rPr>
          <w:i/>
        </w:rPr>
        <w:fldChar w:fldCharType="end"/>
      </w:r>
      <w:r w:rsidRPr="00437F01">
        <w:rPr>
          <w:i/>
        </w:rPr>
        <w:t xml:space="preserve"> below shall not apply. In case such a resolution is passed, what is stated in sections</w:t>
      </w:r>
      <w:r>
        <w:rPr>
          <w:i/>
        </w:rPr>
        <w:t xml:space="preserve"> </w:t>
      </w:r>
      <w:r>
        <w:rPr>
          <w:i/>
        </w:rPr>
        <w:fldChar w:fldCharType="begin"/>
      </w:r>
      <w:r>
        <w:rPr>
          <w:i/>
        </w:rPr>
        <w:instrText xml:space="preserve"> REF _Ref167307489 \r \h </w:instrText>
      </w:r>
      <w:r>
        <w:rPr>
          <w:i/>
        </w:rPr>
      </w:r>
      <w:r>
        <w:rPr>
          <w:i/>
        </w:rPr>
        <w:fldChar w:fldCharType="separate"/>
      </w:r>
      <w:r>
        <w:rPr>
          <w:i/>
        </w:rPr>
        <w:t>2.4</w:t>
      </w:r>
      <w:r>
        <w:rPr>
          <w:i/>
        </w:rPr>
        <w:fldChar w:fldCharType="end"/>
      </w:r>
      <w:r w:rsidRPr="00437F01">
        <w:rPr>
          <w:i/>
        </w:rPr>
        <w:t>–</w:t>
      </w:r>
      <w:r>
        <w:rPr>
          <w:i/>
        </w:rPr>
        <w:fldChar w:fldCharType="begin"/>
      </w:r>
      <w:r>
        <w:rPr>
          <w:i/>
        </w:rPr>
        <w:instrText xml:space="preserve"> REF _Ref167307499 \r \h </w:instrText>
      </w:r>
      <w:r>
        <w:rPr>
          <w:i/>
        </w:rPr>
      </w:r>
      <w:r>
        <w:rPr>
          <w:i/>
        </w:rPr>
        <w:fldChar w:fldCharType="separate"/>
      </w:r>
      <w:r>
        <w:rPr>
          <w:i/>
        </w:rPr>
        <w:t>2.7</w:t>
      </w:r>
      <w:r>
        <w:rPr>
          <w:i/>
        </w:rPr>
        <w:fldChar w:fldCharType="end"/>
      </w:r>
      <w:r w:rsidRPr="00437F01">
        <w:rPr>
          <w:i/>
        </w:rPr>
        <w:t xml:space="preserve"> below shall apply instead of what is stated in section </w:t>
      </w:r>
      <w:r>
        <w:rPr>
          <w:i/>
        </w:rPr>
        <w:fldChar w:fldCharType="begin"/>
      </w:r>
      <w:r>
        <w:rPr>
          <w:i/>
        </w:rPr>
        <w:instrText xml:space="preserve"> REF _Ref167307519 \r \h </w:instrText>
      </w:r>
      <w:r>
        <w:rPr>
          <w:i/>
        </w:rPr>
      </w:r>
      <w:r>
        <w:rPr>
          <w:i/>
        </w:rPr>
        <w:fldChar w:fldCharType="separate"/>
      </w:r>
      <w:r>
        <w:rPr>
          <w:i/>
        </w:rPr>
        <w:t>2.2</w:t>
      </w:r>
      <w:r>
        <w:rPr>
          <w:i/>
        </w:rPr>
        <w:fldChar w:fldCharType="end"/>
      </w:r>
      <w:r w:rsidRPr="00437F01">
        <w:rPr>
          <w:i/>
        </w:rPr>
        <w:t xml:space="preserve"> above.</w:t>
      </w:r>
    </w:p>
    <w:p w14:paraId="4DCAB8E9" w14:textId="77777777" w:rsidR="006350FE" w:rsidRPr="00437F01" w:rsidRDefault="006350FE" w:rsidP="006350FE">
      <w:pPr>
        <w:pStyle w:val="BodyText"/>
        <w:numPr>
          <w:ilvl w:val="1"/>
          <w:numId w:val="55"/>
        </w:numPr>
      </w:pPr>
      <w:r w:rsidRPr="00A50800">
        <w:rPr>
          <w:lang w:val="sv-SE"/>
        </w:rPr>
        <w:t xml:space="preserve">Optionsinnehavare </w:t>
      </w:r>
      <w:r>
        <w:rPr>
          <w:lang w:val="sv-SE"/>
        </w:rPr>
        <w:t>ska</w:t>
      </w:r>
      <w:r w:rsidRPr="00A50800">
        <w:rPr>
          <w:lang w:val="sv-SE"/>
        </w:rPr>
        <w:t xml:space="preserve">, efter det att beslut enligt punkt </w:t>
      </w:r>
      <w:r>
        <w:fldChar w:fldCharType="begin"/>
      </w:r>
      <w:r>
        <w:rPr>
          <w:lang w:val="sv-SE"/>
        </w:rPr>
        <w:instrText xml:space="preserve"> REF _Ref167307568 \r \h </w:instrText>
      </w:r>
      <w:r>
        <w:fldChar w:fldCharType="separate"/>
      </w:r>
      <w:r>
        <w:rPr>
          <w:lang w:val="sv-SE"/>
        </w:rPr>
        <w:t>2.3</w:t>
      </w:r>
      <w:r>
        <w:fldChar w:fldCharType="end"/>
      </w:r>
      <w:r w:rsidRPr="00A50800">
        <w:rPr>
          <w:lang w:val="sv-SE"/>
        </w:rPr>
        <w:t xml:space="preserve"> fattats, på Bolagets anmaning vara skyldig att omedelbart till Bolaget eller Euroclear inlämna samtliga teckningsoptionsbevis representerande Teckningsoptioner samt meddela Bolaget erforderliga uppgifter om värdepapperskonto på vilket Optionsinnehavarens Teckningsoptioner </w:t>
      </w:r>
      <w:r>
        <w:rPr>
          <w:lang w:val="sv-SE"/>
        </w:rPr>
        <w:t>ska</w:t>
      </w:r>
      <w:r w:rsidRPr="00A50800">
        <w:rPr>
          <w:lang w:val="sv-SE"/>
        </w:rPr>
        <w:t xml:space="preserve"> registreras enligt nedan.</w:t>
      </w:r>
      <w:r w:rsidRPr="00A50800">
        <w:rPr>
          <w:lang w:val="sv-SE"/>
        </w:rPr>
        <w:br/>
      </w:r>
      <w:r w:rsidRPr="00437F01">
        <w:rPr>
          <w:i/>
        </w:rPr>
        <w:t xml:space="preserve">A </w:t>
      </w:r>
      <w:r>
        <w:rPr>
          <w:i/>
        </w:rPr>
        <w:t xml:space="preserve">Warrant </w:t>
      </w:r>
      <w:r w:rsidRPr="00437F01">
        <w:rPr>
          <w:i/>
        </w:rPr>
        <w:t xml:space="preserve">Holder shall, after a resolution according to section </w:t>
      </w:r>
      <w:r>
        <w:rPr>
          <w:i/>
        </w:rPr>
        <w:fldChar w:fldCharType="begin"/>
      </w:r>
      <w:r>
        <w:rPr>
          <w:i/>
        </w:rPr>
        <w:instrText xml:space="preserve"> REF _Ref167307568 \r \h </w:instrText>
      </w:r>
      <w:r>
        <w:rPr>
          <w:i/>
        </w:rPr>
      </w:r>
      <w:r>
        <w:rPr>
          <w:i/>
        </w:rPr>
        <w:fldChar w:fldCharType="separate"/>
      </w:r>
      <w:r>
        <w:rPr>
          <w:i/>
        </w:rPr>
        <w:t>2.3</w:t>
      </w:r>
      <w:r>
        <w:rPr>
          <w:i/>
        </w:rPr>
        <w:fldChar w:fldCharType="end"/>
      </w:r>
      <w:r w:rsidRPr="00437F01">
        <w:rPr>
          <w:i/>
        </w:rPr>
        <w:t xml:space="preserve"> has been passed, upon the Company's request be obliged to immediately submit to the Company or Euroclear all the warrant certificates representing the Warrants and supply the Company with the necessary information on the securities account in which the </w:t>
      </w:r>
      <w:r>
        <w:rPr>
          <w:i/>
        </w:rPr>
        <w:t xml:space="preserve">Warrant </w:t>
      </w:r>
      <w:r w:rsidRPr="00437F01">
        <w:rPr>
          <w:i/>
        </w:rPr>
        <w:t>Holder's Warrants shall be registered according to the below.</w:t>
      </w:r>
    </w:p>
    <w:p w14:paraId="7524B116" w14:textId="77777777" w:rsidR="006350FE" w:rsidRPr="00437F01" w:rsidRDefault="006350FE" w:rsidP="006350FE">
      <w:pPr>
        <w:pStyle w:val="BodyText"/>
        <w:numPr>
          <w:ilvl w:val="1"/>
          <w:numId w:val="55"/>
        </w:numPr>
      </w:pPr>
      <w:r w:rsidRPr="00A50800">
        <w:rPr>
          <w:lang w:val="sv-SE"/>
        </w:rPr>
        <w:t xml:space="preserve">Teckningsoptionerna </w:t>
      </w:r>
      <w:r>
        <w:rPr>
          <w:lang w:val="sv-SE"/>
        </w:rPr>
        <w:t>ska</w:t>
      </w:r>
      <w:r w:rsidRPr="00A50800">
        <w:rPr>
          <w:lang w:val="sv-SE"/>
        </w:rPr>
        <w:t xml:space="preserve"> registreras av Euroclear i ett avstämningsregister enligt lagen (1998:1479) om värdepapperscentraler och kontoföring av finansiella instrument, till följd varav inga fysiska värdepapper </w:t>
      </w:r>
      <w:r>
        <w:rPr>
          <w:lang w:val="sv-SE"/>
        </w:rPr>
        <w:t>ska</w:t>
      </w:r>
      <w:r w:rsidRPr="00A50800">
        <w:rPr>
          <w:lang w:val="sv-SE"/>
        </w:rPr>
        <w:t xml:space="preserve"> utges.</w:t>
      </w:r>
      <w:r w:rsidRPr="00A50800">
        <w:rPr>
          <w:lang w:val="sv-SE"/>
        </w:rPr>
        <w:br/>
      </w:r>
      <w:r w:rsidRPr="00437F01">
        <w:rPr>
          <w:i/>
        </w:rPr>
        <w:t xml:space="preserve">The Warrants shall be registered by Euroclear in a securities register pursuant to the </w:t>
      </w:r>
      <w:r>
        <w:rPr>
          <w:i/>
        </w:rPr>
        <w:t xml:space="preserve">Swedish </w:t>
      </w:r>
      <w:r w:rsidRPr="00437F01">
        <w:rPr>
          <w:i/>
        </w:rPr>
        <w:t>Central Securities Deposit</w:t>
      </w:r>
      <w:r>
        <w:rPr>
          <w:i/>
        </w:rPr>
        <w:t>o</w:t>
      </w:r>
      <w:r w:rsidRPr="00437F01">
        <w:rPr>
          <w:i/>
        </w:rPr>
        <w:t>ries and Financial Instruments Accounts Act (1998:147</w:t>
      </w:r>
      <w:r>
        <w:rPr>
          <w:i/>
        </w:rPr>
        <w:t>9</w:t>
      </w:r>
      <w:r w:rsidRPr="00437F01">
        <w:rPr>
          <w:i/>
        </w:rPr>
        <w:t>) and consequently no physical securities will be issued.</w:t>
      </w:r>
    </w:p>
    <w:p w14:paraId="1BAA8F28" w14:textId="77777777" w:rsidR="006350FE" w:rsidRPr="00437F01" w:rsidRDefault="006350FE" w:rsidP="006350FE">
      <w:pPr>
        <w:pStyle w:val="BodyText"/>
        <w:numPr>
          <w:ilvl w:val="1"/>
          <w:numId w:val="55"/>
        </w:numPr>
      </w:pPr>
      <w:r w:rsidRPr="00A50800">
        <w:rPr>
          <w:lang w:val="sv-SE"/>
        </w:rPr>
        <w:t xml:space="preserve">Teckningsoptionerna registreras för </w:t>
      </w:r>
      <w:r>
        <w:rPr>
          <w:lang w:val="sv-SE"/>
        </w:rPr>
        <w:t>Optionsinnehavare</w:t>
      </w:r>
      <w:r w:rsidRPr="00A50800">
        <w:rPr>
          <w:lang w:val="sv-SE"/>
        </w:rPr>
        <w:t xml:space="preserve">ns räkning på konto i Bolagets avstämningsregister. </w:t>
      </w:r>
      <w:proofErr w:type="spellStart"/>
      <w:r w:rsidRPr="006B6AC0">
        <w:rPr>
          <w:lang w:val="en-US"/>
        </w:rPr>
        <w:t>Registreringar</w:t>
      </w:r>
      <w:proofErr w:type="spellEnd"/>
      <w:r w:rsidRPr="006B6AC0">
        <w:rPr>
          <w:lang w:val="en-US"/>
        </w:rPr>
        <w:t xml:space="preserve"> </w:t>
      </w:r>
      <w:proofErr w:type="spellStart"/>
      <w:r w:rsidRPr="006B6AC0">
        <w:rPr>
          <w:lang w:val="en-US"/>
        </w:rPr>
        <w:t>avseende</w:t>
      </w:r>
      <w:proofErr w:type="spellEnd"/>
      <w:r w:rsidRPr="006B6AC0">
        <w:rPr>
          <w:lang w:val="en-US"/>
        </w:rPr>
        <w:t xml:space="preserve"> </w:t>
      </w:r>
      <w:proofErr w:type="spellStart"/>
      <w:r w:rsidRPr="006B6AC0">
        <w:rPr>
          <w:lang w:val="en-US"/>
        </w:rPr>
        <w:t>Teckningsoptionerna</w:t>
      </w:r>
      <w:proofErr w:type="spellEnd"/>
      <w:r w:rsidRPr="006B6AC0">
        <w:rPr>
          <w:lang w:val="en-US"/>
        </w:rPr>
        <w:t xml:space="preserve"> ska </w:t>
      </w:r>
      <w:proofErr w:type="spellStart"/>
      <w:r w:rsidRPr="006B6AC0">
        <w:rPr>
          <w:lang w:val="en-US"/>
        </w:rPr>
        <w:t>ombesörjas</w:t>
      </w:r>
      <w:proofErr w:type="spellEnd"/>
      <w:r w:rsidRPr="006B6AC0">
        <w:rPr>
          <w:lang w:val="en-US"/>
        </w:rPr>
        <w:t xml:space="preserve"> av Banken.</w:t>
      </w:r>
      <w:r w:rsidRPr="006B6AC0">
        <w:rPr>
          <w:lang w:val="en-US"/>
        </w:rPr>
        <w:br/>
      </w:r>
      <w:r w:rsidRPr="00437F01">
        <w:rPr>
          <w:i/>
        </w:rPr>
        <w:t xml:space="preserve">The Warrants are registered on an account in the Company's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register on behalf of the </w:t>
      </w:r>
      <w:r>
        <w:rPr>
          <w:i/>
        </w:rPr>
        <w:t>Warrant Holder</w:t>
      </w:r>
      <w:r w:rsidRPr="00437F01">
        <w:rPr>
          <w:i/>
        </w:rPr>
        <w:t>. Registrations relating to the Warrants shall be made by the Bank.</w:t>
      </w:r>
    </w:p>
    <w:p w14:paraId="7942B63D" w14:textId="77777777" w:rsidR="006350FE" w:rsidRPr="00437F01" w:rsidRDefault="006350FE" w:rsidP="006350FE">
      <w:pPr>
        <w:pStyle w:val="BodyText"/>
        <w:numPr>
          <w:ilvl w:val="1"/>
          <w:numId w:val="55"/>
        </w:numPr>
      </w:pPr>
      <w:r w:rsidRPr="00A50800">
        <w:rPr>
          <w:lang w:val="sv-SE"/>
        </w:rPr>
        <w:t xml:space="preserve">För det fall Bolagets styrelse fattat beslut enligt punkt </w:t>
      </w:r>
      <w:r>
        <w:fldChar w:fldCharType="begin"/>
      </w:r>
      <w:r>
        <w:rPr>
          <w:lang w:val="sv-SE"/>
        </w:rPr>
        <w:instrText xml:space="preserve"> REF _Ref167307568 \r \h </w:instrText>
      </w:r>
      <w:r>
        <w:fldChar w:fldCharType="separate"/>
      </w:r>
      <w:r>
        <w:rPr>
          <w:lang w:val="sv-SE"/>
        </w:rPr>
        <w:t>2.3</w:t>
      </w:r>
      <w:r>
        <w:fldChar w:fldCharType="end"/>
      </w:r>
      <w:r w:rsidRPr="00A50800">
        <w:rPr>
          <w:lang w:val="sv-SE"/>
        </w:rPr>
        <w:t xml:space="preserve"> ovan, </w:t>
      </w:r>
      <w:r>
        <w:rPr>
          <w:lang w:val="sv-SE"/>
        </w:rPr>
        <w:t>ska</w:t>
      </w:r>
      <w:r w:rsidRPr="00A50800">
        <w:rPr>
          <w:lang w:val="sv-SE"/>
        </w:rPr>
        <w:t xml:space="preserve"> styrelsen därefter vara oförhindrad att, med de begränsningar som må följa av lag eller annan författning, fatta beslut om att Teckningsoptionerna inte längre </w:t>
      </w:r>
      <w:r>
        <w:rPr>
          <w:lang w:val="sv-SE"/>
        </w:rPr>
        <w:t>ska</w:t>
      </w:r>
      <w:r w:rsidRPr="00A50800">
        <w:rPr>
          <w:lang w:val="sv-SE"/>
        </w:rPr>
        <w:t xml:space="preserve"> vara registrerade av Euroclear i ett avstämningsregister. För det fall sådant sistnämnt beslut fattats </w:t>
      </w:r>
      <w:r>
        <w:rPr>
          <w:lang w:val="sv-SE"/>
        </w:rPr>
        <w:t>ska</w:t>
      </w:r>
      <w:r w:rsidRPr="00A50800">
        <w:rPr>
          <w:lang w:val="sv-SE"/>
        </w:rPr>
        <w:t xml:space="preserve"> vad som stadgas i </w:t>
      </w:r>
      <w:r>
        <w:rPr>
          <w:lang w:val="sv-SE"/>
        </w:rPr>
        <w:t>punkt </w:t>
      </w:r>
      <w:r>
        <w:fldChar w:fldCharType="begin"/>
      </w:r>
      <w:r>
        <w:rPr>
          <w:lang w:val="sv-SE"/>
        </w:rPr>
        <w:instrText xml:space="preserve"> REF _Ref167307519 \r \h </w:instrText>
      </w:r>
      <w:r>
        <w:fldChar w:fldCharType="separate"/>
      </w:r>
      <w:r>
        <w:rPr>
          <w:lang w:val="sv-SE"/>
        </w:rPr>
        <w:t>2.2</w:t>
      </w:r>
      <w:r>
        <w:fldChar w:fldCharType="end"/>
      </w:r>
      <w:r w:rsidRPr="00A50800">
        <w:rPr>
          <w:lang w:val="sv-SE"/>
        </w:rPr>
        <w:t xml:space="preserve"> ovan gälla istället för vad som stadgas i</w:t>
      </w:r>
      <w:r>
        <w:rPr>
          <w:lang w:val="sv-SE"/>
        </w:rPr>
        <w:t xml:space="preserve"> punkterna</w:t>
      </w:r>
      <w:r w:rsidRPr="00A50800">
        <w:rPr>
          <w:lang w:val="sv-SE"/>
        </w:rPr>
        <w:t xml:space="preserve"> </w:t>
      </w:r>
      <w:r>
        <w:fldChar w:fldCharType="begin"/>
      </w:r>
      <w:r>
        <w:rPr>
          <w:lang w:val="sv-SE"/>
        </w:rPr>
        <w:instrText xml:space="preserve"> REF _Ref167307489 \r \h </w:instrText>
      </w:r>
      <w:r>
        <w:fldChar w:fldCharType="separate"/>
      </w:r>
      <w:r>
        <w:rPr>
          <w:lang w:val="sv-SE"/>
        </w:rPr>
        <w:t>2.4</w:t>
      </w:r>
      <w:r>
        <w:fldChar w:fldCharType="end"/>
      </w:r>
      <w:r>
        <w:rPr>
          <w:lang w:val="sv-SE"/>
        </w:rPr>
        <w:t>–</w:t>
      </w:r>
      <w:r>
        <w:fldChar w:fldCharType="begin"/>
      </w:r>
      <w:r>
        <w:rPr>
          <w:lang w:val="sv-SE"/>
        </w:rPr>
        <w:instrText xml:space="preserve"> REF _Ref167307610 \r \h </w:instrText>
      </w:r>
      <w:r>
        <w:fldChar w:fldCharType="separate"/>
      </w:r>
      <w:r>
        <w:rPr>
          <w:lang w:val="sv-SE"/>
        </w:rPr>
        <w:t>2.6</w:t>
      </w:r>
      <w:r>
        <w:fldChar w:fldCharType="end"/>
      </w:r>
      <w:r w:rsidRPr="00A50800">
        <w:rPr>
          <w:lang w:val="sv-SE"/>
        </w:rPr>
        <w:t xml:space="preserve"> ovan.</w:t>
      </w:r>
      <w:r w:rsidRPr="00A50800">
        <w:rPr>
          <w:lang w:val="sv-SE"/>
        </w:rPr>
        <w:br/>
      </w:r>
      <w:r w:rsidRPr="00437F01">
        <w:rPr>
          <w:i/>
        </w:rPr>
        <w:t xml:space="preserve">In the event that the Company's board of directors has passed a resolution in accordance with </w:t>
      </w:r>
      <w:r w:rsidRPr="00437F01">
        <w:rPr>
          <w:i/>
        </w:rPr>
        <w:lastRenderedPageBreak/>
        <w:t xml:space="preserve">section </w:t>
      </w:r>
      <w:r>
        <w:rPr>
          <w:i/>
        </w:rPr>
        <w:fldChar w:fldCharType="begin"/>
      </w:r>
      <w:r>
        <w:rPr>
          <w:i/>
        </w:rPr>
        <w:instrText xml:space="preserve"> REF _Ref167307568 \r \h </w:instrText>
      </w:r>
      <w:r>
        <w:rPr>
          <w:i/>
        </w:rPr>
      </w:r>
      <w:r>
        <w:rPr>
          <w:i/>
        </w:rPr>
        <w:fldChar w:fldCharType="separate"/>
      </w:r>
      <w:r>
        <w:rPr>
          <w:i/>
        </w:rPr>
        <w:t>2.3</w:t>
      </w:r>
      <w:r>
        <w:rPr>
          <w:i/>
        </w:rPr>
        <w:fldChar w:fldCharType="end"/>
      </w:r>
      <w:r w:rsidRPr="00437F01">
        <w:rPr>
          <w:i/>
        </w:rPr>
        <w:t xml:space="preserve"> above, the board of directors will be free to resolve, within the restrictions that may follow from law or other regulations, that the Warrants shall no longer be registered by Euroclear in a securities register. If such a resolution is passed, what is stated in section </w:t>
      </w:r>
      <w:r>
        <w:rPr>
          <w:i/>
        </w:rPr>
        <w:fldChar w:fldCharType="begin"/>
      </w:r>
      <w:r>
        <w:rPr>
          <w:i/>
        </w:rPr>
        <w:instrText xml:space="preserve"> REF _Ref167307519 \r \h </w:instrText>
      </w:r>
      <w:r>
        <w:rPr>
          <w:i/>
        </w:rPr>
      </w:r>
      <w:r>
        <w:rPr>
          <w:i/>
        </w:rPr>
        <w:fldChar w:fldCharType="separate"/>
      </w:r>
      <w:r>
        <w:rPr>
          <w:i/>
        </w:rPr>
        <w:t>2.2</w:t>
      </w:r>
      <w:r>
        <w:rPr>
          <w:i/>
        </w:rPr>
        <w:fldChar w:fldCharType="end"/>
      </w:r>
      <w:r w:rsidRPr="00437F01">
        <w:t xml:space="preserve"> </w:t>
      </w:r>
      <w:r w:rsidRPr="00437F01">
        <w:rPr>
          <w:i/>
        </w:rPr>
        <w:t>above shall apply instead of what is stated in sections</w:t>
      </w:r>
      <w:r>
        <w:rPr>
          <w:i/>
        </w:rPr>
        <w:t xml:space="preserve"> </w:t>
      </w:r>
      <w:r>
        <w:rPr>
          <w:i/>
        </w:rPr>
        <w:fldChar w:fldCharType="begin"/>
      </w:r>
      <w:r>
        <w:rPr>
          <w:i/>
        </w:rPr>
        <w:instrText xml:space="preserve"> REF _Ref167307489 \r \h </w:instrText>
      </w:r>
      <w:r>
        <w:rPr>
          <w:i/>
        </w:rPr>
      </w:r>
      <w:r>
        <w:rPr>
          <w:i/>
        </w:rPr>
        <w:fldChar w:fldCharType="separate"/>
      </w:r>
      <w:r>
        <w:rPr>
          <w:i/>
        </w:rPr>
        <w:t>2.4</w:t>
      </w:r>
      <w:r>
        <w:rPr>
          <w:i/>
        </w:rPr>
        <w:fldChar w:fldCharType="end"/>
      </w:r>
      <w:r w:rsidRPr="00437F01">
        <w:rPr>
          <w:i/>
        </w:rPr>
        <w:t>–</w:t>
      </w:r>
      <w:r>
        <w:rPr>
          <w:i/>
        </w:rPr>
        <w:fldChar w:fldCharType="begin"/>
      </w:r>
      <w:r>
        <w:rPr>
          <w:i/>
        </w:rPr>
        <w:instrText xml:space="preserve"> REF _Ref167307610 \r \h </w:instrText>
      </w:r>
      <w:r>
        <w:rPr>
          <w:i/>
        </w:rPr>
      </w:r>
      <w:r>
        <w:rPr>
          <w:i/>
        </w:rPr>
        <w:fldChar w:fldCharType="separate"/>
      </w:r>
      <w:r>
        <w:rPr>
          <w:i/>
        </w:rPr>
        <w:t>2.6</w:t>
      </w:r>
      <w:r>
        <w:rPr>
          <w:i/>
        </w:rPr>
        <w:fldChar w:fldCharType="end"/>
      </w:r>
      <w:r w:rsidRPr="00437F01">
        <w:rPr>
          <w:i/>
        </w:rPr>
        <w:t xml:space="preserve"> above.</w:t>
      </w:r>
    </w:p>
    <w:p w14:paraId="0F5631A8" w14:textId="77777777" w:rsidR="006350FE" w:rsidRPr="00437F01" w:rsidRDefault="006350FE" w:rsidP="006350FE">
      <w:pPr>
        <w:pStyle w:val="BodyText"/>
        <w:numPr>
          <w:ilvl w:val="0"/>
          <w:numId w:val="55"/>
        </w:numPr>
        <w:spacing w:after="0"/>
        <w:rPr>
          <w:i/>
        </w:rPr>
      </w:pPr>
      <w:r w:rsidRPr="00CD6D9C">
        <w:rPr>
          <w:b/>
          <w:bCs/>
          <w:lang w:val="sv-SE"/>
        </w:rPr>
        <w:t xml:space="preserve">Rätt att teckna nya </w:t>
      </w:r>
      <w:r>
        <w:rPr>
          <w:b/>
          <w:bCs/>
          <w:lang w:val="sv-SE"/>
        </w:rPr>
        <w:t>Aktie</w:t>
      </w:r>
      <w:r w:rsidRPr="00CD6D9C">
        <w:rPr>
          <w:b/>
          <w:bCs/>
          <w:lang w:val="sv-SE"/>
        </w:rPr>
        <w:t>r</w:t>
      </w:r>
      <w:r w:rsidRPr="00A50800">
        <w:rPr>
          <w:b/>
          <w:bCs/>
        </w:rPr>
        <w:t>/</w:t>
      </w:r>
      <w:r w:rsidRPr="00A50800">
        <w:rPr>
          <w:b/>
          <w:bCs/>
          <w:i/>
          <w:iCs/>
        </w:rPr>
        <w:t xml:space="preserve">Right to subscribe for new </w:t>
      </w:r>
      <w:r>
        <w:rPr>
          <w:b/>
          <w:bCs/>
          <w:i/>
          <w:iCs/>
        </w:rPr>
        <w:t>Share</w:t>
      </w:r>
      <w:r w:rsidRPr="00A50800">
        <w:rPr>
          <w:b/>
          <w:bCs/>
          <w:i/>
          <w:iCs/>
        </w:rPr>
        <w:t>s</w:t>
      </w:r>
    </w:p>
    <w:p w14:paraId="78BBB84B" w14:textId="77777777" w:rsidR="006350FE" w:rsidRPr="00437F01" w:rsidRDefault="006350FE" w:rsidP="006350FE">
      <w:pPr>
        <w:pStyle w:val="BodyText"/>
        <w:numPr>
          <w:ilvl w:val="1"/>
          <w:numId w:val="55"/>
        </w:numPr>
      </w:pPr>
      <w:r w:rsidRPr="00A50800">
        <w:rPr>
          <w:lang w:val="sv-SE"/>
        </w:rPr>
        <w:t>O</w:t>
      </w:r>
      <w:r w:rsidRPr="00CD6D9C">
        <w:rPr>
          <w:lang w:val="sv-SE"/>
        </w:rPr>
        <w:t>ptions</w:t>
      </w:r>
      <w:r>
        <w:rPr>
          <w:lang w:val="sv-SE"/>
        </w:rPr>
        <w:t>inne</w:t>
      </w:r>
      <w:r w:rsidRPr="00CD6D9C">
        <w:rPr>
          <w:lang w:val="sv-SE"/>
        </w:rPr>
        <w:t>havar</w:t>
      </w:r>
      <w:r>
        <w:rPr>
          <w:lang w:val="sv-SE"/>
        </w:rPr>
        <w:t>e</w:t>
      </w:r>
      <w:r w:rsidRPr="00CD6D9C">
        <w:rPr>
          <w:lang w:val="sv-SE"/>
        </w:rPr>
        <w:t xml:space="preserve"> </w:t>
      </w:r>
      <w:r>
        <w:rPr>
          <w:lang w:val="sv-SE"/>
        </w:rPr>
        <w:t>ska</w:t>
      </w:r>
      <w:r w:rsidRPr="00CD6D9C">
        <w:rPr>
          <w:lang w:val="sv-SE"/>
        </w:rPr>
        <w:t xml:space="preserve"> </w:t>
      </w:r>
      <w:r>
        <w:rPr>
          <w:lang w:val="sv-SE"/>
        </w:rPr>
        <w:t>ha</w:t>
      </w:r>
      <w:r w:rsidRPr="00CD6D9C">
        <w:rPr>
          <w:lang w:val="sv-SE"/>
        </w:rPr>
        <w:t xml:space="preserve"> rätt att under perioden från </w:t>
      </w:r>
      <w:r w:rsidRPr="008570D1">
        <w:rPr>
          <w:lang w:val="sv-SE"/>
        </w:rPr>
        <w:t>och med registrering hos Bolagsverket till och med den 30 november 202</w:t>
      </w:r>
      <w:r>
        <w:rPr>
          <w:lang w:val="sv-SE"/>
        </w:rPr>
        <w:t>8</w:t>
      </w:r>
      <w:r w:rsidRPr="00356EDF">
        <w:rPr>
          <w:lang w:val="sv-SE"/>
        </w:rPr>
        <w:t>, e</w:t>
      </w:r>
      <w:r w:rsidRPr="00CD6D9C">
        <w:rPr>
          <w:lang w:val="sv-SE"/>
        </w:rPr>
        <w:t xml:space="preserve">ller den tidigare dag som följer av punkt </w:t>
      </w:r>
      <w:r>
        <w:rPr>
          <w:lang w:val="sv-SE"/>
        </w:rPr>
        <w:fldChar w:fldCharType="begin"/>
      </w:r>
      <w:r>
        <w:rPr>
          <w:lang w:val="sv-SE"/>
        </w:rPr>
        <w:instrText xml:space="preserve"> REF _Ref167307664 \r \h </w:instrText>
      </w:r>
      <w:r>
        <w:rPr>
          <w:lang w:val="sv-SE"/>
        </w:rPr>
      </w:r>
      <w:r>
        <w:rPr>
          <w:lang w:val="sv-SE"/>
        </w:rPr>
        <w:fldChar w:fldCharType="separate"/>
      </w:r>
      <w:r>
        <w:rPr>
          <w:lang w:val="sv-SE"/>
        </w:rPr>
        <w:t>8</w:t>
      </w:r>
      <w:r>
        <w:rPr>
          <w:lang w:val="sv-SE"/>
        </w:rPr>
        <w:fldChar w:fldCharType="end"/>
      </w:r>
      <w:r w:rsidRPr="00CD6D9C">
        <w:rPr>
          <w:lang w:val="sv-SE"/>
        </w:rPr>
        <w:t xml:space="preserve"> nedan, för varje Teckningsoption teckna en (1) ny Aktie. </w:t>
      </w:r>
      <w:proofErr w:type="spellStart"/>
      <w:r w:rsidRPr="00EE396E">
        <w:rPr>
          <w:lang w:val="en-US"/>
        </w:rPr>
        <w:t>Teckningskursen</w:t>
      </w:r>
      <w:proofErr w:type="spellEnd"/>
      <w:r w:rsidRPr="00EE396E">
        <w:rPr>
          <w:lang w:val="en-US"/>
        </w:rPr>
        <w:t xml:space="preserve"> per </w:t>
      </w:r>
      <w:proofErr w:type="spellStart"/>
      <w:r w:rsidRPr="00EE396E">
        <w:rPr>
          <w:lang w:val="en-US"/>
        </w:rPr>
        <w:t>Aktie</w:t>
      </w:r>
      <w:proofErr w:type="spellEnd"/>
      <w:r w:rsidRPr="00EE396E">
        <w:rPr>
          <w:lang w:val="en-US"/>
        </w:rPr>
        <w:t xml:space="preserve"> ska </w:t>
      </w:r>
      <w:proofErr w:type="spellStart"/>
      <w:r w:rsidRPr="00EE396E">
        <w:rPr>
          <w:lang w:val="en-US"/>
        </w:rPr>
        <w:t>motsvara</w:t>
      </w:r>
      <w:proofErr w:type="spellEnd"/>
      <w:r w:rsidRPr="00EE396E">
        <w:rPr>
          <w:lang w:val="en-US"/>
        </w:rPr>
        <w:t xml:space="preserve"> </w:t>
      </w:r>
      <w:proofErr w:type="spellStart"/>
      <w:r w:rsidRPr="00EE396E">
        <w:rPr>
          <w:lang w:val="en-US"/>
        </w:rPr>
        <w:t>aktiens</w:t>
      </w:r>
      <w:proofErr w:type="spellEnd"/>
      <w:r w:rsidRPr="00EE396E">
        <w:rPr>
          <w:lang w:val="en-US"/>
        </w:rPr>
        <w:t xml:space="preserve"> </w:t>
      </w:r>
      <w:proofErr w:type="spellStart"/>
      <w:r w:rsidRPr="00EE396E">
        <w:rPr>
          <w:lang w:val="en-US"/>
        </w:rPr>
        <w:t>kvotvärde</w:t>
      </w:r>
      <w:proofErr w:type="spellEnd"/>
      <w:r w:rsidRPr="00EE396E">
        <w:rPr>
          <w:lang w:val="en-US"/>
        </w:rPr>
        <w:t>.</w:t>
      </w:r>
      <w:r w:rsidRPr="00EE396E">
        <w:rPr>
          <w:lang w:val="en-US"/>
        </w:rPr>
        <w:br/>
      </w:r>
      <w:r w:rsidRPr="00437F01">
        <w:rPr>
          <w:i/>
        </w:rPr>
        <w:t>During the period as fro</w:t>
      </w:r>
      <w:r w:rsidRPr="00356EDF">
        <w:rPr>
          <w:i/>
        </w:rPr>
        <w:t xml:space="preserve">m </w:t>
      </w:r>
      <w:r>
        <w:rPr>
          <w:i/>
        </w:rPr>
        <w:t>registration with the Swedish Companies Registration Office up to and including 30 November 2028</w:t>
      </w:r>
      <w:r w:rsidRPr="00356EDF">
        <w:rPr>
          <w:i/>
        </w:rPr>
        <w:t>,</w:t>
      </w:r>
      <w:r w:rsidRPr="00437F01">
        <w:rPr>
          <w:i/>
        </w:rPr>
        <w:t xml:space="preserve"> or the earlier date set forth in section </w:t>
      </w:r>
      <w:r>
        <w:rPr>
          <w:i/>
        </w:rPr>
        <w:fldChar w:fldCharType="begin"/>
      </w:r>
      <w:r>
        <w:rPr>
          <w:i/>
        </w:rPr>
        <w:instrText xml:space="preserve"> REF _Ref167307664 \r \h </w:instrText>
      </w:r>
      <w:r>
        <w:rPr>
          <w:i/>
        </w:rPr>
      </w:r>
      <w:r>
        <w:rPr>
          <w:i/>
        </w:rPr>
        <w:fldChar w:fldCharType="separate"/>
      </w:r>
      <w:r>
        <w:rPr>
          <w:i/>
        </w:rPr>
        <w:t>8</w:t>
      </w:r>
      <w:r>
        <w:rPr>
          <w:i/>
        </w:rPr>
        <w:fldChar w:fldCharType="end"/>
      </w:r>
      <w:r>
        <w:rPr>
          <w:i/>
        </w:rPr>
        <w:t xml:space="preserve"> </w:t>
      </w:r>
      <w:r w:rsidRPr="00437F01">
        <w:rPr>
          <w:i/>
        </w:rPr>
        <w:t xml:space="preserve">below, </w:t>
      </w:r>
      <w:r>
        <w:rPr>
          <w:i/>
        </w:rPr>
        <w:t>Warrant Holder</w:t>
      </w:r>
      <w:r w:rsidRPr="00437F01">
        <w:rPr>
          <w:i/>
        </w:rPr>
        <w:t xml:space="preserve">s </w:t>
      </w:r>
      <w:r>
        <w:rPr>
          <w:i/>
        </w:rPr>
        <w:t>shall be</w:t>
      </w:r>
      <w:r w:rsidRPr="00437F01">
        <w:rPr>
          <w:i/>
        </w:rPr>
        <w:t xml:space="preserve"> entitled to sub</w:t>
      </w:r>
      <w:r w:rsidRPr="00356EDF">
        <w:rPr>
          <w:i/>
        </w:rPr>
        <w:t xml:space="preserve">scribe for one (1) new Share for each Warrant. The Subscription Price per Share shall </w:t>
      </w:r>
      <w:r>
        <w:rPr>
          <w:i/>
        </w:rPr>
        <w:t>correspond to the share's quota value.</w:t>
      </w:r>
    </w:p>
    <w:p w14:paraId="549A1346" w14:textId="77777777" w:rsidR="006350FE" w:rsidRPr="00437F01" w:rsidRDefault="006350FE" w:rsidP="006350FE">
      <w:pPr>
        <w:pStyle w:val="BodyText"/>
        <w:numPr>
          <w:ilvl w:val="1"/>
          <w:numId w:val="55"/>
        </w:numPr>
      </w:pPr>
      <w:r w:rsidRPr="00356EDF">
        <w:rPr>
          <w:lang w:val="sv-SE"/>
        </w:rPr>
        <w:t xml:space="preserve">Teckningskursen, liksom antalet Aktier som varje Teckningsoption ger rätt att teckna, kan bli föremål för justering i de fall som anges i punkt </w:t>
      </w:r>
      <w:r w:rsidRPr="00356EDF">
        <w:rPr>
          <w:lang w:val="sv-SE"/>
        </w:rPr>
        <w:fldChar w:fldCharType="begin"/>
      </w:r>
      <w:r w:rsidRPr="00356EDF">
        <w:rPr>
          <w:lang w:val="sv-SE"/>
        </w:rPr>
        <w:instrText xml:space="preserve"> REF _Ref167307664 \r \h </w:instrText>
      </w:r>
      <w:r w:rsidRPr="00356EDF">
        <w:rPr>
          <w:lang w:val="sv-SE"/>
        </w:rPr>
      </w:r>
      <w:r w:rsidRPr="00356EDF">
        <w:rPr>
          <w:lang w:val="sv-SE"/>
        </w:rPr>
        <w:fldChar w:fldCharType="separate"/>
      </w:r>
      <w:r>
        <w:rPr>
          <w:lang w:val="sv-SE"/>
        </w:rPr>
        <w:t>8</w:t>
      </w:r>
      <w:r w:rsidRPr="00356EDF">
        <w:rPr>
          <w:lang w:val="sv-SE"/>
        </w:rPr>
        <w:fldChar w:fldCharType="end"/>
      </w:r>
      <w:r w:rsidRPr="00356EDF">
        <w:rPr>
          <w:lang w:val="sv-SE"/>
        </w:rPr>
        <w:t xml:space="preserve"> nedan. </w:t>
      </w:r>
      <w:proofErr w:type="spellStart"/>
      <w:r w:rsidRPr="006B6AC0">
        <w:rPr>
          <w:lang w:val="en-US"/>
        </w:rPr>
        <w:t>Teckningskursen</w:t>
      </w:r>
      <w:proofErr w:type="spellEnd"/>
      <w:r w:rsidRPr="006B6AC0">
        <w:rPr>
          <w:lang w:val="en-US"/>
        </w:rPr>
        <w:t xml:space="preserve"> </w:t>
      </w:r>
      <w:proofErr w:type="spellStart"/>
      <w:r w:rsidRPr="006B6AC0">
        <w:rPr>
          <w:lang w:val="en-US"/>
        </w:rPr>
        <w:t>får</w:t>
      </w:r>
      <w:proofErr w:type="spellEnd"/>
      <w:r w:rsidRPr="006B6AC0">
        <w:rPr>
          <w:lang w:val="en-US"/>
        </w:rPr>
        <w:t xml:space="preserve"> dock </w:t>
      </w:r>
      <w:proofErr w:type="spellStart"/>
      <w:r w:rsidRPr="006B6AC0">
        <w:rPr>
          <w:lang w:val="en-US"/>
        </w:rPr>
        <w:t>aldrig</w:t>
      </w:r>
      <w:proofErr w:type="spellEnd"/>
      <w:r w:rsidRPr="006B6AC0">
        <w:rPr>
          <w:lang w:val="en-US"/>
        </w:rPr>
        <w:t xml:space="preserve"> </w:t>
      </w:r>
      <w:proofErr w:type="spellStart"/>
      <w:r w:rsidRPr="006B6AC0">
        <w:rPr>
          <w:lang w:val="en-US"/>
        </w:rPr>
        <w:t>understiga</w:t>
      </w:r>
      <w:proofErr w:type="spellEnd"/>
      <w:r w:rsidRPr="006B6AC0">
        <w:rPr>
          <w:lang w:val="en-US"/>
        </w:rPr>
        <w:t xml:space="preserve"> </w:t>
      </w:r>
      <w:proofErr w:type="spellStart"/>
      <w:r w:rsidRPr="006B6AC0">
        <w:rPr>
          <w:lang w:val="en-US"/>
        </w:rPr>
        <w:t>Aktiens</w:t>
      </w:r>
      <w:proofErr w:type="spellEnd"/>
      <w:r w:rsidRPr="006B6AC0">
        <w:rPr>
          <w:lang w:val="en-US"/>
        </w:rPr>
        <w:t xml:space="preserve"> </w:t>
      </w:r>
      <w:proofErr w:type="spellStart"/>
      <w:r w:rsidRPr="006B6AC0">
        <w:rPr>
          <w:lang w:val="en-US"/>
        </w:rPr>
        <w:t>kvotvärde</w:t>
      </w:r>
      <w:proofErr w:type="spellEnd"/>
      <w:r w:rsidRPr="006B6AC0">
        <w:rPr>
          <w:lang w:val="en-US"/>
        </w:rPr>
        <w:t>.</w:t>
      </w:r>
      <w:r w:rsidRPr="00437F01">
        <w:br/>
      </w:r>
      <w:r w:rsidRPr="00437F01">
        <w:rPr>
          <w:i/>
        </w:rPr>
        <w:t xml:space="preserve">The Subscription Price as well as the number of </w:t>
      </w:r>
      <w:r>
        <w:rPr>
          <w:i/>
        </w:rPr>
        <w:t>Share</w:t>
      </w:r>
      <w:r w:rsidRPr="00437F01">
        <w:rPr>
          <w:i/>
        </w:rPr>
        <w:t xml:space="preserve">s which each Warrant entitles the </w:t>
      </w:r>
      <w:r>
        <w:rPr>
          <w:i/>
        </w:rPr>
        <w:t>Warrant H</w:t>
      </w:r>
      <w:r w:rsidRPr="00437F01">
        <w:rPr>
          <w:i/>
        </w:rPr>
        <w:t xml:space="preserve">older to subscribe for, may be subject to adjustment in cases specified in section </w:t>
      </w:r>
      <w:r>
        <w:rPr>
          <w:i/>
        </w:rPr>
        <w:fldChar w:fldCharType="begin"/>
      </w:r>
      <w:r>
        <w:rPr>
          <w:i/>
        </w:rPr>
        <w:instrText xml:space="preserve"> REF _Ref167307664 \r \h </w:instrText>
      </w:r>
      <w:r>
        <w:rPr>
          <w:i/>
        </w:rPr>
      </w:r>
      <w:r>
        <w:rPr>
          <w:i/>
        </w:rPr>
        <w:fldChar w:fldCharType="separate"/>
      </w:r>
      <w:r>
        <w:rPr>
          <w:i/>
        </w:rPr>
        <w:t>8</w:t>
      </w:r>
      <w:r>
        <w:rPr>
          <w:i/>
        </w:rPr>
        <w:fldChar w:fldCharType="end"/>
      </w:r>
      <w:r w:rsidRPr="00437F01">
        <w:rPr>
          <w:i/>
        </w:rPr>
        <w:t xml:space="preserve"> below. The Subscription Price may, however, never be less than the </w:t>
      </w:r>
      <w:r>
        <w:rPr>
          <w:i/>
        </w:rPr>
        <w:t>Share</w:t>
      </w:r>
      <w:r w:rsidRPr="00437F01">
        <w:rPr>
          <w:i/>
        </w:rPr>
        <w:t>'s quota value.</w:t>
      </w:r>
    </w:p>
    <w:p w14:paraId="35E2525A" w14:textId="77777777" w:rsidR="006350FE" w:rsidRPr="008570D1" w:rsidRDefault="006350FE" w:rsidP="006350FE">
      <w:pPr>
        <w:pStyle w:val="BodyText"/>
        <w:numPr>
          <w:ilvl w:val="1"/>
          <w:numId w:val="55"/>
        </w:numPr>
        <w:rPr>
          <w:lang w:val="en-US"/>
        </w:rPr>
      </w:pPr>
      <w:r w:rsidRPr="00614F81">
        <w:rPr>
          <w:iCs/>
          <w:lang w:val="sv-SE"/>
        </w:rPr>
        <w:t xml:space="preserve">Om en Optionsinnehavare är förhindrad att </w:t>
      </w:r>
      <w:r>
        <w:rPr>
          <w:iCs/>
          <w:lang w:val="sv-SE"/>
        </w:rPr>
        <w:t>teckna Aktier under den period som anges i punkt </w:t>
      </w:r>
      <w:r>
        <w:rPr>
          <w:iCs/>
          <w:lang w:val="sv-SE"/>
        </w:rPr>
        <w:fldChar w:fldCharType="begin"/>
      </w:r>
      <w:r>
        <w:rPr>
          <w:iCs/>
          <w:lang w:val="sv-SE"/>
        </w:rPr>
        <w:instrText xml:space="preserve"> REF _Ref167307717 \r \h </w:instrText>
      </w:r>
      <w:r>
        <w:rPr>
          <w:iCs/>
          <w:lang w:val="sv-SE"/>
        </w:rPr>
      </w:r>
      <w:r>
        <w:rPr>
          <w:iCs/>
          <w:lang w:val="sv-SE"/>
        </w:rPr>
        <w:fldChar w:fldCharType="separate"/>
      </w:r>
      <w:r>
        <w:rPr>
          <w:iCs/>
          <w:lang w:val="sv-SE"/>
        </w:rPr>
        <w:t>3.1</w:t>
      </w:r>
      <w:r>
        <w:rPr>
          <w:iCs/>
          <w:lang w:val="sv-SE"/>
        </w:rPr>
        <w:fldChar w:fldCharType="end"/>
      </w:r>
      <w:r>
        <w:rPr>
          <w:iCs/>
          <w:lang w:val="sv-SE"/>
        </w:rPr>
        <w:t xml:space="preserve"> på grund av bestämmelser i EU:s marknadsmissbruksförordning (596/2014/EU), lag (2016:1307) om straff för marknadsmissbruk på värdepappersmarknaden, lag (2016:1306) med kompletterande bestämmelser till EU:s marknadsmissbruksförordning eller annan på Bolaget tillämplig insiderlagstiftning ska Bolaget äga rätt att medge att sådan Optionsinnehavare istället får teckna Aktier så snart denne inte längre är förhindrad att göra det, dock senast trettio kalenderdagar efter att sådant hinder har upphört.</w:t>
      </w:r>
      <w:r>
        <w:rPr>
          <w:iCs/>
          <w:lang w:val="sv-SE"/>
        </w:rPr>
        <w:br/>
      </w:r>
      <w:r w:rsidRPr="006B6AC0">
        <w:rPr>
          <w:i/>
          <w:lang w:val="en-US"/>
        </w:rPr>
        <w:t>If a Warrant Holder is prevented from subscribing for Sha</w:t>
      </w:r>
      <w:r>
        <w:rPr>
          <w:i/>
          <w:lang w:val="en-US"/>
        </w:rPr>
        <w:t xml:space="preserve">res during the period set out in section </w:t>
      </w:r>
      <w:r>
        <w:rPr>
          <w:i/>
          <w:lang w:val="en-US"/>
        </w:rPr>
        <w:fldChar w:fldCharType="begin"/>
      </w:r>
      <w:r>
        <w:rPr>
          <w:i/>
          <w:lang w:val="en-US"/>
        </w:rPr>
        <w:instrText xml:space="preserve"> REF _Ref167307717 \r \h </w:instrText>
      </w:r>
      <w:r>
        <w:rPr>
          <w:i/>
          <w:lang w:val="en-US"/>
        </w:rPr>
      </w:r>
      <w:r>
        <w:rPr>
          <w:i/>
          <w:lang w:val="en-US"/>
        </w:rPr>
        <w:fldChar w:fldCharType="separate"/>
      </w:r>
      <w:r>
        <w:rPr>
          <w:i/>
          <w:lang w:val="en-US"/>
        </w:rPr>
        <w:t>3.1</w:t>
      </w:r>
      <w:r>
        <w:rPr>
          <w:i/>
          <w:lang w:val="en-US"/>
        </w:rPr>
        <w:fldChar w:fldCharType="end"/>
      </w:r>
      <w:r>
        <w:rPr>
          <w:i/>
          <w:lang w:val="en-US"/>
        </w:rPr>
        <w:t xml:space="preserve"> due to provisions under the EU market abuse regulation </w:t>
      </w:r>
      <w:r w:rsidRPr="002A1EA0">
        <w:rPr>
          <w:i/>
          <w:lang w:val="en-US"/>
        </w:rPr>
        <w:t>(596/2014/EU)</w:t>
      </w:r>
      <w:r>
        <w:rPr>
          <w:i/>
          <w:lang w:val="en-US"/>
        </w:rPr>
        <w:t xml:space="preserve">, the Swedish Securities Market Abuse Penal Act (2016:1307), the Swedish Act with Supplementary Provisions to the EU Market Abuse Regulation (2016:1306) or other insider regulation applicable to the Company, the Company may instead permit such Warrant Holder to subscribe for Shares as soon as the Warrant Holder is no longer prevented from doing so, </w:t>
      </w:r>
      <w:r w:rsidRPr="008570D1">
        <w:rPr>
          <w:i/>
          <w:lang w:val="en-US"/>
        </w:rPr>
        <w:t>however no later than thirty calendar days after such prevention has ceased.</w:t>
      </w:r>
    </w:p>
    <w:p w14:paraId="467E0C14" w14:textId="77777777" w:rsidR="006350FE" w:rsidRPr="006B6AC0" w:rsidRDefault="006350FE" w:rsidP="006350FE">
      <w:pPr>
        <w:pStyle w:val="BodyText"/>
        <w:numPr>
          <w:ilvl w:val="1"/>
          <w:numId w:val="55"/>
        </w:numPr>
      </w:pPr>
      <w:r w:rsidRPr="008570D1">
        <w:rPr>
          <w:lang w:val="sv-SE"/>
        </w:rPr>
        <w:t>Teckning kan endast ske av det hela antal Aktier till vilka de Teckningsoptioner som Optionsinnehavaren önskar utnyttja berättigar. Vid Teckning ska bortses från eventuell överskjutande del av Teckningsoption, som inte kan utnyttjas.</w:t>
      </w:r>
      <w:r w:rsidRPr="008570D1">
        <w:rPr>
          <w:lang w:val="sv-SE"/>
        </w:rPr>
        <w:br/>
      </w:r>
      <w:r w:rsidRPr="008570D1">
        <w:rPr>
          <w:i/>
        </w:rPr>
        <w:t xml:space="preserve">Subscription can only be made for the full number of Shares exercisable under the Warrants, that the Warrant Holder would like to exercise. At Subscription any excess portion of the Warrant which </w:t>
      </w:r>
      <w:proofErr w:type="spellStart"/>
      <w:r w:rsidRPr="008570D1">
        <w:rPr>
          <w:i/>
        </w:rPr>
        <w:t>can not</w:t>
      </w:r>
      <w:proofErr w:type="spellEnd"/>
      <w:r w:rsidRPr="008570D1">
        <w:rPr>
          <w:i/>
        </w:rPr>
        <w:t xml:space="preserve"> be exercised shall be disregarded.</w:t>
      </w:r>
    </w:p>
    <w:p w14:paraId="6CA23CBF" w14:textId="77777777" w:rsidR="006350FE" w:rsidRPr="00A50800" w:rsidRDefault="006350FE" w:rsidP="006350FE">
      <w:pPr>
        <w:pStyle w:val="BodyText"/>
        <w:numPr>
          <w:ilvl w:val="0"/>
          <w:numId w:val="55"/>
        </w:numPr>
        <w:spacing w:after="0"/>
        <w:rPr>
          <w:b/>
          <w:bCs/>
        </w:rPr>
      </w:pPr>
      <w:r w:rsidRPr="006B6AC0">
        <w:rPr>
          <w:b/>
          <w:bCs/>
          <w:lang w:val="sv-SE"/>
        </w:rPr>
        <w:t>Teckning</w:t>
      </w:r>
      <w:r>
        <w:rPr>
          <w:b/>
          <w:bCs/>
        </w:rPr>
        <w:t>/</w:t>
      </w:r>
      <w:r w:rsidRPr="00A50800">
        <w:rPr>
          <w:b/>
          <w:bCs/>
          <w:i/>
          <w:iCs/>
        </w:rPr>
        <w:t>Subscription</w:t>
      </w:r>
    </w:p>
    <w:p w14:paraId="2701514B" w14:textId="77777777" w:rsidR="006350FE" w:rsidRPr="003B12B8" w:rsidRDefault="006350FE" w:rsidP="006350FE">
      <w:pPr>
        <w:pStyle w:val="BodyText"/>
        <w:numPr>
          <w:ilvl w:val="1"/>
          <w:numId w:val="55"/>
        </w:numPr>
      </w:pPr>
      <w:r w:rsidRPr="00A50800">
        <w:rPr>
          <w:lang w:val="sv-SE"/>
        </w:rPr>
        <w:t xml:space="preserve">Teckning sker genom att </w:t>
      </w:r>
      <w:r>
        <w:rPr>
          <w:lang w:val="sv-SE"/>
        </w:rPr>
        <w:t>Optionsinnehavaren</w:t>
      </w:r>
      <w:r w:rsidRPr="00A50800">
        <w:rPr>
          <w:lang w:val="sv-SE"/>
        </w:rPr>
        <w:t xml:space="preserve"> enligt fastställt formulär skriftligen tecknar </w:t>
      </w:r>
      <w:r>
        <w:rPr>
          <w:lang w:val="sv-SE"/>
        </w:rPr>
        <w:t>Aktie</w:t>
      </w:r>
      <w:r w:rsidRPr="00E256B0">
        <w:rPr>
          <w:lang w:val="sv-SE"/>
        </w:rPr>
        <w:t xml:space="preserve">r, varvid ska anges det antal Aktier som tecknas. </w:t>
      </w:r>
      <w:proofErr w:type="spellStart"/>
      <w:r w:rsidRPr="006B6AC0">
        <w:rPr>
          <w:lang w:val="en-US"/>
        </w:rPr>
        <w:t>Teckning</w:t>
      </w:r>
      <w:proofErr w:type="spellEnd"/>
      <w:r w:rsidRPr="006B6AC0">
        <w:rPr>
          <w:lang w:val="en-US"/>
        </w:rPr>
        <w:t xml:space="preserve"> </w:t>
      </w:r>
      <w:proofErr w:type="spellStart"/>
      <w:r w:rsidRPr="006B6AC0">
        <w:rPr>
          <w:lang w:val="en-US"/>
        </w:rPr>
        <w:t>är</w:t>
      </w:r>
      <w:proofErr w:type="spellEnd"/>
      <w:r w:rsidRPr="006B6AC0">
        <w:rPr>
          <w:lang w:val="en-US"/>
        </w:rPr>
        <w:t xml:space="preserve"> </w:t>
      </w:r>
      <w:proofErr w:type="spellStart"/>
      <w:r w:rsidRPr="006B6AC0">
        <w:rPr>
          <w:lang w:val="en-US"/>
        </w:rPr>
        <w:t>bindande</w:t>
      </w:r>
      <w:proofErr w:type="spellEnd"/>
      <w:r w:rsidRPr="006B6AC0">
        <w:rPr>
          <w:lang w:val="en-US"/>
        </w:rPr>
        <w:t xml:space="preserve"> </w:t>
      </w:r>
      <w:proofErr w:type="spellStart"/>
      <w:r w:rsidRPr="006B6AC0">
        <w:rPr>
          <w:lang w:val="en-US"/>
        </w:rPr>
        <w:t>och</w:t>
      </w:r>
      <w:proofErr w:type="spellEnd"/>
      <w:r w:rsidRPr="006B6AC0">
        <w:rPr>
          <w:lang w:val="en-US"/>
        </w:rPr>
        <w:t xml:space="preserve"> </w:t>
      </w:r>
      <w:proofErr w:type="spellStart"/>
      <w:r w:rsidRPr="006B6AC0">
        <w:rPr>
          <w:lang w:val="en-US"/>
        </w:rPr>
        <w:t>kan</w:t>
      </w:r>
      <w:proofErr w:type="spellEnd"/>
      <w:r w:rsidRPr="006B6AC0">
        <w:rPr>
          <w:lang w:val="en-US"/>
        </w:rPr>
        <w:t xml:space="preserve"> </w:t>
      </w:r>
      <w:proofErr w:type="spellStart"/>
      <w:r w:rsidRPr="006B6AC0">
        <w:rPr>
          <w:lang w:val="en-US"/>
        </w:rPr>
        <w:t>inte</w:t>
      </w:r>
      <w:proofErr w:type="spellEnd"/>
      <w:r w:rsidRPr="006B6AC0">
        <w:rPr>
          <w:lang w:val="en-US"/>
        </w:rPr>
        <w:t xml:space="preserve"> </w:t>
      </w:r>
      <w:proofErr w:type="spellStart"/>
      <w:r w:rsidRPr="006B6AC0">
        <w:rPr>
          <w:lang w:val="en-US"/>
        </w:rPr>
        <w:t>återkallas</w:t>
      </w:r>
      <w:proofErr w:type="spellEnd"/>
      <w:r w:rsidRPr="006B6AC0">
        <w:rPr>
          <w:lang w:val="en-US"/>
        </w:rPr>
        <w:t>.</w:t>
      </w:r>
      <w:r w:rsidRPr="00437F01">
        <w:br/>
      </w:r>
      <w:r w:rsidRPr="00437F01">
        <w:rPr>
          <w:i/>
        </w:rPr>
        <w:t xml:space="preserve">Subscription is made by the </w:t>
      </w:r>
      <w:r>
        <w:rPr>
          <w:i/>
        </w:rPr>
        <w:t>Warrant Holder</w:t>
      </w:r>
      <w:r w:rsidRPr="00437F01">
        <w:rPr>
          <w:i/>
        </w:rPr>
        <w:t xml:space="preserve"> </w:t>
      </w:r>
      <w:r>
        <w:rPr>
          <w:i/>
        </w:rPr>
        <w:t>s</w:t>
      </w:r>
      <w:r w:rsidRPr="00437F01">
        <w:rPr>
          <w:i/>
        </w:rPr>
        <w:t xml:space="preserve">ubscribing for the </w:t>
      </w:r>
      <w:r>
        <w:rPr>
          <w:i/>
        </w:rPr>
        <w:t>Share</w:t>
      </w:r>
      <w:r w:rsidRPr="00437F01">
        <w:rPr>
          <w:i/>
        </w:rPr>
        <w:t xml:space="preserve">s, in writing, in accordance with an established form, indicating the number of </w:t>
      </w:r>
      <w:r>
        <w:rPr>
          <w:i/>
        </w:rPr>
        <w:t>Share</w:t>
      </w:r>
      <w:r w:rsidRPr="00437F01">
        <w:rPr>
          <w:i/>
        </w:rPr>
        <w:t>s that are subscribed for. Subscription is binding and may not be revoked.</w:t>
      </w:r>
    </w:p>
    <w:p w14:paraId="78985EEB" w14:textId="77777777" w:rsidR="006350FE" w:rsidRDefault="006350FE" w:rsidP="006350FE">
      <w:pPr>
        <w:pStyle w:val="BodyText"/>
        <w:ind w:left="720"/>
        <w:rPr>
          <w:i/>
        </w:rPr>
      </w:pPr>
      <w:r>
        <w:rPr>
          <w:i/>
        </w:rPr>
        <w:br w:type="page"/>
      </w:r>
    </w:p>
    <w:p w14:paraId="087E51D0" w14:textId="77777777" w:rsidR="006350FE" w:rsidRPr="00437F01" w:rsidRDefault="006350FE" w:rsidP="006350FE">
      <w:pPr>
        <w:pStyle w:val="BodyText"/>
        <w:numPr>
          <w:ilvl w:val="1"/>
          <w:numId w:val="55"/>
        </w:numPr>
      </w:pPr>
      <w:r w:rsidRPr="00A50800">
        <w:rPr>
          <w:lang w:val="sv-SE"/>
        </w:rPr>
        <w:lastRenderedPageBreak/>
        <w:t xml:space="preserve">Sker inte Teckning inom i punkt </w:t>
      </w:r>
      <w:r>
        <w:fldChar w:fldCharType="begin"/>
      </w:r>
      <w:r>
        <w:rPr>
          <w:lang w:val="sv-SE"/>
        </w:rPr>
        <w:instrText xml:space="preserve"> REF _Ref167307717 \r \h </w:instrText>
      </w:r>
      <w:r>
        <w:fldChar w:fldCharType="separate"/>
      </w:r>
      <w:r>
        <w:rPr>
          <w:lang w:val="sv-SE"/>
        </w:rPr>
        <w:t>3.1</w:t>
      </w:r>
      <w:r>
        <w:fldChar w:fldCharType="end"/>
      </w:r>
      <w:r w:rsidRPr="00A50800">
        <w:rPr>
          <w:lang w:val="sv-SE"/>
        </w:rPr>
        <w:t xml:space="preserve"> angiven tid, upphör all rätt enligt Teckningsoptionerna att gälla.</w:t>
      </w:r>
      <w:r w:rsidRPr="00A50800">
        <w:rPr>
          <w:lang w:val="sv-SE"/>
        </w:rPr>
        <w:br/>
      </w:r>
      <w:r w:rsidRPr="00437F01">
        <w:rPr>
          <w:i/>
        </w:rPr>
        <w:t xml:space="preserve">If Subscription </w:t>
      </w:r>
      <w:proofErr w:type="gramStart"/>
      <w:r w:rsidRPr="00437F01">
        <w:rPr>
          <w:i/>
        </w:rPr>
        <w:t>is not</w:t>
      </w:r>
      <w:proofErr w:type="gramEnd"/>
      <w:r w:rsidRPr="00437F01">
        <w:rPr>
          <w:i/>
        </w:rPr>
        <w:t xml:space="preserve"> made within the period set forth in section</w:t>
      </w:r>
      <w:r>
        <w:rPr>
          <w:i/>
        </w:rPr>
        <w:t xml:space="preserve"> </w:t>
      </w:r>
      <w:r>
        <w:rPr>
          <w:i/>
        </w:rPr>
        <w:fldChar w:fldCharType="begin"/>
      </w:r>
      <w:r>
        <w:rPr>
          <w:i/>
        </w:rPr>
        <w:instrText xml:space="preserve"> REF _Ref167307717 \r \h </w:instrText>
      </w:r>
      <w:r>
        <w:rPr>
          <w:i/>
        </w:rPr>
      </w:r>
      <w:r>
        <w:rPr>
          <w:i/>
        </w:rPr>
        <w:fldChar w:fldCharType="separate"/>
      </w:r>
      <w:r>
        <w:rPr>
          <w:i/>
        </w:rPr>
        <w:t>3.1</w:t>
      </w:r>
      <w:r>
        <w:rPr>
          <w:i/>
        </w:rPr>
        <w:fldChar w:fldCharType="end"/>
      </w:r>
      <w:r w:rsidRPr="00437F01">
        <w:rPr>
          <w:i/>
        </w:rPr>
        <w:t>, any and all rights pursuant to the Warrants shall expire.</w:t>
      </w:r>
    </w:p>
    <w:p w14:paraId="71155687" w14:textId="77777777" w:rsidR="006350FE" w:rsidRPr="00437F01" w:rsidRDefault="006350FE" w:rsidP="006350FE">
      <w:pPr>
        <w:pStyle w:val="BodyText"/>
        <w:numPr>
          <w:ilvl w:val="1"/>
          <w:numId w:val="55"/>
        </w:numPr>
      </w:pPr>
      <w:r w:rsidRPr="00A50800">
        <w:rPr>
          <w:lang w:val="sv-SE"/>
        </w:rPr>
        <w:t xml:space="preserve">Vid sådan Teckning </w:t>
      </w:r>
      <w:r>
        <w:rPr>
          <w:lang w:val="sv-SE"/>
        </w:rPr>
        <w:t>ska</w:t>
      </w:r>
      <w:r w:rsidRPr="00A50800">
        <w:rPr>
          <w:lang w:val="sv-SE"/>
        </w:rPr>
        <w:t xml:space="preserve">, för registreringsåtgärder, skriftlig och ifylld teckningssedel enligt fastställt formulär inges till Bolaget eller den Bolaget anvisar. I förekommande fall </w:t>
      </w:r>
      <w:r>
        <w:rPr>
          <w:lang w:val="sv-SE"/>
        </w:rPr>
        <w:t>ska</w:t>
      </w:r>
      <w:r w:rsidRPr="00A50800">
        <w:rPr>
          <w:lang w:val="sv-SE"/>
        </w:rPr>
        <w:t xml:space="preserve"> </w:t>
      </w:r>
      <w:r>
        <w:rPr>
          <w:lang w:val="sv-SE"/>
        </w:rPr>
        <w:t>Optionsinnehavare</w:t>
      </w:r>
      <w:r w:rsidRPr="00A50800">
        <w:rPr>
          <w:lang w:val="sv-SE"/>
        </w:rPr>
        <w:t>n samtidigt överlämna till Bolaget teckningsoptionsbevis representerade det antal Teckningsoptioner som anmälan om Teckning avser.</w:t>
      </w:r>
      <w:r w:rsidRPr="00A50800">
        <w:rPr>
          <w:lang w:val="sv-SE"/>
        </w:rPr>
        <w:br/>
      </w:r>
      <w:r w:rsidRPr="00437F01">
        <w:rPr>
          <w:i/>
        </w:rPr>
        <w:t xml:space="preserve">Such Subscription shall, for registration purposes, be made in a written notification on a specified form to the Company or to whom the Company assign. </w:t>
      </w:r>
      <w:r>
        <w:rPr>
          <w:i/>
        </w:rPr>
        <w:t>T</w:t>
      </w:r>
      <w:r w:rsidRPr="00437F01">
        <w:rPr>
          <w:i/>
        </w:rPr>
        <w:t xml:space="preserve">he </w:t>
      </w:r>
      <w:r>
        <w:rPr>
          <w:i/>
        </w:rPr>
        <w:t>Warrant Holder</w:t>
      </w:r>
      <w:r w:rsidRPr="00437F01">
        <w:rPr>
          <w:i/>
        </w:rPr>
        <w:t xml:space="preserve"> shall</w:t>
      </w:r>
      <w:r>
        <w:rPr>
          <w:i/>
        </w:rPr>
        <w:t xml:space="preserve">, where applicable, </w:t>
      </w:r>
      <w:r w:rsidRPr="00437F01">
        <w:rPr>
          <w:i/>
        </w:rPr>
        <w:t>simultaneously submit to the Company the warrant certificates representing the number of Warrants that the notification concerns.</w:t>
      </w:r>
    </w:p>
    <w:p w14:paraId="5AA55B33" w14:textId="77777777" w:rsidR="006350FE" w:rsidRPr="00A50800" w:rsidRDefault="006350FE" w:rsidP="006350FE">
      <w:pPr>
        <w:pStyle w:val="BodyText"/>
        <w:numPr>
          <w:ilvl w:val="0"/>
          <w:numId w:val="55"/>
        </w:numPr>
        <w:spacing w:after="0"/>
        <w:rPr>
          <w:b/>
          <w:bCs/>
        </w:rPr>
      </w:pPr>
      <w:proofErr w:type="spellStart"/>
      <w:r w:rsidRPr="00A50800">
        <w:rPr>
          <w:b/>
          <w:bCs/>
        </w:rPr>
        <w:t>Betalning</w:t>
      </w:r>
      <w:proofErr w:type="spellEnd"/>
      <w:r w:rsidRPr="00A50800">
        <w:rPr>
          <w:b/>
          <w:bCs/>
        </w:rPr>
        <w:t xml:space="preserve"> för </w:t>
      </w:r>
      <w:proofErr w:type="spellStart"/>
      <w:r w:rsidRPr="00A50800">
        <w:rPr>
          <w:b/>
          <w:bCs/>
        </w:rPr>
        <w:t>ny</w:t>
      </w:r>
      <w:proofErr w:type="spellEnd"/>
      <w:r w:rsidRPr="00A50800">
        <w:rPr>
          <w:b/>
          <w:bCs/>
        </w:rPr>
        <w:t xml:space="preserve"> </w:t>
      </w:r>
      <w:proofErr w:type="spellStart"/>
      <w:r>
        <w:rPr>
          <w:b/>
          <w:bCs/>
        </w:rPr>
        <w:t>Aktie</w:t>
      </w:r>
      <w:proofErr w:type="spellEnd"/>
      <w:r>
        <w:rPr>
          <w:b/>
          <w:bCs/>
        </w:rPr>
        <w:t>/</w:t>
      </w:r>
      <w:r w:rsidRPr="00A50800">
        <w:rPr>
          <w:b/>
          <w:bCs/>
          <w:i/>
          <w:iCs/>
        </w:rPr>
        <w:t xml:space="preserve">Payment for new </w:t>
      </w:r>
      <w:r>
        <w:rPr>
          <w:b/>
          <w:bCs/>
          <w:i/>
          <w:iCs/>
        </w:rPr>
        <w:t>Share</w:t>
      </w:r>
    </w:p>
    <w:p w14:paraId="14A88B92" w14:textId="77777777" w:rsidR="006350FE" w:rsidRPr="00437F01" w:rsidRDefault="006350FE" w:rsidP="006350FE">
      <w:pPr>
        <w:pStyle w:val="BodyText"/>
        <w:ind w:left="720"/>
      </w:pPr>
      <w:r w:rsidRPr="00A50800">
        <w:rPr>
          <w:lang w:val="sv-SE"/>
        </w:rPr>
        <w:t xml:space="preserve">Vid Teckning </w:t>
      </w:r>
      <w:r>
        <w:rPr>
          <w:lang w:val="sv-SE"/>
        </w:rPr>
        <w:t>ska</w:t>
      </w:r>
      <w:r w:rsidRPr="00A50800">
        <w:rPr>
          <w:lang w:val="sv-SE"/>
        </w:rPr>
        <w:t xml:space="preserve"> betalning erläggas genast för det antal </w:t>
      </w:r>
      <w:r>
        <w:rPr>
          <w:lang w:val="sv-SE"/>
        </w:rPr>
        <w:t>Aktie</w:t>
      </w:r>
      <w:r w:rsidRPr="00A50800">
        <w:rPr>
          <w:lang w:val="sv-SE"/>
        </w:rPr>
        <w:t xml:space="preserve">r som Teckningen avser. Betalning </w:t>
      </w:r>
      <w:r>
        <w:rPr>
          <w:lang w:val="sv-SE"/>
        </w:rPr>
        <w:t>ska</w:t>
      </w:r>
      <w:r w:rsidRPr="00A50800">
        <w:rPr>
          <w:lang w:val="sv-SE"/>
        </w:rPr>
        <w:t xml:space="preserve"> ske kontant till ett av Bolaget anvisat bankkonto.</w:t>
      </w:r>
      <w:r w:rsidRPr="00A50800">
        <w:rPr>
          <w:lang w:val="sv-SE"/>
        </w:rPr>
        <w:br/>
      </w:r>
      <w:r w:rsidRPr="00437F01">
        <w:rPr>
          <w:i/>
        </w:rPr>
        <w:t xml:space="preserve">At Subscription, payment for the number of </w:t>
      </w:r>
      <w:r>
        <w:rPr>
          <w:i/>
        </w:rPr>
        <w:t>Share</w:t>
      </w:r>
      <w:r w:rsidRPr="00437F01">
        <w:rPr>
          <w:i/>
        </w:rPr>
        <w:t>s relating to the Subscription shall be made immediately. Payment shall be made, in cash, to an account designated by the Company.</w:t>
      </w:r>
    </w:p>
    <w:p w14:paraId="20FF23ED" w14:textId="77777777" w:rsidR="006350FE" w:rsidRPr="006B6AC0" w:rsidRDefault="006350FE" w:rsidP="006350FE">
      <w:pPr>
        <w:pStyle w:val="BodyText"/>
        <w:numPr>
          <w:ilvl w:val="0"/>
          <w:numId w:val="55"/>
        </w:numPr>
        <w:spacing w:after="0"/>
        <w:rPr>
          <w:b/>
          <w:bCs/>
          <w:lang w:val="sv-SE"/>
        </w:rPr>
      </w:pPr>
      <w:r w:rsidRPr="006B6AC0">
        <w:rPr>
          <w:b/>
          <w:bCs/>
          <w:lang w:val="sv-SE"/>
        </w:rPr>
        <w:t>Inför</w:t>
      </w:r>
      <w:r>
        <w:rPr>
          <w:b/>
          <w:bCs/>
          <w:lang w:val="sv-SE"/>
        </w:rPr>
        <w:t>ande</w:t>
      </w:r>
      <w:r w:rsidRPr="006B6AC0">
        <w:rPr>
          <w:b/>
          <w:bCs/>
          <w:lang w:val="sv-SE"/>
        </w:rPr>
        <w:t xml:space="preserve"> i aktieboken/</w:t>
      </w:r>
      <w:proofErr w:type="spellStart"/>
      <w:r w:rsidRPr="006B6AC0">
        <w:rPr>
          <w:b/>
          <w:bCs/>
          <w:i/>
          <w:iCs/>
          <w:lang w:val="sv-SE"/>
        </w:rPr>
        <w:t>Registration</w:t>
      </w:r>
      <w:proofErr w:type="spellEnd"/>
      <w:r w:rsidRPr="006B6AC0">
        <w:rPr>
          <w:b/>
          <w:bCs/>
          <w:i/>
          <w:iCs/>
          <w:lang w:val="sv-SE"/>
        </w:rPr>
        <w:t xml:space="preserve"> in the </w:t>
      </w:r>
      <w:proofErr w:type="spellStart"/>
      <w:r w:rsidRPr="006B6AC0">
        <w:rPr>
          <w:b/>
          <w:bCs/>
          <w:i/>
          <w:iCs/>
          <w:lang w:val="sv-SE"/>
        </w:rPr>
        <w:t>share</w:t>
      </w:r>
      <w:proofErr w:type="spellEnd"/>
      <w:r w:rsidRPr="006B6AC0">
        <w:rPr>
          <w:b/>
          <w:bCs/>
          <w:i/>
          <w:iCs/>
          <w:lang w:val="sv-SE"/>
        </w:rPr>
        <w:t xml:space="preserve"> register</w:t>
      </w:r>
    </w:p>
    <w:p w14:paraId="7712044D" w14:textId="77777777" w:rsidR="006350FE" w:rsidRPr="00437F01" w:rsidRDefault="006350FE" w:rsidP="006350FE">
      <w:pPr>
        <w:pStyle w:val="BodyText"/>
        <w:ind w:left="720"/>
      </w:pPr>
      <w:r w:rsidRPr="00A50800">
        <w:rPr>
          <w:lang w:val="sv-SE"/>
        </w:rPr>
        <w:t xml:space="preserve">Efter Teckning verkställs tilldelning genom att de nya </w:t>
      </w:r>
      <w:r>
        <w:rPr>
          <w:lang w:val="sv-SE"/>
        </w:rPr>
        <w:t>Aktie</w:t>
      </w:r>
      <w:r w:rsidRPr="00A50800">
        <w:rPr>
          <w:lang w:val="sv-SE"/>
        </w:rPr>
        <w:t xml:space="preserve">rna upptas i Bolagets aktiebok såsom interimsaktier. Sedan registrering hos Bolagsverket och Euroclear ägt rum blir registreringen på avstämningskonto slutgiltig. Som framgår av punkterna </w:t>
      </w:r>
      <w:r>
        <w:fldChar w:fldCharType="begin"/>
      </w:r>
      <w:r>
        <w:rPr>
          <w:lang w:val="sv-SE"/>
        </w:rPr>
        <w:instrText xml:space="preserve"> REF _Ref420689968 \r \h </w:instrText>
      </w:r>
      <w:r>
        <w:fldChar w:fldCharType="separate"/>
      </w:r>
      <w:r>
        <w:rPr>
          <w:lang w:val="sv-SE"/>
        </w:rPr>
        <w:t>7</w:t>
      </w:r>
      <w:r>
        <w:fldChar w:fldCharType="end"/>
      </w:r>
      <w:r w:rsidRPr="00A50800">
        <w:rPr>
          <w:lang w:val="sv-SE"/>
        </w:rPr>
        <w:t xml:space="preserve"> och </w:t>
      </w:r>
      <w:r>
        <w:fldChar w:fldCharType="begin"/>
      </w:r>
      <w:r>
        <w:rPr>
          <w:lang w:val="sv-SE"/>
        </w:rPr>
        <w:instrText xml:space="preserve"> REF _Ref167307664 \r \h </w:instrText>
      </w:r>
      <w:r>
        <w:fldChar w:fldCharType="separate"/>
      </w:r>
      <w:r>
        <w:rPr>
          <w:lang w:val="sv-SE"/>
        </w:rPr>
        <w:t>8</w:t>
      </w:r>
      <w:r>
        <w:fldChar w:fldCharType="end"/>
      </w:r>
      <w:r w:rsidRPr="00A85D47">
        <w:rPr>
          <w:lang w:val="sv-SE"/>
        </w:rPr>
        <w:t xml:space="preserve"> </w:t>
      </w:r>
      <w:r w:rsidRPr="00A50800">
        <w:rPr>
          <w:lang w:val="sv-SE"/>
        </w:rPr>
        <w:t>nedan senareläggs i vissa fall tidpunkten för sådan slutlig registrering.</w:t>
      </w:r>
      <w:r w:rsidRPr="00A50800">
        <w:rPr>
          <w:lang w:val="sv-SE"/>
        </w:rPr>
        <w:br/>
      </w:r>
      <w:r w:rsidRPr="00437F01">
        <w:rPr>
          <w:i/>
        </w:rPr>
        <w:t xml:space="preserve">After Subscription allotment will be effected by the new </w:t>
      </w:r>
      <w:r>
        <w:rPr>
          <w:i/>
        </w:rPr>
        <w:t>Share</w:t>
      </w:r>
      <w:r w:rsidRPr="00437F01">
        <w:rPr>
          <w:i/>
        </w:rPr>
        <w:t xml:space="preserve">s being registered in the Company's share register as interim shares. The registration on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will be final after the registrations with the </w:t>
      </w:r>
      <w:r>
        <w:rPr>
          <w:i/>
        </w:rPr>
        <w:t xml:space="preserve">Swedish </w:t>
      </w:r>
      <w:r w:rsidRPr="00437F01">
        <w:rPr>
          <w:i/>
        </w:rPr>
        <w:t xml:space="preserve">Companies Registration Office and Euroclear are final. As stated in sections </w:t>
      </w:r>
      <w:r>
        <w:rPr>
          <w:i/>
        </w:rPr>
        <w:fldChar w:fldCharType="begin"/>
      </w:r>
      <w:r>
        <w:rPr>
          <w:i/>
        </w:rPr>
        <w:instrText xml:space="preserve"> REF _Ref420689968 \r \h </w:instrText>
      </w:r>
      <w:r>
        <w:rPr>
          <w:i/>
        </w:rPr>
      </w:r>
      <w:r>
        <w:rPr>
          <w:i/>
        </w:rPr>
        <w:fldChar w:fldCharType="separate"/>
      </w:r>
      <w:r>
        <w:rPr>
          <w:i/>
        </w:rPr>
        <w:t>7</w:t>
      </w:r>
      <w:r>
        <w:rPr>
          <w:i/>
        </w:rPr>
        <w:fldChar w:fldCharType="end"/>
      </w:r>
      <w:r w:rsidRPr="00437F01">
        <w:rPr>
          <w:i/>
        </w:rPr>
        <w:t xml:space="preserve"> and </w:t>
      </w:r>
      <w:r>
        <w:rPr>
          <w:i/>
        </w:rPr>
        <w:fldChar w:fldCharType="begin"/>
      </w:r>
      <w:r>
        <w:rPr>
          <w:i/>
        </w:rPr>
        <w:instrText xml:space="preserve"> REF _Ref167307664 \r \h </w:instrText>
      </w:r>
      <w:r>
        <w:rPr>
          <w:i/>
        </w:rPr>
      </w:r>
      <w:r>
        <w:rPr>
          <w:i/>
        </w:rPr>
        <w:fldChar w:fldCharType="separate"/>
      </w:r>
      <w:r>
        <w:rPr>
          <w:i/>
        </w:rPr>
        <w:t>8</w:t>
      </w:r>
      <w:r>
        <w:rPr>
          <w:i/>
        </w:rPr>
        <w:fldChar w:fldCharType="end"/>
      </w:r>
      <w:r w:rsidRPr="00437F01">
        <w:rPr>
          <w:i/>
        </w:rPr>
        <w:t xml:space="preserve"> below, such final registration may be postponed in certain cases.</w:t>
      </w:r>
    </w:p>
    <w:p w14:paraId="093BE993" w14:textId="77777777" w:rsidR="006350FE" w:rsidRPr="00A50800" w:rsidRDefault="006350FE" w:rsidP="006350FE">
      <w:pPr>
        <w:pStyle w:val="BodyText"/>
        <w:numPr>
          <w:ilvl w:val="0"/>
          <w:numId w:val="55"/>
        </w:numPr>
        <w:spacing w:after="0"/>
        <w:rPr>
          <w:b/>
          <w:bCs/>
        </w:rPr>
      </w:pPr>
      <w:proofErr w:type="spellStart"/>
      <w:r w:rsidRPr="006B6AC0">
        <w:rPr>
          <w:b/>
          <w:bCs/>
          <w:lang w:val="en-US"/>
        </w:rPr>
        <w:t>Utdelning</w:t>
      </w:r>
      <w:proofErr w:type="spellEnd"/>
      <w:r w:rsidRPr="006B6AC0">
        <w:rPr>
          <w:b/>
          <w:bCs/>
          <w:lang w:val="en-US"/>
        </w:rPr>
        <w:t xml:space="preserve"> </w:t>
      </w:r>
      <w:proofErr w:type="spellStart"/>
      <w:r w:rsidRPr="006B6AC0">
        <w:rPr>
          <w:b/>
          <w:bCs/>
          <w:lang w:val="en-US"/>
        </w:rPr>
        <w:t>på</w:t>
      </w:r>
      <w:proofErr w:type="spellEnd"/>
      <w:r w:rsidRPr="006B6AC0">
        <w:rPr>
          <w:b/>
          <w:bCs/>
          <w:lang w:val="en-US"/>
        </w:rPr>
        <w:t xml:space="preserve"> </w:t>
      </w:r>
      <w:proofErr w:type="spellStart"/>
      <w:r w:rsidRPr="006B6AC0">
        <w:rPr>
          <w:b/>
          <w:bCs/>
          <w:lang w:val="en-US"/>
        </w:rPr>
        <w:t>ny</w:t>
      </w:r>
      <w:proofErr w:type="spellEnd"/>
      <w:r w:rsidRPr="006B6AC0">
        <w:rPr>
          <w:b/>
          <w:bCs/>
          <w:lang w:val="en-US"/>
        </w:rPr>
        <w:t xml:space="preserve"> </w:t>
      </w:r>
      <w:proofErr w:type="spellStart"/>
      <w:r w:rsidRPr="006B6AC0">
        <w:rPr>
          <w:b/>
          <w:bCs/>
          <w:lang w:val="en-US"/>
        </w:rPr>
        <w:t>Aktie</w:t>
      </w:r>
      <w:proofErr w:type="spellEnd"/>
      <w:r w:rsidRPr="006B6AC0">
        <w:rPr>
          <w:b/>
          <w:bCs/>
          <w:lang w:val="en-US"/>
        </w:rPr>
        <w:t xml:space="preserve"> </w:t>
      </w:r>
      <w:proofErr w:type="spellStart"/>
      <w:r w:rsidRPr="006B6AC0">
        <w:rPr>
          <w:b/>
          <w:bCs/>
          <w:lang w:val="en-US"/>
        </w:rPr>
        <w:t>m.m.</w:t>
      </w:r>
      <w:proofErr w:type="spellEnd"/>
      <w:r w:rsidRPr="006B6AC0">
        <w:rPr>
          <w:b/>
          <w:bCs/>
          <w:lang w:val="en-US"/>
        </w:rPr>
        <w:t>/</w:t>
      </w:r>
      <w:r w:rsidRPr="00A50800">
        <w:rPr>
          <w:b/>
          <w:bCs/>
          <w:i/>
          <w:iCs/>
        </w:rPr>
        <w:t xml:space="preserve">New </w:t>
      </w:r>
      <w:r>
        <w:rPr>
          <w:b/>
          <w:bCs/>
          <w:i/>
          <w:iCs/>
        </w:rPr>
        <w:t>Share</w:t>
      </w:r>
      <w:r w:rsidRPr="00A50800">
        <w:rPr>
          <w:b/>
          <w:bCs/>
          <w:i/>
          <w:iCs/>
        </w:rPr>
        <w:t>s' right to dividends etc.</w:t>
      </w:r>
    </w:p>
    <w:p w14:paraId="5A7C5995" w14:textId="77777777" w:rsidR="006350FE" w:rsidRPr="00437F01" w:rsidRDefault="006350FE" w:rsidP="006350FE">
      <w:pPr>
        <w:pStyle w:val="BodyText"/>
        <w:ind w:left="720"/>
      </w:pPr>
      <w:r w:rsidRPr="00A50800">
        <w:rPr>
          <w:lang w:val="sv-SE"/>
        </w:rPr>
        <w:t>Teckning som görs på sådan tid att den inte kan verkställas senast på tionde kalenderdagen före avstämningsdag för utdelning som beslutats av eller föreslagits Bolagets bolagsstämma samma år, verkställs först efter avstämningsdagen för utdelning. Aktier, som tillkommit på grund av Teckning som verkställs efter avstämningsdagen för utdelning, upptas interimistiskt på avstämningskonto, vilket innebär att de inte har rätt att erhålla utdelning.</w:t>
      </w:r>
      <w:r w:rsidRPr="00A50800">
        <w:rPr>
          <w:lang w:val="sv-SE"/>
        </w:rPr>
        <w:br/>
      </w:r>
      <w:r w:rsidRPr="00437F01">
        <w:rPr>
          <w:i/>
        </w:rPr>
        <w:t xml:space="preserve">Subscription made at such time that it </w:t>
      </w:r>
      <w:proofErr w:type="spellStart"/>
      <w:r w:rsidRPr="00437F01">
        <w:rPr>
          <w:i/>
        </w:rPr>
        <w:t>can not</w:t>
      </w:r>
      <w:proofErr w:type="spellEnd"/>
      <w:r w:rsidRPr="00437F01">
        <w:rPr>
          <w:i/>
        </w:rPr>
        <w:t xml:space="preserve"> be effected at the latest on the tenth calendar day preceding the record date for a dividend approved by or proposed to the </w:t>
      </w:r>
      <w:proofErr w:type="gramStart"/>
      <w:r w:rsidRPr="00437F01">
        <w:rPr>
          <w:i/>
        </w:rPr>
        <w:t>general meeting</w:t>
      </w:r>
      <w:proofErr w:type="gramEnd"/>
      <w:r w:rsidRPr="00437F01">
        <w:rPr>
          <w:i/>
        </w:rPr>
        <w:t xml:space="preserve"> that year, will be executed only after the dividend record date. Shares which have been issued due to Subscription effected after the dividend record date, will be temporarily registered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ry account, which means that they are not entitled to receive dividends.</w:t>
      </w:r>
    </w:p>
    <w:p w14:paraId="6F859745" w14:textId="77777777" w:rsidR="006350FE" w:rsidRPr="00A50800" w:rsidRDefault="006350FE" w:rsidP="006350FE">
      <w:pPr>
        <w:pStyle w:val="BodyText"/>
        <w:numPr>
          <w:ilvl w:val="0"/>
          <w:numId w:val="55"/>
        </w:numPr>
        <w:spacing w:after="0"/>
        <w:rPr>
          <w:b/>
          <w:bCs/>
        </w:rPr>
      </w:pPr>
      <w:r w:rsidRPr="006B6AC0">
        <w:rPr>
          <w:b/>
          <w:bCs/>
          <w:lang w:val="sv-SE"/>
        </w:rPr>
        <w:t xml:space="preserve">Omräkning av Teckningskursen </w:t>
      </w:r>
      <w:proofErr w:type="gramStart"/>
      <w:r w:rsidRPr="006B6AC0">
        <w:rPr>
          <w:b/>
          <w:bCs/>
          <w:lang w:val="sv-SE"/>
        </w:rPr>
        <w:t>m.m.</w:t>
      </w:r>
      <w:proofErr w:type="gramEnd"/>
      <w:r w:rsidRPr="00A50800">
        <w:rPr>
          <w:b/>
          <w:bCs/>
        </w:rPr>
        <w:t>/</w:t>
      </w:r>
      <w:r w:rsidRPr="00A50800">
        <w:rPr>
          <w:b/>
          <w:bCs/>
          <w:i/>
          <w:iCs/>
        </w:rPr>
        <w:t xml:space="preserve">Adjustment of Subscription Price </w:t>
      </w:r>
      <w:proofErr w:type="gramStart"/>
      <w:r w:rsidRPr="00A50800">
        <w:rPr>
          <w:b/>
          <w:bCs/>
          <w:i/>
          <w:iCs/>
        </w:rPr>
        <w:t>etc.</w:t>
      </w:r>
      <w:proofErr w:type="gramEnd"/>
    </w:p>
    <w:p w14:paraId="730932B7" w14:textId="77777777" w:rsidR="006350FE" w:rsidRPr="00580D5A" w:rsidRDefault="006350FE" w:rsidP="006350FE">
      <w:pPr>
        <w:pStyle w:val="BodyText"/>
        <w:ind w:left="720"/>
      </w:pPr>
      <w:proofErr w:type="spellStart"/>
      <w:r w:rsidRPr="006B6AC0">
        <w:rPr>
          <w:lang w:val="en-US"/>
        </w:rPr>
        <w:t>Beträffande</w:t>
      </w:r>
      <w:proofErr w:type="spellEnd"/>
      <w:r w:rsidRPr="006B6AC0">
        <w:rPr>
          <w:lang w:val="en-US"/>
        </w:rPr>
        <w:t xml:space="preserve"> den </w:t>
      </w:r>
      <w:proofErr w:type="spellStart"/>
      <w:r w:rsidRPr="006B6AC0">
        <w:rPr>
          <w:lang w:val="en-US"/>
        </w:rPr>
        <w:t>rätt</w:t>
      </w:r>
      <w:proofErr w:type="spellEnd"/>
      <w:r w:rsidRPr="006B6AC0">
        <w:rPr>
          <w:lang w:val="en-US"/>
        </w:rPr>
        <w:t xml:space="preserve"> </w:t>
      </w:r>
      <w:proofErr w:type="spellStart"/>
      <w:r w:rsidRPr="006B6AC0">
        <w:rPr>
          <w:lang w:val="en-US"/>
        </w:rPr>
        <w:t>som</w:t>
      </w:r>
      <w:proofErr w:type="spellEnd"/>
      <w:r w:rsidRPr="006B6AC0">
        <w:rPr>
          <w:lang w:val="en-US"/>
        </w:rPr>
        <w:t xml:space="preserve"> ska </w:t>
      </w:r>
      <w:proofErr w:type="spellStart"/>
      <w:r w:rsidRPr="006B6AC0">
        <w:rPr>
          <w:lang w:val="en-US"/>
        </w:rPr>
        <w:t>tillkomma</w:t>
      </w:r>
      <w:proofErr w:type="spellEnd"/>
      <w:r w:rsidRPr="006B6AC0">
        <w:rPr>
          <w:lang w:val="en-US"/>
        </w:rPr>
        <w:t xml:space="preserve"> </w:t>
      </w:r>
      <w:proofErr w:type="spellStart"/>
      <w:r w:rsidRPr="006B6AC0">
        <w:rPr>
          <w:lang w:val="en-US"/>
        </w:rPr>
        <w:t>Optionsinnehavare</w:t>
      </w:r>
      <w:proofErr w:type="spellEnd"/>
      <w:r w:rsidRPr="006B6AC0">
        <w:rPr>
          <w:lang w:val="en-US"/>
        </w:rPr>
        <w:t xml:space="preserve"> vid de </w:t>
      </w:r>
      <w:proofErr w:type="spellStart"/>
      <w:r w:rsidRPr="006B6AC0">
        <w:rPr>
          <w:lang w:val="en-US"/>
        </w:rPr>
        <w:t>bolagshändelser</w:t>
      </w:r>
      <w:proofErr w:type="spellEnd"/>
      <w:r w:rsidRPr="006B6AC0">
        <w:rPr>
          <w:lang w:val="en-US"/>
        </w:rPr>
        <w:t xml:space="preserve"> </w:t>
      </w:r>
      <w:proofErr w:type="spellStart"/>
      <w:r w:rsidRPr="006B6AC0">
        <w:rPr>
          <w:lang w:val="en-US"/>
        </w:rPr>
        <w:t>som</w:t>
      </w:r>
      <w:proofErr w:type="spellEnd"/>
      <w:r w:rsidRPr="006B6AC0">
        <w:rPr>
          <w:lang w:val="en-US"/>
        </w:rPr>
        <w:t xml:space="preserve"> </w:t>
      </w:r>
      <w:proofErr w:type="spellStart"/>
      <w:r w:rsidRPr="006B6AC0">
        <w:rPr>
          <w:lang w:val="en-US"/>
        </w:rPr>
        <w:t>anges</w:t>
      </w:r>
      <w:proofErr w:type="spellEnd"/>
      <w:r w:rsidRPr="006B6AC0">
        <w:rPr>
          <w:lang w:val="en-US"/>
        </w:rPr>
        <w:t xml:space="preserve"> </w:t>
      </w:r>
      <w:proofErr w:type="spellStart"/>
      <w:r w:rsidRPr="006B6AC0">
        <w:rPr>
          <w:lang w:val="en-US"/>
        </w:rPr>
        <w:t>nedan</w:t>
      </w:r>
      <w:proofErr w:type="spellEnd"/>
      <w:r w:rsidRPr="006B6AC0">
        <w:rPr>
          <w:lang w:val="en-US"/>
        </w:rPr>
        <w:t xml:space="preserve"> 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w:t>
      </w:r>
      <w:r w:rsidRPr="00580D5A">
        <w:br/>
      </w:r>
      <w:r w:rsidRPr="006B6AC0">
        <w:rPr>
          <w:i/>
          <w:iCs/>
        </w:rPr>
        <w:t>With respect to</w:t>
      </w:r>
      <w:r w:rsidRPr="00580D5A">
        <w:rPr>
          <w:i/>
          <w:iCs/>
        </w:rPr>
        <w:t xml:space="preserve"> the rights that </w:t>
      </w:r>
      <w:r>
        <w:rPr>
          <w:i/>
          <w:iCs/>
        </w:rPr>
        <w:t xml:space="preserve">may accrue to </w:t>
      </w:r>
      <w:r w:rsidRPr="00580D5A">
        <w:rPr>
          <w:i/>
          <w:iCs/>
        </w:rPr>
        <w:t>Warrant Holder</w:t>
      </w:r>
      <w:r>
        <w:rPr>
          <w:i/>
          <w:iCs/>
        </w:rPr>
        <w:t>s in the case of the corporate events</w:t>
      </w:r>
      <w:r w:rsidRPr="00580D5A">
        <w:rPr>
          <w:i/>
          <w:iCs/>
        </w:rPr>
        <w:t xml:space="preserve"> set out below, the following shall apply:</w:t>
      </w:r>
    </w:p>
    <w:p w14:paraId="42EB920A" w14:textId="77777777" w:rsidR="006350FE" w:rsidRPr="00A50800" w:rsidRDefault="006350FE" w:rsidP="006350FE">
      <w:pPr>
        <w:pStyle w:val="BodyText"/>
        <w:numPr>
          <w:ilvl w:val="1"/>
          <w:numId w:val="55"/>
        </w:numPr>
        <w:spacing w:after="0"/>
        <w:rPr>
          <w:b/>
          <w:bCs/>
        </w:rPr>
      </w:pPr>
      <w:r w:rsidRPr="006B6AC0">
        <w:rPr>
          <w:b/>
          <w:bCs/>
          <w:lang w:val="sv-SE"/>
        </w:rPr>
        <w:t>Tillvägagångssätt</w:t>
      </w:r>
      <w:r w:rsidRPr="00A50800">
        <w:rPr>
          <w:b/>
          <w:bCs/>
        </w:rPr>
        <w:t>/</w:t>
      </w:r>
      <w:r w:rsidRPr="00A50800">
        <w:rPr>
          <w:b/>
          <w:bCs/>
          <w:i/>
          <w:iCs/>
        </w:rPr>
        <w:t>Procedure</w:t>
      </w:r>
    </w:p>
    <w:p w14:paraId="624E5156" w14:textId="77777777" w:rsidR="006350FE" w:rsidRPr="00437F01" w:rsidRDefault="006350FE" w:rsidP="006350FE">
      <w:pPr>
        <w:pStyle w:val="BodyText"/>
        <w:numPr>
          <w:ilvl w:val="2"/>
          <w:numId w:val="55"/>
        </w:numPr>
      </w:pPr>
      <w:r w:rsidRPr="00A50800">
        <w:rPr>
          <w:lang w:val="sv-SE"/>
        </w:rPr>
        <w:t xml:space="preserve">Omräkning </w:t>
      </w:r>
      <w:r>
        <w:rPr>
          <w:lang w:val="sv-SE"/>
        </w:rPr>
        <w:t>ska</w:t>
      </w:r>
      <w:r w:rsidRPr="00A50800">
        <w:rPr>
          <w:lang w:val="sv-SE"/>
        </w:rPr>
        <w:t xml:space="preserve"> göras av Bolaget enligt punkt </w:t>
      </w:r>
      <w:r>
        <w:fldChar w:fldCharType="begin"/>
      </w:r>
      <w:r>
        <w:rPr>
          <w:lang w:val="sv-SE"/>
        </w:rPr>
        <w:instrText xml:space="preserve"> REF _Ref419825929 \r \h </w:instrText>
      </w:r>
      <w:r>
        <w:fldChar w:fldCharType="separate"/>
      </w:r>
      <w:r>
        <w:rPr>
          <w:lang w:val="sv-SE"/>
        </w:rPr>
        <w:t>8.2</w:t>
      </w:r>
      <w:r>
        <w:fldChar w:fldCharType="end"/>
      </w:r>
      <w:r w:rsidRPr="00A50800">
        <w:rPr>
          <w:lang w:val="sv-SE"/>
        </w:rPr>
        <w:t xml:space="preserve"> nedan.</w:t>
      </w:r>
      <w:r w:rsidRPr="00A50800">
        <w:rPr>
          <w:lang w:val="sv-SE"/>
        </w:rPr>
        <w:br/>
      </w:r>
      <w:r w:rsidRPr="00437F01">
        <w:rPr>
          <w:i/>
        </w:rPr>
        <w:t xml:space="preserve">The </w:t>
      </w:r>
      <w:r>
        <w:rPr>
          <w:i/>
        </w:rPr>
        <w:t>r</w:t>
      </w:r>
      <w:r w:rsidRPr="00437F01">
        <w:rPr>
          <w:i/>
        </w:rPr>
        <w:t xml:space="preserve">ecalculations shall be made by the Company in accordance with section </w:t>
      </w:r>
      <w:r>
        <w:rPr>
          <w:i/>
        </w:rPr>
        <w:fldChar w:fldCharType="begin"/>
      </w:r>
      <w:r>
        <w:rPr>
          <w:i/>
        </w:rPr>
        <w:instrText xml:space="preserve"> REF _Ref419825929 \r \h </w:instrText>
      </w:r>
      <w:r>
        <w:rPr>
          <w:i/>
        </w:rPr>
      </w:r>
      <w:r>
        <w:rPr>
          <w:i/>
        </w:rPr>
        <w:fldChar w:fldCharType="separate"/>
      </w:r>
      <w:r>
        <w:rPr>
          <w:i/>
        </w:rPr>
        <w:t>8.2</w:t>
      </w:r>
      <w:r>
        <w:rPr>
          <w:i/>
        </w:rPr>
        <w:fldChar w:fldCharType="end"/>
      </w:r>
      <w:r w:rsidRPr="00437F01">
        <w:rPr>
          <w:i/>
        </w:rPr>
        <w:t xml:space="preserve"> below.</w:t>
      </w:r>
    </w:p>
    <w:p w14:paraId="719349EC" w14:textId="77777777" w:rsidR="006350FE" w:rsidRPr="00437F01" w:rsidRDefault="006350FE" w:rsidP="006350FE">
      <w:pPr>
        <w:pStyle w:val="BodyText"/>
        <w:numPr>
          <w:ilvl w:val="2"/>
          <w:numId w:val="55"/>
        </w:numPr>
      </w:pPr>
      <w:r w:rsidRPr="00A50800">
        <w:rPr>
          <w:lang w:val="sv-SE"/>
        </w:rPr>
        <w:lastRenderedPageBreak/>
        <w:t>Skulle Optionsinnehavare</w:t>
      </w:r>
      <w:r>
        <w:rPr>
          <w:lang w:val="sv-SE"/>
        </w:rPr>
        <w:t>n</w:t>
      </w:r>
      <w:r w:rsidRPr="00A50800">
        <w:rPr>
          <w:lang w:val="sv-SE"/>
        </w:rPr>
        <w:t xml:space="preserve"> inte vara överens med Bolaget om en justering av </w:t>
      </w:r>
      <w:r>
        <w:rPr>
          <w:lang w:val="sv-SE"/>
        </w:rPr>
        <w:t>v</w:t>
      </w:r>
      <w:r w:rsidRPr="00A50800">
        <w:rPr>
          <w:lang w:val="sv-SE"/>
        </w:rPr>
        <w:t xml:space="preserve">illkoren genom omräkning enligt punkt </w:t>
      </w:r>
      <w:r>
        <w:fldChar w:fldCharType="begin"/>
      </w:r>
      <w:r>
        <w:rPr>
          <w:lang w:val="sv-SE"/>
        </w:rPr>
        <w:instrText xml:space="preserve"> REF _Ref419825929 \r \h </w:instrText>
      </w:r>
      <w:r>
        <w:fldChar w:fldCharType="separate"/>
      </w:r>
      <w:r>
        <w:rPr>
          <w:lang w:val="sv-SE"/>
        </w:rPr>
        <w:t>8.2</w:t>
      </w:r>
      <w:r>
        <w:fldChar w:fldCharType="end"/>
      </w:r>
      <w:r w:rsidRPr="00A50800">
        <w:rPr>
          <w:lang w:val="sv-SE"/>
        </w:rPr>
        <w:t xml:space="preserve"> nedan, </w:t>
      </w:r>
      <w:r>
        <w:rPr>
          <w:lang w:val="sv-SE"/>
        </w:rPr>
        <w:t>ska</w:t>
      </w:r>
      <w:r w:rsidRPr="00A50800">
        <w:rPr>
          <w:lang w:val="sv-SE"/>
        </w:rPr>
        <w:t xml:space="preserve"> Optionsinnehavare</w:t>
      </w:r>
      <w:r>
        <w:rPr>
          <w:lang w:val="sv-SE"/>
        </w:rPr>
        <w:t>n</w:t>
      </w:r>
      <w:r w:rsidRPr="00A50800">
        <w:rPr>
          <w:lang w:val="sv-SE"/>
        </w:rPr>
        <w:t xml:space="preserve"> ha rätt att begära ett oberoende fastställande av en lämplig justering enligt vad som anges nedan.</w:t>
      </w:r>
      <w:r w:rsidRPr="00A50800">
        <w:rPr>
          <w:lang w:val="sv-SE"/>
        </w:rPr>
        <w:br/>
      </w:r>
      <w:r w:rsidRPr="00437F01">
        <w:rPr>
          <w:i/>
        </w:rPr>
        <w:t xml:space="preserve">Should the </w:t>
      </w:r>
      <w:r>
        <w:rPr>
          <w:i/>
        </w:rPr>
        <w:t>Warrant Holder</w:t>
      </w:r>
      <w:r w:rsidRPr="00437F01">
        <w:rPr>
          <w:i/>
        </w:rPr>
        <w:t xml:space="preserve"> not agree on an adjustment of the</w:t>
      </w:r>
      <w:r>
        <w:rPr>
          <w:i/>
        </w:rPr>
        <w:t>se</w:t>
      </w:r>
      <w:r w:rsidRPr="00437F01">
        <w:rPr>
          <w:i/>
        </w:rPr>
        <w:t xml:space="preserve"> </w:t>
      </w:r>
      <w:r>
        <w:rPr>
          <w:i/>
        </w:rPr>
        <w:t>t</w:t>
      </w:r>
      <w:r w:rsidRPr="00437F01">
        <w:rPr>
          <w:i/>
        </w:rPr>
        <w:t xml:space="preserve">erms and </w:t>
      </w:r>
      <w:r>
        <w:rPr>
          <w:i/>
        </w:rPr>
        <w:t>c</w:t>
      </w:r>
      <w:r w:rsidRPr="00437F01">
        <w:rPr>
          <w:i/>
        </w:rPr>
        <w:t xml:space="preserve">onditions </w:t>
      </w:r>
      <w:r>
        <w:rPr>
          <w:i/>
        </w:rPr>
        <w:t xml:space="preserve">by </w:t>
      </w:r>
      <w:r w:rsidRPr="00437F01">
        <w:rPr>
          <w:i/>
        </w:rPr>
        <w:t>recalculat</w:t>
      </w:r>
      <w:r>
        <w:rPr>
          <w:i/>
        </w:rPr>
        <w:t>ion</w:t>
      </w:r>
      <w:r w:rsidRPr="00437F01">
        <w:rPr>
          <w:i/>
        </w:rPr>
        <w:t xml:space="preserve"> in accordance with section </w:t>
      </w:r>
      <w:r>
        <w:rPr>
          <w:i/>
        </w:rPr>
        <w:fldChar w:fldCharType="begin"/>
      </w:r>
      <w:r>
        <w:rPr>
          <w:i/>
        </w:rPr>
        <w:instrText xml:space="preserve"> REF _Ref419825929 \r \h </w:instrText>
      </w:r>
      <w:r>
        <w:rPr>
          <w:i/>
        </w:rPr>
      </w:r>
      <w:r>
        <w:rPr>
          <w:i/>
        </w:rPr>
        <w:fldChar w:fldCharType="separate"/>
      </w:r>
      <w:r>
        <w:rPr>
          <w:i/>
        </w:rPr>
        <w:t>8.2</w:t>
      </w:r>
      <w:r>
        <w:rPr>
          <w:i/>
        </w:rPr>
        <w:fldChar w:fldCharType="end"/>
      </w:r>
      <w:r w:rsidRPr="00437F01">
        <w:rPr>
          <w:i/>
        </w:rPr>
        <w:t xml:space="preserve"> below, the </w:t>
      </w:r>
      <w:r>
        <w:rPr>
          <w:i/>
        </w:rPr>
        <w:t>Warrant Holder</w:t>
      </w:r>
      <w:r w:rsidRPr="00437F01">
        <w:rPr>
          <w:i/>
        </w:rPr>
        <w:t xml:space="preserve"> shall have the right to request an independent determination of the appropriate adjustment as set out below.</w:t>
      </w:r>
    </w:p>
    <w:p w14:paraId="3A87E257" w14:textId="77777777" w:rsidR="006350FE" w:rsidRPr="00437F01" w:rsidRDefault="006350FE" w:rsidP="006350FE">
      <w:pPr>
        <w:pStyle w:val="BodyText"/>
        <w:numPr>
          <w:ilvl w:val="3"/>
          <w:numId w:val="55"/>
        </w:numPr>
      </w:pPr>
      <w:r w:rsidRPr="00A50800">
        <w:rPr>
          <w:lang w:val="sv-SE"/>
        </w:rPr>
        <w:t xml:space="preserve">Såvida inte Bolaget och den Optionsinnehavaren som begärt justering av </w:t>
      </w:r>
      <w:r>
        <w:rPr>
          <w:lang w:val="sv-SE"/>
        </w:rPr>
        <w:t>v</w:t>
      </w:r>
      <w:r w:rsidRPr="00A50800">
        <w:rPr>
          <w:lang w:val="sv-SE"/>
        </w:rPr>
        <w:t>illkoren</w:t>
      </w:r>
      <w:r>
        <w:rPr>
          <w:lang w:val="sv-SE"/>
        </w:rPr>
        <w:t>,</w:t>
      </w:r>
      <w:r w:rsidRPr="00A50800">
        <w:rPr>
          <w:lang w:val="sv-SE"/>
        </w:rPr>
        <w:t xml:space="preserve"> inom trettio (30) dagar från det att begäran om ett oberoende fastställande framställdes</w:t>
      </w:r>
      <w:r>
        <w:rPr>
          <w:lang w:val="sv-SE"/>
        </w:rPr>
        <w:t>,</w:t>
      </w:r>
      <w:r w:rsidRPr="00A50800">
        <w:rPr>
          <w:lang w:val="sv-SE"/>
        </w:rPr>
        <w:t xml:space="preserve"> har enats om en kvalificerad expert (härefter kallad "</w:t>
      </w:r>
      <w:r w:rsidRPr="00A50800">
        <w:rPr>
          <w:b/>
          <w:lang w:val="sv-SE"/>
        </w:rPr>
        <w:t>Experten</w:t>
      </w:r>
      <w:r w:rsidRPr="00A50800">
        <w:rPr>
          <w:lang w:val="sv-SE"/>
        </w:rPr>
        <w:t xml:space="preserve">"), </w:t>
      </w:r>
      <w:r>
        <w:rPr>
          <w:lang w:val="sv-SE"/>
        </w:rPr>
        <w:t>ska</w:t>
      </w:r>
      <w:r w:rsidRPr="00A50800">
        <w:rPr>
          <w:lang w:val="sv-SE"/>
        </w:rPr>
        <w:t xml:space="preserve"> Stockholms Handelskammare, efter begäran av Optionsinnehavaren, utnämna en Expert. En sådan utnämning </w:t>
      </w:r>
      <w:r>
        <w:rPr>
          <w:lang w:val="sv-SE"/>
        </w:rPr>
        <w:t>ska</w:t>
      </w:r>
      <w:r w:rsidRPr="00A50800">
        <w:rPr>
          <w:lang w:val="sv-SE"/>
        </w:rPr>
        <w:t xml:space="preserve"> vara slutlig och bindande för Optionsinnehavaren och för Bolaget.</w:t>
      </w:r>
      <w:r w:rsidRPr="00A50800">
        <w:rPr>
          <w:lang w:val="sv-SE"/>
        </w:rPr>
        <w:br/>
      </w:r>
      <w:r w:rsidRPr="00437F01">
        <w:rPr>
          <w:i/>
        </w:rPr>
        <w:t xml:space="preserve">Unless the Company and the </w:t>
      </w:r>
      <w:r>
        <w:rPr>
          <w:i/>
        </w:rPr>
        <w:t>Warrant Holder</w:t>
      </w:r>
      <w:r w:rsidRPr="00437F01">
        <w:rPr>
          <w:i/>
        </w:rPr>
        <w:t xml:space="preserve"> </w:t>
      </w:r>
      <w:r>
        <w:rPr>
          <w:i/>
        </w:rPr>
        <w:t>requesting the adjustment of these terms and conditions</w:t>
      </w:r>
      <w:r w:rsidRPr="00437F01">
        <w:rPr>
          <w:i/>
        </w:rPr>
        <w:t xml:space="preserve">, within thirty (30) days from the request for </w:t>
      </w:r>
      <w:proofErr w:type="gramStart"/>
      <w:r w:rsidRPr="00437F01">
        <w:rPr>
          <w:i/>
        </w:rPr>
        <w:t>independent determination</w:t>
      </w:r>
      <w:proofErr w:type="gramEnd"/>
      <w:r w:rsidRPr="00437F01">
        <w:rPr>
          <w:i/>
        </w:rPr>
        <w:t xml:space="preserve">, </w:t>
      </w:r>
      <w:r>
        <w:rPr>
          <w:i/>
        </w:rPr>
        <w:t xml:space="preserve">have </w:t>
      </w:r>
      <w:r w:rsidRPr="00437F01">
        <w:rPr>
          <w:i/>
        </w:rPr>
        <w:t xml:space="preserve">agreed on a qualified expert (hereinafter referred to </w:t>
      </w:r>
      <w:proofErr w:type="gramStart"/>
      <w:r w:rsidRPr="00437F01">
        <w:rPr>
          <w:i/>
        </w:rPr>
        <w:t>as the</w:t>
      </w:r>
      <w:proofErr w:type="gramEnd"/>
      <w:r w:rsidRPr="00437F01">
        <w:rPr>
          <w:i/>
        </w:rPr>
        <w:t xml:space="preserve"> "</w:t>
      </w:r>
      <w:r w:rsidRPr="00437F01">
        <w:rPr>
          <w:b/>
          <w:i/>
        </w:rPr>
        <w:t>Expert</w:t>
      </w:r>
      <w:r w:rsidRPr="00437F01">
        <w:rPr>
          <w:i/>
        </w:rPr>
        <w:t xml:space="preserve">"), the Stockholm Chamber of Commerce shall, at the request of the requesting </w:t>
      </w:r>
      <w:r>
        <w:rPr>
          <w:i/>
        </w:rPr>
        <w:t>Warrant Holder</w:t>
      </w:r>
      <w:r w:rsidRPr="00437F01">
        <w:rPr>
          <w:i/>
        </w:rPr>
        <w:t xml:space="preserve">, appoint </w:t>
      </w:r>
      <w:r>
        <w:rPr>
          <w:i/>
        </w:rPr>
        <w:t>an</w:t>
      </w:r>
      <w:r w:rsidRPr="00437F01">
        <w:rPr>
          <w:i/>
        </w:rPr>
        <w:t xml:space="preserve"> Expert</w:t>
      </w:r>
      <w:r>
        <w:rPr>
          <w:i/>
        </w:rPr>
        <w:t>.</w:t>
      </w:r>
      <w:r w:rsidRPr="00437F01">
        <w:rPr>
          <w:i/>
        </w:rPr>
        <w:t xml:space="preserve"> such appointment </w:t>
      </w:r>
      <w:r>
        <w:rPr>
          <w:i/>
        </w:rPr>
        <w:t>shall</w:t>
      </w:r>
      <w:r w:rsidRPr="00437F01">
        <w:rPr>
          <w:i/>
        </w:rPr>
        <w:t xml:space="preserve"> be final and binding on the </w:t>
      </w:r>
      <w:r>
        <w:rPr>
          <w:i/>
        </w:rPr>
        <w:t>Warrant Holder</w:t>
      </w:r>
      <w:r w:rsidRPr="00437F01">
        <w:rPr>
          <w:i/>
        </w:rPr>
        <w:t xml:space="preserve"> and the Company.</w:t>
      </w:r>
    </w:p>
    <w:p w14:paraId="0A02E3F9" w14:textId="77777777" w:rsidR="006350FE" w:rsidRPr="00437F01" w:rsidRDefault="006350FE" w:rsidP="006350FE">
      <w:pPr>
        <w:pStyle w:val="BodyText"/>
        <w:numPr>
          <w:ilvl w:val="3"/>
          <w:numId w:val="55"/>
        </w:numPr>
      </w:pPr>
      <w:r w:rsidRPr="00A50800">
        <w:rPr>
          <w:lang w:val="sv-SE"/>
        </w:rPr>
        <w:t xml:space="preserve">Experten </w:t>
      </w:r>
      <w:r>
        <w:rPr>
          <w:lang w:val="sv-SE"/>
        </w:rPr>
        <w:t>ska</w:t>
      </w:r>
      <w:r w:rsidRPr="00A50800">
        <w:rPr>
          <w:lang w:val="sv-SE"/>
        </w:rPr>
        <w:t xml:space="preserve"> självständigt beakta den inträffade händelsen och dess inverkan på Teckningsoptionerna och/eller Aktierna och/eller Optionsinnehavaren. Experten har rätt att erhålla värdering eller övrig assistans från annan ansedd utomstående part efter instruktioner av Experten.</w:t>
      </w:r>
      <w:r w:rsidRPr="00A50800">
        <w:rPr>
          <w:lang w:val="sv-SE"/>
        </w:rPr>
        <w:br/>
      </w:r>
      <w:r w:rsidRPr="00437F01">
        <w:rPr>
          <w:i/>
        </w:rPr>
        <w:t xml:space="preserve">The Expert shall independently consider the event that occurred and its effect on the Warrants and/or Shares and/or the </w:t>
      </w:r>
      <w:r>
        <w:rPr>
          <w:i/>
        </w:rPr>
        <w:t>Warrant Holder</w:t>
      </w:r>
      <w:r w:rsidRPr="00437F01">
        <w:rPr>
          <w:i/>
        </w:rPr>
        <w:t>. In doing this, the Expert may obtain a valuation or other assistance from a reputable third party instructed by the Expert.</w:t>
      </w:r>
    </w:p>
    <w:p w14:paraId="2BF07C0F" w14:textId="77777777" w:rsidR="006350FE" w:rsidRPr="00437F01" w:rsidRDefault="006350FE" w:rsidP="006350FE">
      <w:pPr>
        <w:pStyle w:val="BodyText"/>
        <w:numPr>
          <w:ilvl w:val="3"/>
          <w:numId w:val="55"/>
        </w:numPr>
      </w:pPr>
      <w:r w:rsidRPr="00A50800">
        <w:rPr>
          <w:lang w:val="sv-SE"/>
        </w:rPr>
        <w:t xml:space="preserve">Experten </w:t>
      </w:r>
      <w:r>
        <w:rPr>
          <w:lang w:val="sv-SE"/>
        </w:rPr>
        <w:t>ska</w:t>
      </w:r>
      <w:r w:rsidRPr="00A50800">
        <w:rPr>
          <w:lang w:val="sv-SE"/>
        </w:rPr>
        <w:t xml:space="preserve"> fastställa en lämplig omräkning i enlighet med dessa </w:t>
      </w:r>
      <w:r>
        <w:rPr>
          <w:lang w:val="sv-SE"/>
        </w:rPr>
        <w:t>v</w:t>
      </w:r>
      <w:r w:rsidRPr="00A50800">
        <w:rPr>
          <w:lang w:val="sv-SE"/>
        </w:rPr>
        <w:t xml:space="preserve">illkor för att till fullo kompensera Optionsinnehavaren för varje utspädning och annan negativ påverkan. Experten </w:t>
      </w:r>
      <w:r>
        <w:rPr>
          <w:lang w:val="sv-SE"/>
        </w:rPr>
        <w:t>ska</w:t>
      </w:r>
      <w:r w:rsidRPr="00A50800">
        <w:rPr>
          <w:lang w:val="sv-SE"/>
        </w:rPr>
        <w:t xml:space="preserve"> så långt möjligt tillämpa de </w:t>
      </w:r>
      <w:proofErr w:type="spellStart"/>
      <w:r w:rsidRPr="00A50800">
        <w:rPr>
          <w:lang w:val="sv-SE"/>
        </w:rPr>
        <w:t>omräkningsprinciper</w:t>
      </w:r>
      <w:proofErr w:type="spellEnd"/>
      <w:r w:rsidRPr="00A50800">
        <w:rPr>
          <w:lang w:val="sv-SE"/>
        </w:rPr>
        <w:t xml:space="preserve"> som följer av punkt </w:t>
      </w:r>
      <w:r>
        <w:fldChar w:fldCharType="begin"/>
      </w:r>
      <w:r>
        <w:rPr>
          <w:lang w:val="sv-SE"/>
        </w:rPr>
        <w:instrText xml:space="preserve"> REF _Ref419825929 \r \h </w:instrText>
      </w:r>
      <w:r>
        <w:fldChar w:fldCharType="separate"/>
      </w:r>
      <w:r>
        <w:rPr>
          <w:lang w:val="sv-SE"/>
        </w:rPr>
        <w:t>8.2</w:t>
      </w:r>
      <w:r>
        <w:fldChar w:fldCharType="end"/>
      </w:r>
      <w:r w:rsidRPr="00A50800">
        <w:rPr>
          <w:lang w:val="sv-SE"/>
        </w:rPr>
        <w:t xml:space="preserve"> och/eller av andra för ändamålet relevanta bestämmelser i dessa </w:t>
      </w:r>
      <w:r>
        <w:rPr>
          <w:lang w:val="sv-SE"/>
        </w:rPr>
        <w:t>v</w:t>
      </w:r>
      <w:r w:rsidRPr="00A50800">
        <w:rPr>
          <w:lang w:val="sv-SE"/>
        </w:rPr>
        <w:t xml:space="preserve">illkor för Teckningsoptioner och/eller i s.k. teckningsoptionsägaravtal avseende innehav av Teckningsoptioner, Aktier och/eller andra </w:t>
      </w:r>
      <w:r>
        <w:rPr>
          <w:lang w:val="sv-SE"/>
        </w:rPr>
        <w:t>r</w:t>
      </w:r>
      <w:r w:rsidRPr="00A50800">
        <w:rPr>
          <w:lang w:val="sv-SE"/>
        </w:rPr>
        <w:t>ättigheter i Bolaget.</w:t>
      </w:r>
      <w:r w:rsidRPr="00A50800">
        <w:rPr>
          <w:lang w:val="sv-SE"/>
        </w:rPr>
        <w:br/>
      </w:r>
      <w:r w:rsidRPr="00437F01">
        <w:rPr>
          <w:i/>
        </w:rPr>
        <w:t xml:space="preserve">The Expert shall decide on the appropriate adjustments in accordance with these </w:t>
      </w:r>
      <w:r>
        <w:rPr>
          <w:i/>
        </w:rPr>
        <w:t>t</w:t>
      </w:r>
      <w:r w:rsidRPr="00437F01">
        <w:rPr>
          <w:i/>
        </w:rPr>
        <w:t xml:space="preserve">erms and </w:t>
      </w:r>
      <w:r>
        <w:rPr>
          <w:i/>
        </w:rPr>
        <w:t>c</w:t>
      </w:r>
      <w:r w:rsidRPr="00437F01">
        <w:rPr>
          <w:i/>
        </w:rPr>
        <w:t xml:space="preserve">onditions in order to fully compensate the </w:t>
      </w:r>
      <w:r>
        <w:rPr>
          <w:i/>
        </w:rPr>
        <w:t>Warrant Holder</w:t>
      </w:r>
      <w:r w:rsidRPr="00437F01">
        <w:rPr>
          <w:i/>
        </w:rPr>
        <w:t xml:space="preserve"> for any dilution and other adverse effects. The Expert shall as far as possible apply the adjustment principles set out in section </w:t>
      </w:r>
      <w:r>
        <w:rPr>
          <w:i/>
        </w:rPr>
        <w:fldChar w:fldCharType="begin"/>
      </w:r>
      <w:r>
        <w:rPr>
          <w:i/>
        </w:rPr>
        <w:instrText xml:space="preserve"> REF _Ref419825929 \r \h </w:instrText>
      </w:r>
      <w:r>
        <w:rPr>
          <w:i/>
        </w:rPr>
      </w:r>
      <w:r>
        <w:rPr>
          <w:i/>
        </w:rPr>
        <w:fldChar w:fldCharType="separate"/>
      </w:r>
      <w:r>
        <w:rPr>
          <w:i/>
        </w:rPr>
        <w:t>8.2</w:t>
      </w:r>
      <w:r>
        <w:rPr>
          <w:i/>
        </w:rPr>
        <w:fldChar w:fldCharType="end"/>
      </w:r>
      <w:r w:rsidRPr="00437F01">
        <w:rPr>
          <w:i/>
        </w:rPr>
        <w:t xml:space="preserve"> and/or any other relevant provisions of these </w:t>
      </w:r>
      <w:r>
        <w:rPr>
          <w:i/>
        </w:rPr>
        <w:t>t</w:t>
      </w:r>
      <w:r w:rsidRPr="00437F01">
        <w:rPr>
          <w:i/>
        </w:rPr>
        <w:t xml:space="preserve">erms and </w:t>
      </w:r>
      <w:r>
        <w:rPr>
          <w:i/>
        </w:rPr>
        <w:t>c</w:t>
      </w:r>
      <w:r w:rsidRPr="00437F01">
        <w:rPr>
          <w:i/>
        </w:rPr>
        <w:t xml:space="preserve">onditions and/or any </w:t>
      </w:r>
      <w:r>
        <w:rPr>
          <w:i/>
        </w:rPr>
        <w:t>Warrant Holder</w:t>
      </w:r>
      <w:r w:rsidRPr="00437F01">
        <w:rPr>
          <w:i/>
        </w:rPr>
        <w:t xml:space="preserve"> agreement regarding the holding of Warrants, Shares and/or any other </w:t>
      </w:r>
      <w:r>
        <w:rPr>
          <w:i/>
        </w:rPr>
        <w:t>i</w:t>
      </w:r>
      <w:r w:rsidRPr="00437F01">
        <w:rPr>
          <w:i/>
        </w:rPr>
        <w:t>nterests in the Company.</w:t>
      </w:r>
    </w:p>
    <w:p w14:paraId="43D4128E" w14:textId="77777777" w:rsidR="006350FE" w:rsidRPr="00437F01" w:rsidRDefault="006350FE" w:rsidP="006350FE">
      <w:pPr>
        <w:pStyle w:val="BodyText"/>
        <w:numPr>
          <w:ilvl w:val="3"/>
          <w:numId w:val="55"/>
        </w:numPr>
      </w:pPr>
      <w:r w:rsidRPr="00A50800">
        <w:rPr>
          <w:lang w:val="sv-SE"/>
        </w:rPr>
        <w:t xml:space="preserve">Experten </w:t>
      </w:r>
      <w:r>
        <w:rPr>
          <w:lang w:val="sv-SE"/>
        </w:rPr>
        <w:t>ska</w:t>
      </w:r>
      <w:r w:rsidRPr="00A50800">
        <w:rPr>
          <w:lang w:val="sv-SE"/>
        </w:rPr>
        <w:t xml:space="preserve"> avge sitt beslut inom trettio (30) dagar räknat från den dag då denne tillsattes.</w:t>
      </w:r>
      <w:r w:rsidRPr="00A50800">
        <w:rPr>
          <w:lang w:val="sv-SE"/>
        </w:rPr>
        <w:br/>
      </w:r>
      <w:r w:rsidRPr="00437F01">
        <w:rPr>
          <w:i/>
        </w:rPr>
        <w:t>The Expert shall render his</w:t>
      </w:r>
      <w:r>
        <w:rPr>
          <w:i/>
        </w:rPr>
        <w:t>/her</w:t>
      </w:r>
      <w:r w:rsidRPr="00437F01">
        <w:rPr>
          <w:i/>
        </w:rPr>
        <w:t xml:space="preserve"> decision within thirty (30) days from the date when he</w:t>
      </w:r>
      <w:r>
        <w:rPr>
          <w:i/>
        </w:rPr>
        <w:t>/she</w:t>
      </w:r>
      <w:r w:rsidRPr="00437F01">
        <w:rPr>
          <w:i/>
        </w:rPr>
        <w:t xml:space="preserve"> was appointed.</w:t>
      </w:r>
    </w:p>
    <w:p w14:paraId="39D8B9E3" w14:textId="77777777" w:rsidR="006350FE" w:rsidRPr="00A50800" w:rsidRDefault="006350FE" w:rsidP="006350FE">
      <w:pPr>
        <w:pStyle w:val="BodyText"/>
        <w:numPr>
          <w:ilvl w:val="3"/>
          <w:numId w:val="55"/>
        </w:numPr>
      </w:pPr>
      <w:r w:rsidRPr="00A50800">
        <w:rPr>
          <w:lang w:val="sv-SE"/>
        </w:rPr>
        <w:t xml:space="preserve">Expertens beslut </w:t>
      </w:r>
      <w:r>
        <w:rPr>
          <w:lang w:val="sv-SE"/>
        </w:rPr>
        <w:t>ska</w:t>
      </w:r>
      <w:r w:rsidRPr="00A50800">
        <w:rPr>
          <w:lang w:val="sv-SE"/>
        </w:rPr>
        <w:t xml:space="preserve"> vara slutligt bindande för Bolaget och för samtliga Optionsinnehavare.</w:t>
      </w:r>
      <w:r w:rsidRPr="00A50800">
        <w:rPr>
          <w:lang w:val="sv-SE"/>
        </w:rPr>
        <w:br/>
      </w:r>
      <w:r w:rsidRPr="00437F01">
        <w:rPr>
          <w:i/>
        </w:rPr>
        <w:t xml:space="preserve">The Expert's decision shall be final and binding on the Company and all </w:t>
      </w:r>
      <w:r>
        <w:rPr>
          <w:i/>
        </w:rPr>
        <w:t>Warrant Holder</w:t>
      </w:r>
      <w:r w:rsidRPr="00437F01">
        <w:rPr>
          <w:i/>
        </w:rPr>
        <w:t>s.</w:t>
      </w:r>
    </w:p>
    <w:p w14:paraId="4A600D4F" w14:textId="77777777" w:rsidR="006350FE" w:rsidRPr="00437F01" w:rsidRDefault="006350FE" w:rsidP="006350FE">
      <w:pPr>
        <w:pStyle w:val="BodyText"/>
        <w:numPr>
          <w:ilvl w:val="3"/>
          <w:numId w:val="55"/>
        </w:numPr>
      </w:pPr>
      <w:r w:rsidRPr="00A50800">
        <w:rPr>
          <w:lang w:val="sv-SE"/>
        </w:rPr>
        <w:t xml:space="preserve">Ersättningen för Expertens kostnader och skälig ersättning till denne </w:t>
      </w:r>
      <w:r>
        <w:rPr>
          <w:lang w:val="sv-SE"/>
        </w:rPr>
        <w:t>ska</w:t>
      </w:r>
      <w:r w:rsidRPr="00A50800">
        <w:rPr>
          <w:lang w:val="sv-SE"/>
        </w:rPr>
        <w:t xml:space="preserve"> delas lika mellan Bolaget och den Optionsinnehavare som begär justering.</w:t>
      </w:r>
      <w:r w:rsidRPr="00A50800">
        <w:rPr>
          <w:lang w:val="sv-SE"/>
        </w:rPr>
        <w:br/>
      </w:r>
      <w:r w:rsidRPr="00A50800">
        <w:rPr>
          <w:i/>
        </w:rPr>
        <w:lastRenderedPageBreak/>
        <w:t xml:space="preserve">The costs incurred by, and reasonable remuneration to, the Expert shall be divided equally between the Company and the </w:t>
      </w:r>
      <w:r>
        <w:rPr>
          <w:i/>
        </w:rPr>
        <w:t>Warrant Holder</w:t>
      </w:r>
      <w:r w:rsidRPr="00A50800">
        <w:rPr>
          <w:i/>
        </w:rPr>
        <w:t xml:space="preserve"> requesting </w:t>
      </w:r>
      <w:r>
        <w:rPr>
          <w:i/>
        </w:rPr>
        <w:t>the adjustment</w:t>
      </w:r>
      <w:r w:rsidRPr="00A50800">
        <w:rPr>
          <w:i/>
        </w:rPr>
        <w:t>.</w:t>
      </w:r>
    </w:p>
    <w:p w14:paraId="61EB735A" w14:textId="77777777" w:rsidR="006350FE" w:rsidRPr="00A50800" w:rsidRDefault="006350FE" w:rsidP="006350FE">
      <w:pPr>
        <w:pStyle w:val="BodyText"/>
        <w:numPr>
          <w:ilvl w:val="1"/>
          <w:numId w:val="55"/>
        </w:numPr>
        <w:spacing w:after="0"/>
        <w:rPr>
          <w:b/>
          <w:bCs/>
        </w:rPr>
      </w:pPr>
      <w:r w:rsidRPr="006B6AC0">
        <w:rPr>
          <w:b/>
          <w:bCs/>
          <w:lang w:val="sv-SE"/>
        </w:rPr>
        <w:t>Omräkning</w:t>
      </w:r>
      <w:r w:rsidRPr="00A50800">
        <w:rPr>
          <w:b/>
          <w:bCs/>
        </w:rPr>
        <w:t>/</w:t>
      </w:r>
      <w:r w:rsidRPr="00A50800">
        <w:rPr>
          <w:b/>
          <w:bCs/>
          <w:i/>
          <w:iCs/>
        </w:rPr>
        <w:t>Recalculations</w:t>
      </w:r>
    </w:p>
    <w:p w14:paraId="20B533DD" w14:textId="77777777" w:rsidR="006350FE" w:rsidRPr="00437F01" w:rsidRDefault="006350FE" w:rsidP="006350FE">
      <w:pPr>
        <w:pStyle w:val="BodyText"/>
        <w:numPr>
          <w:ilvl w:val="2"/>
          <w:numId w:val="55"/>
        </w:numPr>
      </w:pPr>
      <w:r w:rsidRPr="00A50800">
        <w:rPr>
          <w:lang w:val="sv-SE"/>
        </w:rPr>
        <w:t xml:space="preserve">En omräkning av det antal Aktier som varje Teckningsoption ger rätt att teckna </w:t>
      </w:r>
      <w:r>
        <w:rPr>
          <w:lang w:val="sv-SE"/>
        </w:rPr>
        <w:t>ska</w:t>
      </w:r>
      <w:r w:rsidRPr="00A50800">
        <w:rPr>
          <w:lang w:val="sv-SE"/>
        </w:rPr>
        <w:t xml:space="preserve"> utföras om Teckning verkställs efter beslut om sådan</w:t>
      </w:r>
      <w:r>
        <w:rPr>
          <w:lang w:val="sv-SE"/>
        </w:rPr>
        <w:t>a</w:t>
      </w:r>
      <w:r w:rsidRPr="00A50800">
        <w:rPr>
          <w:lang w:val="sv-SE"/>
        </w:rPr>
        <w:t xml:space="preserve"> </w:t>
      </w:r>
      <w:r>
        <w:rPr>
          <w:lang w:val="sv-SE"/>
        </w:rPr>
        <w:t>bolagshändelser</w:t>
      </w:r>
      <w:r w:rsidRPr="00A50800">
        <w:rPr>
          <w:lang w:val="sv-SE"/>
        </w:rPr>
        <w:t xml:space="preserve"> som anges i </w:t>
      </w:r>
      <w:r>
        <w:rPr>
          <w:lang w:val="sv-SE"/>
        </w:rPr>
        <w:t>punkterna</w:t>
      </w:r>
      <w:r w:rsidRPr="00A50800">
        <w:rPr>
          <w:lang w:val="sv-SE"/>
        </w:rPr>
        <w:t xml:space="preserve"> </w:t>
      </w:r>
      <w:r>
        <w:rPr>
          <w:szCs w:val="22"/>
        </w:rPr>
        <w:fldChar w:fldCharType="begin"/>
      </w:r>
      <w:r>
        <w:rPr>
          <w:lang w:val="sv-SE"/>
        </w:rPr>
        <w:instrText xml:space="preserve"> REF _Ref419826047 \r \h </w:instrText>
      </w:r>
      <w:r>
        <w:rPr>
          <w:szCs w:val="22"/>
        </w:rPr>
      </w:r>
      <w:r>
        <w:rPr>
          <w:szCs w:val="22"/>
        </w:rPr>
        <w:fldChar w:fldCharType="separate"/>
      </w:r>
      <w:r>
        <w:rPr>
          <w:lang w:val="sv-SE"/>
        </w:rPr>
        <w:t>8.2.2</w:t>
      </w:r>
      <w:r>
        <w:rPr>
          <w:szCs w:val="22"/>
        </w:rPr>
        <w:fldChar w:fldCharType="end"/>
      </w:r>
      <w:r>
        <w:rPr>
          <w:lang w:val="sv-SE"/>
        </w:rPr>
        <w:t>–</w:t>
      </w:r>
      <w:r>
        <w:rPr>
          <w:szCs w:val="22"/>
        </w:rPr>
        <w:fldChar w:fldCharType="begin"/>
      </w:r>
      <w:r>
        <w:rPr>
          <w:lang w:val="sv-SE"/>
        </w:rPr>
        <w:instrText xml:space="preserve"> REF _Ref439067192 \r \h </w:instrText>
      </w:r>
      <w:r>
        <w:rPr>
          <w:szCs w:val="22"/>
        </w:rPr>
      </w:r>
      <w:r>
        <w:rPr>
          <w:szCs w:val="22"/>
        </w:rPr>
        <w:fldChar w:fldCharType="separate"/>
      </w:r>
      <w:r>
        <w:rPr>
          <w:lang w:val="sv-SE"/>
        </w:rPr>
        <w:t>8.2.21</w:t>
      </w:r>
      <w:r>
        <w:rPr>
          <w:szCs w:val="22"/>
        </w:rPr>
        <w:fldChar w:fldCharType="end"/>
      </w:r>
      <w:r w:rsidRPr="006B6AC0">
        <w:rPr>
          <w:szCs w:val="22"/>
          <w:lang w:val="sv-SE"/>
        </w:rPr>
        <w:t xml:space="preserve"> </w:t>
      </w:r>
      <w:r>
        <w:rPr>
          <w:szCs w:val="22"/>
          <w:lang w:val="sv-SE"/>
        </w:rPr>
        <w:t>nedan</w:t>
      </w:r>
      <w:r w:rsidRPr="00A50800">
        <w:rPr>
          <w:lang w:val="sv-SE"/>
        </w:rPr>
        <w:t>.</w:t>
      </w:r>
      <w:r w:rsidRPr="00A50800">
        <w:rPr>
          <w:lang w:val="sv-SE"/>
        </w:rPr>
        <w:br/>
      </w:r>
      <w:r w:rsidRPr="00437F01">
        <w:rPr>
          <w:i/>
        </w:rPr>
        <w:t xml:space="preserve">A recalculated number of Shares which every Warrant confers the right to subscribe for, shall be </w:t>
      </w:r>
      <w:r>
        <w:rPr>
          <w:i/>
        </w:rPr>
        <w:t>made</w:t>
      </w:r>
      <w:r w:rsidRPr="00437F01">
        <w:rPr>
          <w:i/>
        </w:rPr>
        <w:t xml:space="preserve"> </w:t>
      </w:r>
      <w:r>
        <w:rPr>
          <w:i/>
        </w:rPr>
        <w:t>if</w:t>
      </w:r>
      <w:r w:rsidRPr="00437F01">
        <w:rPr>
          <w:i/>
        </w:rPr>
        <w:t xml:space="preserve"> Subscription </w:t>
      </w:r>
      <w:r>
        <w:rPr>
          <w:i/>
        </w:rPr>
        <w:t xml:space="preserve">is </w:t>
      </w:r>
      <w:r w:rsidRPr="00437F01">
        <w:rPr>
          <w:i/>
        </w:rPr>
        <w:t xml:space="preserve">executed </w:t>
      </w:r>
      <w:r>
        <w:rPr>
          <w:i/>
        </w:rPr>
        <w:t>following</w:t>
      </w:r>
      <w:r w:rsidRPr="00437F01">
        <w:rPr>
          <w:i/>
        </w:rPr>
        <w:t xml:space="preserve"> </w:t>
      </w:r>
      <w:r>
        <w:rPr>
          <w:i/>
        </w:rPr>
        <w:t>a</w:t>
      </w:r>
      <w:r w:rsidRPr="00437F01">
        <w:rPr>
          <w:i/>
        </w:rPr>
        <w:t xml:space="preserve"> </w:t>
      </w:r>
      <w:r>
        <w:rPr>
          <w:i/>
        </w:rPr>
        <w:t>resolution</w:t>
      </w:r>
      <w:r w:rsidRPr="00437F01">
        <w:rPr>
          <w:i/>
        </w:rPr>
        <w:t xml:space="preserve"> on </w:t>
      </w:r>
      <w:r>
        <w:rPr>
          <w:i/>
        </w:rPr>
        <w:t>such</w:t>
      </w:r>
      <w:r w:rsidRPr="00437F01">
        <w:rPr>
          <w:i/>
        </w:rPr>
        <w:t xml:space="preserve"> </w:t>
      </w:r>
      <w:r>
        <w:rPr>
          <w:i/>
        </w:rPr>
        <w:t>corporate events</w:t>
      </w:r>
      <w:r w:rsidRPr="00437F01">
        <w:rPr>
          <w:i/>
        </w:rPr>
        <w:t xml:space="preserve"> </w:t>
      </w:r>
      <w:r>
        <w:rPr>
          <w:i/>
        </w:rPr>
        <w:t xml:space="preserve">as </w:t>
      </w:r>
      <w:r w:rsidRPr="00437F01">
        <w:rPr>
          <w:i/>
        </w:rPr>
        <w:t xml:space="preserve">set in sections </w:t>
      </w:r>
      <w:r>
        <w:rPr>
          <w:i/>
          <w:szCs w:val="22"/>
        </w:rPr>
        <w:fldChar w:fldCharType="begin"/>
      </w:r>
      <w:r>
        <w:rPr>
          <w:i/>
        </w:rPr>
        <w:instrText xml:space="preserve"> REF _Ref419826047 \r \h </w:instrText>
      </w:r>
      <w:r>
        <w:rPr>
          <w:i/>
          <w:szCs w:val="22"/>
        </w:rPr>
      </w:r>
      <w:r>
        <w:rPr>
          <w:i/>
          <w:szCs w:val="22"/>
        </w:rPr>
        <w:fldChar w:fldCharType="separate"/>
      </w:r>
      <w:r>
        <w:rPr>
          <w:i/>
        </w:rPr>
        <w:t>8.2.2</w:t>
      </w:r>
      <w:r>
        <w:rPr>
          <w:i/>
          <w:szCs w:val="22"/>
        </w:rPr>
        <w:fldChar w:fldCharType="end"/>
      </w:r>
      <w:r w:rsidRPr="00437F01">
        <w:rPr>
          <w:i/>
        </w:rPr>
        <w:t>–</w:t>
      </w:r>
      <w:r>
        <w:rPr>
          <w:i/>
          <w:szCs w:val="22"/>
        </w:rPr>
        <w:fldChar w:fldCharType="begin"/>
      </w:r>
      <w:r>
        <w:rPr>
          <w:i/>
        </w:rPr>
        <w:instrText xml:space="preserve"> REF _Ref439067192 \r \h </w:instrText>
      </w:r>
      <w:r>
        <w:rPr>
          <w:i/>
          <w:szCs w:val="22"/>
        </w:rPr>
      </w:r>
      <w:r>
        <w:rPr>
          <w:i/>
          <w:szCs w:val="22"/>
        </w:rPr>
        <w:fldChar w:fldCharType="separate"/>
      </w:r>
      <w:r>
        <w:rPr>
          <w:i/>
        </w:rPr>
        <w:t>8.2.21</w:t>
      </w:r>
      <w:r>
        <w:rPr>
          <w:i/>
          <w:szCs w:val="22"/>
        </w:rPr>
        <w:fldChar w:fldCharType="end"/>
      </w:r>
      <w:r>
        <w:rPr>
          <w:i/>
          <w:szCs w:val="22"/>
        </w:rPr>
        <w:t xml:space="preserve"> below</w:t>
      </w:r>
      <w:r w:rsidRPr="00437F01">
        <w:rPr>
          <w:i/>
        </w:rPr>
        <w:t>.</w:t>
      </w:r>
    </w:p>
    <w:p w14:paraId="62937BE7" w14:textId="77777777" w:rsidR="006350FE" w:rsidRPr="00A50800" w:rsidRDefault="006350FE" w:rsidP="006350FE">
      <w:pPr>
        <w:pStyle w:val="BodyText"/>
        <w:numPr>
          <w:ilvl w:val="2"/>
          <w:numId w:val="55"/>
        </w:numPr>
        <w:spacing w:after="0"/>
        <w:rPr>
          <w:b/>
          <w:bCs/>
        </w:rPr>
      </w:pPr>
      <w:r w:rsidRPr="006B6AC0">
        <w:rPr>
          <w:b/>
          <w:bCs/>
          <w:lang w:val="sv-SE"/>
        </w:rPr>
        <w:t>Fondemission</w:t>
      </w:r>
      <w:r w:rsidRPr="00A50800">
        <w:rPr>
          <w:b/>
          <w:bCs/>
        </w:rPr>
        <w:t>/</w:t>
      </w:r>
      <w:r w:rsidRPr="00A50800">
        <w:rPr>
          <w:b/>
          <w:bCs/>
          <w:i/>
          <w:iCs/>
        </w:rPr>
        <w:t>Bonus Issue</w:t>
      </w:r>
    </w:p>
    <w:p w14:paraId="4F0525DB" w14:textId="77777777" w:rsidR="006350FE" w:rsidRPr="00437F01" w:rsidRDefault="006350FE" w:rsidP="006350FE">
      <w:pPr>
        <w:pStyle w:val="BodyText"/>
        <w:ind w:left="720"/>
      </w:pPr>
      <w:r w:rsidRPr="006B6AC0">
        <w:rPr>
          <w:lang w:val="sv-SE"/>
        </w:rPr>
        <w:t xml:space="preserve">Genomför Bolaget en </w:t>
      </w:r>
      <w:r w:rsidRPr="006B6AC0">
        <w:rPr>
          <w:u w:val="single"/>
          <w:lang w:val="sv-SE"/>
        </w:rPr>
        <w:t>fondemission</w:t>
      </w:r>
      <w:r w:rsidRPr="006B6AC0">
        <w:rPr>
          <w:lang w:val="sv-SE"/>
        </w:rPr>
        <w:t xml:space="preserve"> ska Teckning – där anmälan om Teckning görs på sådan</w:t>
      </w:r>
      <w:r w:rsidRPr="00A50800">
        <w:rPr>
          <w:lang w:val="sv-SE"/>
        </w:rPr>
        <w:t xml:space="preserve"> tid att den inte kan verkställas senast på tionde kalenderdagen före bolagsstämma som beslutar om emissionen – verkställas först sedan stämman beslutat om denna. Aktier, som tillkommit på grund av Teckning verkställd efter </w:t>
      </w:r>
      <w:proofErr w:type="spellStart"/>
      <w:r w:rsidRPr="00A50800">
        <w:rPr>
          <w:lang w:val="sv-SE"/>
        </w:rPr>
        <w:t>emissionsbeslutet</w:t>
      </w:r>
      <w:proofErr w:type="spellEnd"/>
      <w:r w:rsidRPr="00A50800">
        <w:rPr>
          <w:lang w:val="sv-SE"/>
        </w:rPr>
        <w:t xml:space="preserve">, registreras interimistiskt på avstämningskonto, vilket innebär att </w:t>
      </w:r>
      <w:r>
        <w:rPr>
          <w:lang w:val="sv-SE"/>
        </w:rPr>
        <w:t>Optionsinnehavaren</w:t>
      </w:r>
      <w:r w:rsidRPr="00A50800">
        <w:rPr>
          <w:lang w:val="sv-SE"/>
        </w:rPr>
        <w:t xml:space="preserve"> inte har rätt att deltaga i emissionen. Slutlig registrering på avstämningskonto sker först efter avstämningsdagen för </w:t>
      </w:r>
      <w:r>
        <w:rPr>
          <w:lang w:val="sv-SE"/>
        </w:rPr>
        <w:t>fond</w:t>
      </w:r>
      <w:r w:rsidRPr="00A50800">
        <w:rPr>
          <w:lang w:val="sv-SE"/>
        </w:rPr>
        <w:t>emissionen.</w:t>
      </w:r>
      <w:r w:rsidRPr="00A50800">
        <w:rPr>
          <w:lang w:val="sv-SE"/>
        </w:rPr>
        <w:br/>
      </w:r>
      <w:r w:rsidRPr="00437F01">
        <w:rPr>
          <w:i/>
        </w:rPr>
        <w:t xml:space="preserve">In the event the Company carries out a </w:t>
      </w:r>
      <w:r w:rsidRPr="00437F01">
        <w:rPr>
          <w:i/>
          <w:u w:val="single"/>
        </w:rPr>
        <w:t>bonus issue</w:t>
      </w:r>
      <w:r w:rsidRPr="00437F01">
        <w:rPr>
          <w:i/>
        </w:rPr>
        <w:t xml:space="preserve">, Subscription shall – where notice of Subscription is made at such time that it cannot be effected at the latest on the tenth calendar day prior to the shareholders' meeting which resolves upon the issue – be effected only after the shareholders' meeting has resolved to carry out the bonus issue. Shares which </w:t>
      </w:r>
      <w:proofErr w:type="gramStart"/>
      <w:r w:rsidRPr="00437F01">
        <w:rPr>
          <w:i/>
        </w:rPr>
        <w:t>is</w:t>
      </w:r>
      <w:proofErr w:type="gramEnd"/>
      <w:r w:rsidRPr="00437F01">
        <w:rPr>
          <w:i/>
        </w:rPr>
        <w:t xml:space="preserve"> issued </w:t>
      </w:r>
      <w:proofErr w:type="gramStart"/>
      <w:r w:rsidRPr="00437F01">
        <w:rPr>
          <w:i/>
        </w:rPr>
        <w:t>as a consequence of</w:t>
      </w:r>
      <w:proofErr w:type="gramEnd"/>
      <w:r w:rsidRPr="00437F01">
        <w:rPr>
          <w:i/>
        </w:rPr>
        <w:t xml:space="preserve"> Subscription executed after such a resolution shall be registered on an interim basis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and do not entitle </w:t>
      </w:r>
      <w:r>
        <w:rPr>
          <w:i/>
        </w:rPr>
        <w:t>the Warrant Holder to</w:t>
      </w:r>
      <w:r w:rsidRPr="00437F01">
        <w:rPr>
          <w:i/>
        </w:rPr>
        <w:t xml:space="preserve"> participa</w:t>
      </w:r>
      <w:r>
        <w:rPr>
          <w:i/>
        </w:rPr>
        <w:t>te</w:t>
      </w:r>
      <w:r w:rsidRPr="00437F01">
        <w:rPr>
          <w:i/>
        </w:rPr>
        <w:t xml:space="preserve"> in the issue. Final registration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shall take place only after the record date for the </w:t>
      </w:r>
      <w:r>
        <w:rPr>
          <w:i/>
        </w:rPr>
        <w:t xml:space="preserve">bonus </w:t>
      </w:r>
      <w:r w:rsidRPr="00437F01">
        <w:rPr>
          <w:i/>
        </w:rPr>
        <w:t>issue.</w:t>
      </w:r>
    </w:p>
    <w:p w14:paraId="138A33B4" w14:textId="77777777" w:rsidR="006350FE" w:rsidRPr="00437F01" w:rsidRDefault="006350FE" w:rsidP="006350FE">
      <w:pPr>
        <w:pStyle w:val="BodyText"/>
        <w:ind w:left="720"/>
      </w:pPr>
      <w:r w:rsidRPr="00F31BD1">
        <w:rPr>
          <w:lang w:val="sv-SE"/>
        </w:rPr>
        <w:t xml:space="preserve">Vid Teckning som verkställs efter beslutet om fondemission tillämpas en omräknad Teckningskurs liksom en omräkning av det antal Aktier som varje Teckningsoption berättigar till Teckning av. </w:t>
      </w:r>
      <w:proofErr w:type="spellStart"/>
      <w:r w:rsidRPr="006B6AC0">
        <w:rPr>
          <w:lang w:val="en-US"/>
        </w:rPr>
        <w:t>Omräkningarna</w:t>
      </w:r>
      <w:proofErr w:type="spellEnd"/>
      <w:r w:rsidRPr="006B6AC0">
        <w:rPr>
          <w:lang w:val="en-US"/>
        </w:rPr>
        <w:t xml:space="preserve"> </w:t>
      </w:r>
      <w:proofErr w:type="spellStart"/>
      <w:r w:rsidRPr="006B6AC0">
        <w:rPr>
          <w:lang w:val="en-US"/>
        </w:rPr>
        <w:t>utförs</w:t>
      </w:r>
      <w:proofErr w:type="spellEnd"/>
      <w:r w:rsidRPr="006B6AC0">
        <w:rPr>
          <w:lang w:val="en-US"/>
        </w:rPr>
        <w:t xml:space="preserve"> av </w:t>
      </w:r>
      <w:proofErr w:type="spellStart"/>
      <w:r w:rsidRPr="006B6AC0">
        <w:rPr>
          <w:lang w:val="en-US"/>
        </w:rPr>
        <w:t>Bolaget</w:t>
      </w:r>
      <w:proofErr w:type="spellEnd"/>
      <w:r w:rsidRPr="006B6AC0">
        <w:rPr>
          <w:lang w:val="en-US"/>
        </w:rPr>
        <w:t xml:space="preserve"> </w:t>
      </w:r>
      <w:proofErr w:type="spellStart"/>
      <w:r w:rsidRPr="006B6AC0">
        <w:rPr>
          <w:lang w:val="en-US"/>
        </w:rPr>
        <w:t>enligt</w:t>
      </w:r>
      <w:proofErr w:type="spellEnd"/>
      <w:r w:rsidRPr="006B6AC0">
        <w:rPr>
          <w:lang w:val="en-US"/>
        </w:rPr>
        <w:t xml:space="preserve"> </w:t>
      </w:r>
      <w:proofErr w:type="spellStart"/>
      <w:r w:rsidRPr="006B6AC0">
        <w:rPr>
          <w:lang w:val="en-US"/>
        </w:rPr>
        <w:t>följande</w:t>
      </w:r>
      <w:proofErr w:type="spellEnd"/>
      <w:r w:rsidRPr="006B6AC0">
        <w:rPr>
          <w:lang w:val="en-US"/>
        </w:rPr>
        <w:t xml:space="preserve"> </w:t>
      </w:r>
      <w:proofErr w:type="spellStart"/>
      <w:r w:rsidRPr="006B6AC0">
        <w:rPr>
          <w:lang w:val="en-US"/>
        </w:rPr>
        <w:t>formler</w:t>
      </w:r>
      <w:proofErr w:type="spellEnd"/>
      <w:r w:rsidRPr="006B6AC0">
        <w:rPr>
          <w:lang w:val="en-US"/>
        </w:rPr>
        <w:t>:</w:t>
      </w:r>
      <w:r w:rsidRPr="00437F01">
        <w:br/>
      </w:r>
      <w:r w:rsidRPr="00437F01">
        <w:rPr>
          <w:i/>
        </w:rPr>
        <w:t>In conjunction with Subscription effected after the resolution to carry out the bonus issue, a re-calculated Subscription Price as well as a re-calculated number of Shares which each Warrant shall entitle to Subscribe for shall apply. The recalculations shall be made by the Company in accordance with the following formulas:</w:t>
      </w:r>
    </w:p>
    <w:tbl>
      <w:tblPr>
        <w:tblW w:w="0" w:type="auto"/>
        <w:tblInd w:w="630" w:type="dxa"/>
        <w:tblBorders>
          <w:top w:val="nil"/>
          <w:left w:val="nil"/>
          <w:bottom w:val="nil"/>
          <w:right w:val="nil"/>
          <w:insideH w:val="nil"/>
          <w:insideV w:val="nil"/>
        </w:tblBorders>
        <w:tblLook w:val="04A0" w:firstRow="1" w:lastRow="0" w:firstColumn="1" w:lastColumn="0" w:noHBand="0" w:noVBand="1"/>
      </w:tblPr>
      <w:tblGrid>
        <w:gridCol w:w="1890"/>
        <w:gridCol w:w="450"/>
        <w:gridCol w:w="6030"/>
      </w:tblGrid>
      <w:tr w:rsidR="006350FE" w:rsidRPr="00D00630" w14:paraId="02A82BBC" w14:textId="77777777" w:rsidTr="00695A7D">
        <w:trPr>
          <w:cantSplit/>
        </w:trPr>
        <w:tc>
          <w:tcPr>
            <w:tcW w:w="1890" w:type="dxa"/>
            <w:vMerge w:val="restart"/>
            <w:vAlign w:val="center"/>
          </w:tcPr>
          <w:p w14:paraId="37EE3E82" w14:textId="77777777" w:rsidR="006350FE" w:rsidRPr="006B6AC0" w:rsidRDefault="006350FE" w:rsidP="00695A7D">
            <w:pPr>
              <w:pStyle w:val="TableText"/>
              <w:spacing w:after="0"/>
              <w:rPr>
                <w:lang w:val="sv-SE"/>
              </w:rPr>
            </w:pPr>
            <w:r w:rsidRPr="006B6AC0">
              <w:rPr>
                <w:lang w:val="sv-SE"/>
              </w:rPr>
              <w:t>Omräknad Teckningskurs</w:t>
            </w:r>
          </w:p>
        </w:tc>
        <w:tc>
          <w:tcPr>
            <w:tcW w:w="450" w:type="dxa"/>
            <w:vMerge w:val="restart"/>
            <w:vAlign w:val="center"/>
          </w:tcPr>
          <w:p w14:paraId="49E0CAF5" w14:textId="77777777" w:rsidR="006350FE" w:rsidRPr="00437F01" w:rsidRDefault="006350FE" w:rsidP="00695A7D">
            <w:pPr>
              <w:pStyle w:val="TableText"/>
              <w:spacing w:after="0"/>
              <w:jc w:val="center"/>
            </w:pPr>
            <w:r w:rsidRPr="00437F01">
              <w:t>=</w:t>
            </w:r>
          </w:p>
        </w:tc>
        <w:tc>
          <w:tcPr>
            <w:tcW w:w="6030" w:type="dxa"/>
            <w:tcBorders>
              <w:bottom w:val="single" w:sz="4" w:space="0" w:color="auto"/>
            </w:tcBorders>
          </w:tcPr>
          <w:p w14:paraId="4FD6E8A7" w14:textId="77777777" w:rsidR="006350FE" w:rsidRPr="00A50800" w:rsidRDefault="006350F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antalet Aktier före fondemissionen</w:t>
            </w:r>
          </w:p>
        </w:tc>
      </w:tr>
      <w:tr w:rsidR="006350FE" w:rsidRPr="00437F01" w14:paraId="159FF7FC" w14:textId="77777777" w:rsidTr="00695A7D">
        <w:trPr>
          <w:cantSplit/>
        </w:trPr>
        <w:tc>
          <w:tcPr>
            <w:tcW w:w="1890" w:type="dxa"/>
            <w:vMerge/>
          </w:tcPr>
          <w:p w14:paraId="08A26F57" w14:textId="77777777" w:rsidR="006350FE" w:rsidRPr="00A50800" w:rsidRDefault="006350FE" w:rsidP="00695A7D">
            <w:pPr>
              <w:pStyle w:val="TableText"/>
              <w:spacing w:after="0"/>
              <w:rPr>
                <w:lang w:val="sv-SE"/>
              </w:rPr>
            </w:pPr>
          </w:p>
        </w:tc>
        <w:tc>
          <w:tcPr>
            <w:tcW w:w="450" w:type="dxa"/>
            <w:vMerge/>
            <w:vAlign w:val="center"/>
          </w:tcPr>
          <w:p w14:paraId="5A961E3E" w14:textId="77777777" w:rsidR="006350FE" w:rsidRPr="00A50800" w:rsidRDefault="006350FE" w:rsidP="00695A7D">
            <w:pPr>
              <w:pStyle w:val="TableText"/>
              <w:spacing w:after="0"/>
              <w:jc w:val="center"/>
              <w:rPr>
                <w:lang w:val="sv-SE"/>
              </w:rPr>
            </w:pPr>
          </w:p>
        </w:tc>
        <w:tc>
          <w:tcPr>
            <w:tcW w:w="6030" w:type="dxa"/>
            <w:tcBorders>
              <w:top w:val="single" w:sz="4" w:space="0" w:color="auto"/>
            </w:tcBorders>
          </w:tcPr>
          <w:p w14:paraId="4C1325DA" w14:textId="77777777" w:rsidR="006350FE" w:rsidRPr="006B6AC0" w:rsidRDefault="006350FE" w:rsidP="00695A7D">
            <w:pPr>
              <w:pStyle w:val="TableText"/>
              <w:spacing w:after="0"/>
              <w:rPr>
                <w:lang w:val="sv-SE"/>
              </w:rPr>
            </w:pPr>
            <w:r w:rsidRPr="006B6AC0">
              <w:rPr>
                <w:lang w:val="sv-SE"/>
              </w:rPr>
              <w:t>Antalet Aktier efter fondemissionen</w:t>
            </w:r>
          </w:p>
        </w:tc>
      </w:tr>
      <w:tr w:rsidR="006350FE" w:rsidRPr="00437F01" w14:paraId="6DDFAAA3" w14:textId="77777777" w:rsidTr="00695A7D">
        <w:trPr>
          <w:cantSplit/>
        </w:trPr>
        <w:tc>
          <w:tcPr>
            <w:tcW w:w="1890" w:type="dxa"/>
          </w:tcPr>
          <w:p w14:paraId="34F94594" w14:textId="77777777" w:rsidR="006350FE" w:rsidRPr="00437F01" w:rsidRDefault="006350FE" w:rsidP="00695A7D">
            <w:pPr>
              <w:pStyle w:val="TableText"/>
              <w:spacing w:after="0"/>
              <w:rPr>
                <w:i/>
              </w:rPr>
            </w:pPr>
          </w:p>
        </w:tc>
        <w:tc>
          <w:tcPr>
            <w:tcW w:w="450" w:type="dxa"/>
            <w:vAlign w:val="center"/>
          </w:tcPr>
          <w:p w14:paraId="59EF2019" w14:textId="77777777" w:rsidR="006350FE" w:rsidRPr="00437F01" w:rsidRDefault="006350FE" w:rsidP="00695A7D">
            <w:pPr>
              <w:pStyle w:val="TableText"/>
              <w:spacing w:after="0"/>
              <w:jc w:val="center"/>
            </w:pPr>
          </w:p>
        </w:tc>
        <w:tc>
          <w:tcPr>
            <w:tcW w:w="6030" w:type="dxa"/>
          </w:tcPr>
          <w:p w14:paraId="45AF370C" w14:textId="77777777" w:rsidR="006350FE" w:rsidRPr="00437F01" w:rsidRDefault="006350FE" w:rsidP="00695A7D">
            <w:pPr>
              <w:pStyle w:val="TableText"/>
              <w:spacing w:after="0"/>
            </w:pPr>
          </w:p>
        </w:tc>
      </w:tr>
      <w:tr w:rsidR="006350FE" w:rsidRPr="00D00630" w14:paraId="18CC6ED5" w14:textId="77777777" w:rsidTr="00695A7D">
        <w:trPr>
          <w:cantSplit/>
          <w:trHeight w:val="630"/>
        </w:trPr>
        <w:tc>
          <w:tcPr>
            <w:tcW w:w="1890" w:type="dxa"/>
            <w:vMerge w:val="restart"/>
            <w:vAlign w:val="center"/>
          </w:tcPr>
          <w:p w14:paraId="38A222E8" w14:textId="77777777" w:rsidR="006350FE" w:rsidRPr="00A50800" w:rsidRDefault="006350FE" w:rsidP="00695A7D">
            <w:pPr>
              <w:pStyle w:val="TableText"/>
              <w:spacing w:after="0"/>
              <w:rPr>
                <w:lang w:val="sv-SE"/>
              </w:rPr>
            </w:pPr>
            <w:r w:rsidRPr="00A50800">
              <w:rPr>
                <w:lang w:val="sv-SE"/>
              </w:rPr>
              <w:t>Omräknat antal Aktier som varje Teckningsoption berättigar till Teckning av</w:t>
            </w:r>
          </w:p>
        </w:tc>
        <w:tc>
          <w:tcPr>
            <w:tcW w:w="450" w:type="dxa"/>
            <w:vMerge w:val="restart"/>
            <w:vAlign w:val="center"/>
          </w:tcPr>
          <w:p w14:paraId="3F21E324" w14:textId="77777777" w:rsidR="006350FE" w:rsidRPr="00437F01" w:rsidRDefault="006350FE" w:rsidP="00695A7D">
            <w:pPr>
              <w:pStyle w:val="TableText"/>
              <w:spacing w:after="0"/>
              <w:jc w:val="center"/>
            </w:pPr>
            <w:r w:rsidRPr="00437F01">
              <w:t>=</w:t>
            </w:r>
          </w:p>
        </w:tc>
        <w:tc>
          <w:tcPr>
            <w:tcW w:w="6030" w:type="dxa"/>
            <w:tcBorders>
              <w:bottom w:val="single" w:sz="4" w:space="0" w:color="auto"/>
            </w:tcBorders>
            <w:vAlign w:val="bottom"/>
          </w:tcPr>
          <w:p w14:paraId="1213B326" w14:textId="77777777" w:rsidR="006350FE" w:rsidRPr="00A50800" w:rsidRDefault="006350F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antalet Aktier efter fondemissionen</w:t>
            </w:r>
          </w:p>
        </w:tc>
      </w:tr>
      <w:tr w:rsidR="006350FE" w:rsidRPr="00437F01" w14:paraId="6D2927E5" w14:textId="77777777" w:rsidTr="00695A7D">
        <w:trPr>
          <w:cantSplit/>
        </w:trPr>
        <w:tc>
          <w:tcPr>
            <w:tcW w:w="1890" w:type="dxa"/>
            <w:vMerge/>
          </w:tcPr>
          <w:p w14:paraId="75C4936E" w14:textId="77777777" w:rsidR="006350FE" w:rsidRPr="00A50800" w:rsidRDefault="006350FE" w:rsidP="00695A7D">
            <w:pPr>
              <w:pStyle w:val="TableText"/>
              <w:spacing w:after="0"/>
              <w:rPr>
                <w:lang w:val="sv-SE"/>
              </w:rPr>
            </w:pPr>
          </w:p>
        </w:tc>
        <w:tc>
          <w:tcPr>
            <w:tcW w:w="450" w:type="dxa"/>
            <w:vMerge/>
            <w:vAlign w:val="center"/>
          </w:tcPr>
          <w:p w14:paraId="1158C9B1" w14:textId="77777777" w:rsidR="006350FE" w:rsidRPr="00A50800" w:rsidRDefault="006350FE" w:rsidP="00695A7D">
            <w:pPr>
              <w:pStyle w:val="TableText"/>
              <w:spacing w:after="0"/>
              <w:jc w:val="center"/>
              <w:rPr>
                <w:lang w:val="sv-SE"/>
              </w:rPr>
            </w:pPr>
          </w:p>
        </w:tc>
        <w:tc>
          <w:tcPr>
            <w:tcW w:w="6030" w:type="dxa"/>
            <w:tcBorders>
              <w:top w:val="single" w:sz="4" w:space="0" w:color="auto"/>
            </w:tcBorders>
          </w:tcPr>
          <w:p w14:paraId="163E3FFA" w14:textId="77777777" w:rsidR="006350FE" w:rsidRPr="006B6AC0" w:rsidRDefault="006350FE" w:rsidP="00695A7D">
            <w:pPr>
              <w:pStyle w:val="TableText"/>
              <w:spacing w:after="0"/>
              <w:rPr>
                <w:lang w:val="sv-SE"/>
              </w:rPr>
            </w:pPr>
            <w:r w:rsidRPr="006B6AC0">
              <w:rPr>
                <w:lang w:val="sv-SE"/>
              </w:rPr>
              <w:t>Antalet Aktier före fondemissionen</w:t>
            </w:r>
          </w:p>
        </w:tc>
      </w:tr>
      <w:tr w:rsidR="006350FE" w:rsidRPr="003D73C9" w14:paraId="5202CFA1" w14:textId="77777777" w:rsidTr="00695A7D">
        <w:trPr>
          <w:cantSplit/>
          <w:trHeight w:val="423"/>
        </w:trPr>
        <w:tc>
          <w:tcPr>
            <w:tcW w:w="1890" w:type="dxa"/>
            <w:vMerge w:val="restart"/>
            <w:vAlign w:val="center"/>
          </w:tcPr>
          <w:p w14:paraId="5EEC605E" w14:textId="77777777" w:rsidR="006350FE" w:rsidRPr="00437F01" w:rsidRDefault="006350FE" w:rsidP="00695A7D">
            <w:pPr>
              <w:pStyle w:val="TableText"/>
              <w:spacing w:after="0"/>
              <w:rPr>
                <w:i/>
                <w:iCs/>
              </w:rPr>
            </w:pPr>
            <w:r w:rsidRPr="00437F01">
              <w:rPr>
                <w:i/>
                <w:iCs/>
              </w:rPr>
              <w:t>Re-calculated Subscription Price</w:t>
            </w:r>
          </w:p>
        </w:tc>
        <w:tc>
          <w:tcPr>
            <w:tcW w:w="450" w:type="dxa"/>
            <w:vMerge w:val="restart"/>
            <w:vAlign w:val="center"/>
          </w:tcPr>
          <w:p w14:paraId="2D39F0CF" w14:textId="77777777" w:rsidR="006350FE" w:rsidRPr="00437F01" w:rsidRDefault="006350FE" w:rsidP="00695A7D">
            <w:pPr>
              <w:pStyle w:val="TableText"/>
              <w:spacing w:after="0"/>
              <w:jc w:val="center"/>
              <w:rPr>
                <w:i/>
                <w:iCs/>
              </w:rPr>
            </w:pPr>
            <w:r w:rsidRPr="00437F01">
              <w:rPr>
                <w:i/>
                <w:iCs/>
              </w:rPr>
              <w:t>=</w:t>
            </w:r>
          </w:p>
        </w:tc>
        <w:tc>
          <w:tcPr>
            <w:tcW w:w="6030" w:type="dxa"/>
            <w:tcBorders>
              <w:bottom w:val="single" w:sz="4" w:space="0" w:color="auto"/>
            </w:tcBorders>
          </w:tcPr>
          <w:p w14:paraId="22D7F5F0" w14:textId="77777777" w:rsidR="006350FE" w:rsidRPr="00437F01" w:rsidRDefault="006350FE" w:rsidP="00695A7D">
            <w:pPr>
              <w:pStyle w:val="TableText"/>
              <w:spacing w:after="0"/>
              <w:rPr>
                <w:i/>
                <w:iCs/>
              </w:rPr>
            </w:pPr>
            <w:r w:rsidRPr="00437F01">
              <w:rPr>
                <w:i/>
                <w:iCs/>
              </w:rPr>
              <w:t xml:space="preserve">Previous Subscription Price x number of </w:t>
            </w:r>
            <w:r>
              <w:rPr>
                <w:i/>
                <w:iCs/>
              </w:rPr>
              <w:t>Share</w:t>
            </w:r>
            <w:r w:rsidRPr="00437F01">
              <w:rPr>
                <w:i/>
                <w:iCs/>
              </w:rPr>
              <w:t>s prior to the bonus issue</w:t>
            </w:r>
          </w:p>
        </w:tc>
      </w:tr>
      <w:tr w:rsidR="006350FE" w:rsidRPr="003D73C9" w14:paraId="4F67AB9B" w14:textId="77777777" w:rsidTr="00695A7D">
        <w:trPr>
          <w:cantSplit/>
          <w:trHeight w:val="145"/>
        </w:trPr>
        <w:tc>
          <w:tcPr>
            <w:tcW w:w="1890" w:type="dxa"/>
            <w:vMerge/>
          </w:tcPr>
          <w:p w14:paraId="50E42C5A" w14:textId="77777777" w:rsidR="006350FE" w:rsidRPr="00437F01" w:rsidRDefault="006350FE" w:rsidP="00695A7D">
            <w:pPr>
              <w:pStyle w:val="TableText"/>
              <w:spacing w:after="0"/>
              <w:rPr>
                <w:i/>
                <w:iCs/>
              </w:rPr>
            </w:pPr>
          </w:p>
        </w:tc>
        <w:tc>
          <w:tcPr>
            <w:tcW w:w="450" w:type="dxa"/>
            <w:vMerge/>
            <w:vAlign w:val="center"/>
          </w:tcPr>
          <w:p w14:paraId="5C8662DE" w14:textId="77777777" w:rsidR="006350FE" w:rsidRPr="00437F01" w:rsidRDefault="006350FE" w:rsidP="00695A7D">
            <w:pPr>
              <w:pStyle w:val="TableText"/>
              <w:spacing w:after="0"/>
              <w:jc w:val="center"/>
              <w:rPr>
                <w:i/>
                <w:iCs/>
              </w:rPr>
            </w:pPr>
          </w:p>
        </w:tc>
        <w:tc>
          <w:tcPr>
            <w:tcW w:w="6030" w:type="dxa"/>
            <w:tcBorders>
              <w:top w:val="single" w:sz="4" w:space="0" w:color="auto"/>
            </w:tcBorders>
          </w:tcPr>
          <w:p w14:paraId="2A8BC740" w14:textId="77777777" w:rsidR="006350FE" w:rsidRPr="00437F01" w:rsidRDefault="006350FE" w:rsidP="00695A7D">
            <w:pPr>
              <w:pStyle w:val="TableText"/>
              <w:spacing w:after="0"/>
              <w:rPr>
                <w:i/>
                <w:iCs/>
              </w:rPr>
            </w:pPr>
            <w:r w:rsidRPr="00437F01">
              <w:rPr>
                <w:i/>
                <w:iCs/>
              </w:rPr>
              <w:t xml:space="preserve">Number of </w:t>
            </w:r>
            <w:r>
              <w:rPr>
                <w:i/>
                <w:iCs/>
              </w:rPr>
              <w:t>Share</w:t>
            </w:r>
            <w:r w:rsidRPr="00437F01">
              <w:rPr>
                <w:i/>
                <w:iCs/>
              </w:rPr>
              <w:t>s following the bonus issue</w:t>
            </w:r>
          </w:p>
        </w:tc>
      </w:tr>
      <w:tr w:rsidR="006350FE" w:rsidRPr="003D73C9" w14:paraId="34D9094C" w14:textId="77777777" w:rsidTr="00695A7D">
        <w:trPr>
          <w:cantSplit/>
          <w:trHeight w:val="269"/>
        </w:trPr>
        <w:tc>
          <w:tcPr>
            <w:tcW w:w="1890" w:type="dxa"/>
          </w:tcPr>
          <w:p w14:paraId="572F2C7A" w14:textId="77777777" w:rsidR="006350FE" w:rsidRPr="00437F01" w:rsidRDefault="006350FE" w:rsidP="00695A7D">
            <w:pPr>
              <w:pStyle w:val="TableText"/>
              <w:spacing w:after="0"/>
              <w:rPr>
                <w:i/>
                <w:iCs/>
              </w:rPr>
            </w:pPr>
          </w:p>
        </w:tc>
        <w:tc>
          <w:tcPr>
            <w:tcW w:w="450" w:type="dxa"/>
            <w:vAlign w:val="center"/>
          </w:tcPr>
          <w:p w14:paraId="47CA35FD" w14:textId="77777777" w:rsidR="006350FE" w:rsidRPr="00437F01" w:rsidRDefault="006350FE" w:rsidP="00695A7D">
            <w:pPr>
              <w:pStyle w:val="TableText"/>
              <w:spacing w:after="0"/>
              <w:jc w:val="center"/>
              <w:rPr>
                <w:i/>
                <w:iCs/>
              </w:rPr>
            </w:pPr>
          </w:p>
        </w:tc>
        <w:tc>
          <w:tcPr>
            <w:tcW w:w="6030" w:type="dxa"/>
          </w:tcPr>
          <w:p w14:paraId="3385F371" w14:textId="77777777" w:rsidR="006350FE" w:rsidRPr="00437F01" w:rsidRDefault="006350FE" w:rsidP="00695A7D">
            <w:pPr>
              <w:pStyle w:val="TableText"/>
              <w:spacing w:after="0"/>
              <w:rPr>
                <w:i/>
                <w:iCs/>
              </w:rPr>
            </w:pPr>
          </w:p>
        </w:tc>
      </w:tr>
      <w:tr w:rsidR="006350FE" w:rsidRPr="003D73C9" w14:paraId="2224FB5E" w14:textId="77777777" w:rsidTr="00695A7D">
        <w:trPr>
          <w:cantSplit/>
          <w:trHeight w:val="612"/>
        </w:trPr>
        <w:tc>
          <w:tcPr>
            <w:tcW w:w="1890" w:type="dxa"/>
            <w:vMerge w:val="restart"/>
            <w:vAlign w:val="center"/>
          </w:tcPr>
          <w:p w14:paraId="05467AE2" w14:textId="77777777" w:rsidR="006350FE" w:rsidRPr="00437F01" w:rsidRDefault="006350FE" w:rsidP="00695A7D">
            <w:pPr>
              <w:pStyle w:val="TableText"/>
              <w:spacing w:after="0"/>
              <w:rPr>
                <w:i/>
                <w:iCs/>
              </w:rPr>
            </w:pPr>
            <w:r w:rsidRPr="00437F01">
              <w:rPr>
                <w:i/>
                <w:iCs/>
              </w:rPr>
              <w:t>Re-calculated number of Shares that each Warrant entitles to Subscribe for</w:t>
            </w:r>
          </w:p>
        </w:tc>
        <w:tc>
          <w:tcPr>
            <w:tcW w:w="450" w:type="dxa"/>
            <w:vMerge w:val="restart"/>
            <w:vAlign w:val="center"/>
          </w:tcPr>
          <w:p w14:paraId="7BE4F482" w14:textId="77777777" w:rsidR="006350FE" w:rsidRPr="00437F01" w:rsidRDefault="006350FE" w:rsidP="00695A7D">
            <w:pPr>
              <w:pStyle w:val="TableText"/>
              <w:spacing w:after="0"/>
              <w:jc w:val="center"/>
              <w:rPr>
                <w:i/>
                <w:iCs/>
              </w:rPr>
            </w:pPr>
            <w:r w:rsidRPr="00437F01">
              <w:rPr>
                <w:i/>
                <w:iCs/>
              </w:rPr>
              <w:t>=</w:t>
            </w:r>
          </w:p>
        </w:tc>
        <w:tc>
          <w:tcPr>
            <w:tcW w:w="6030" w:type="dxa"/>
            <w:tcBorders>
              <w:bottom w:val="single" w:sz="4" w:space="0" w:color="auto"/>
            </w:tcBorders>
          </w:tcPr>
          <w:p w14:paraId="19851936" w14:textId="77777777" w:rsidR="006350FE" w:rsidRPr="00437F01" w:rsidRDefault="006350FE" w:rsidP="00695A7D">
            <w:pPr>
              <w:pStyle w:val="TableText"/>
              <w:spacing w:after="0"/>
              <w:rPr>
                <w:i/>
                <w:iCs/>
              </w:rPr>
            </w:pPr>
            <w:r w:rsidRPr="00437F01">
              <w:rPr>
                <w:i/>
                <w:iCs/>
              </w:rPr>
              <w:t>The previous number of Shares that each Warrant entitled to Subscribe for x number</w:t>
            </w:r>
            <w:r w:rsidRPr="00437F01">
              <w:rPr>
                <w:i/>
                <w:iCs/>
              </w:rPr>
              <w:br/>
              <w:t>of Shares following the bonus issue</w:t>
            </w:r>
          </w:p>
        </w:tc>
      </w:tr>
      <w:tr w:rsidR="006350FE" w:rsidRPr="003D73C9" w14:paraId="124E047B" w14:textId="77777777" w:rsidTr="00695A7D">
        <w:trPr>
          <w:cantSplit/>
          <w:trHeight w:val="145"/>
        </w:trPr>
        <w:tc>
          <w:tcPr>
            <w:tcW w:w="1890" w:type="dxa"/>
            <w:vMerge/>
          </w:tcPr>
          <w:p w14:paraId="7FCC1B50" w14:textId="77777777" w:rsidR="006350FE" w:rsidRPr="00437F01" w:rsidRDefault="006350FE" w:rsidP="00695A7D">
            <w:pPr>
              <w:pStyle w:val="TableText"/>
              <w:spacing w:after="0"/>
              <w:rPr>
                <w:i/>
                <w:iCs/>
              </w:rPr>
            </w:pPr>
          </w:p>
        </w:tc>
        <w:tc>
          <w:tcPr>
            <w:tcW w:w="450" w:type="dxa"/>
            <w:vMerge/>
          </w:tcPr>
          <w:p w14:paraId="5440C7EB" w14:textId="77777777" w:rsidR="006350FE" w:rsidRPr="00437F01" w:rsidRDefault="006350FE" w:rsidP="00695A7D">
            <w:pPr>
              <w:pStyle w:val="TableText"/>
              <w:spacing w:after="0"/>
              <w:rPr>
                <w:i/>
                <w:iCs/>
              </w:rPr>
            </w:pPr>
          </w:p>
        </w:tc>
        <w:tc>
          <w:tcPr>
            <w:tcW w:w="6030" w:type="dxa"/>
            <w:tcBorders>
              <w:top w:val="single" w:sz="4" w:space="0" w:color="auto"/>
              <w:bottom w:val="nil"/>
            </w:tcBorders>
          </w:tcPr>
          <w:p w14:paraId="544265F3" w14:textId="77777777" w:rsidR="006350FE" w:rsidRPr="00437F01" w:rsidRDefault="006350FE" w:rsidP="00695A7D">
            <w:pPr>
              <w:pStyle w:val="TableText"/>
              <w:spacing w:after="0"/>
              <w:rPr>
                <w:i/>
                <w:iCs/>
              </w:rPr>
            </w:pPr>
            <w:r w:rsidRPr="00437F01">
              <w:rPr>
                <w:i/>
                <w:iCs/>
              </w:rPr>
              <w:t xml:space="preserve">Number of Shares </w:t>
            </w:r>
            <w:r>
              <w:rPr>
                <w:i/>
                <w:iCs/>
              </w:rPr>
              <w:t>prior to</w:t>
            </w:r>
            <w:r w:rsidRPr="00437F01">
              <w:rPr>
                <w:i/>
                <w:iCs/>
              </w:rPr>
              <w:t xml:space="preserve"> the bonus issue</w:t>
            </w:r>
          </w:p>
        </w:tc>
      </w:tr>
      <w:tr w:rsidR="006350FE" w:rsidRPr="003D73C9" w14:paraId="4124F4D6" w14:textId="77777777" w:rsidTr="00695A7D">
        <w:trPr>
          <w:cantSplit/>
          <w:trHeight w:val="145"/>
        </w:trPr>
        <w:tc>
          <w:tcPr>
            <w:tcW w:w="1890" w:type="dxa"/>
          </w:tcPr>
          <w:p w14:paraId="560E970F" w14:textId="77777777" w:rsidR="006350FE" w:rsidRPr="00437F01" w:rsidRDefault="006350FE" w:rsidP="00695A7D">
            <w:pPr>
              <w:pStyle w:val="TableText"/>
              <w:spacing w:after="0"/>
              <w:rPr>
                <w:i/>
                <w:iCs/>
              </w:rPr>
            </w:pPr>
          </w:p>
        </w:tc>
        <w:tc>
          <w:tcPr>
            <w:tcW w:w="450" w:type="dxa"/>
            <w:tcBorders>
              <w:right w:val="nil"/>
            </w:tcBorders>
          </w:tcPr>
          <w:p w14:paraId="08C5F305" w14:textId="77777777" w:rsidR="006350FE" w:rsidRPr="00437F01" w:rsidRDefault="006350FE" w:rsidP="00695A7D">
            <w:pPr>
              <w:pStyle w:val="TableText"/>
              <w:spacing w:after="0"/>
              <w:rPr>
                <w:i/>
                <w:iCs/>
              </w:rPr>
            </w:pPr>
          </w:p>
        </w:tc>
        <w:tc>
          <w:tcPr>
            <w:tcW w:w="6030" w:type="dxa"/>
            <w:tcBorders>
              <w:top w:val="nil"/>
              <w:left w:val="nil"/>
              <w:bottom w:val="nil"/>
              <w:right w:val="nil"/>
            </w:tcBorders>
          </w:tcPr>
          <w:p w14:paraId="2D08AEC1" w14:textId="77777777" w:rsidR="006350FE" w:rsidRPr="00437F01" w:rsidRDefault="006350FE" w:rsidP="00695A7D">
            <w:pPr>
              <w:pStyle w:val="TableText"/>
              <w:spacing w:after="0"/>
              <w:rPr>
                <w:i/>
                <w:iCs/>
              </w:rPr>
            </w:pPr>
          </w:p>
        </w:tc>
      </w:tr>
    </w:tbl>
    <w:p w14:paraId="41D17D99" w14:textId="77777777" w:rsidR="006350FE" w:rsidRPr="00437F01" w:rsidRDefault="006350FE" w:rsidP="006350FE">
      <w:pPr>
        <w:pStyle w:val="BodyText"/>
        <w:ind w:left="720"/>
      </w:pPr>
      <w:r w:rsidRPr="00A50800">
        <w:rPr>
          <w:lang w:val="sv-SE"/>
        </w:rPr>
        <w:lastRenderedPageBreak/>
        <w:t>Vid omräkning enligt ovanstående form</w:t>
      </w:r>
      <w:r>
        <w:rPr>
          <w:lang w:val="sv-SE"/>
        </w:rPr>
        <w:t>ler</w:t>
      </w:r>
      <w:r w:rsidRPr="00A50800">
        <w:rPr>
          <w:lang w:val="sv-SE"/>
        </w:rPr>
        <w:t xml:space="preserve"> </w:t>
      </w:r>
      <w:r>
        <w:rPr>
          <w:lang w:val="sv-SE"/>
        </w:rPr>
        <w:t>ska</w:t>
      </w:r>
      <w:r w:rsidRPr="00A50800">
        <w:rPr>
          <w:lang w:val="sv-SE"/>
        </w:rPr>
        <w:t xml:space="preserve"> bortses från Aktier som innehas av Bolaget. Enligt ovan omräknad Teckningskurs och omräknat antal Aktier fastställs av Bolaget snarast möjligt efter bolagsstämmans beslut om fondemission, men tillämpas först efter avstämningsdagen för emissionen.</w:t>
      </w:r>
      <w:r w:rsidRPr="00A50800">
        <w:rPr>
          <w:lang w:val="sv-SE"/>
        </w:rPr>
        <w:br/>
      </w:r>
      <w:r w:rsidRPr="00437F01">
        <w:rPr>
          <w:i/>
        </w:rPr>
        <w:t>When recalculating in accordance with the above formula</w:t>
      </w:r>
      <w:r>
        <w:rPr>
          <w:i/>
        </w:rPr>
        <w:t>s</w:t>
      </w:r>
      <w:r w:rsidRPr="00437F01">
        <w:rPr>
          <w:i/>
        </w:rPr>
        <w:t xml:space="preserve">, any </w:t>
      </w:r>
      <w:r>
        <w:rPr>
          <w:i/>
        </w:rPr>
        <w:t>Share</w:t>
      </w:r>
      <w:r w:rsidRPr="00437F01">
        <w:rPr>
          <w:i/>
        </w:rPr>
        <w:t xml:space="preserve">s held by the Company shall be disregarded. The recalculated Subscription Price and number of Shares, recalculated in accordance with the above, shall be determined by the Company as soon as possible following the </w:t>
      </w:r>
      <w:r>
        <w:rPr>
          <w:i/>
        </w:rPr>
        <w:t>general meeting's</w:t>
      </w:r>
      <w:r w:rsidRPr="00437F01">
        <w:rPr>
          <w:i/>
        </w:rPr>
        <w:t xml:space="preserve"> resolution regarding the bonus issue, but will not be applied until after the record date for the issue.</w:t>
      </w:r>
    </w:p>
    <w:p w14:paraId="1CCC37D7" w14:textId="77777777" w:rsidR="006350FE" w:rsidRPr="00A50800" w:rsidRDefault="006350FE" w:rsidP="006350FE">
      <w:pPr>
        <w:pStyle w:val="BodyText"/>
        <w:numPr>
          <w:ilvl w:val="2"/>
          <w:numId w:val="55"/>
        </w:numPr>
        <w:spacing w:after="0"/>
        <w:rPr>
          <w:b/>
          <w:lang w:val="sv-SE"/>
        </w:rPr>
      </w:pPr>
      <w:r w:rsidRPr="00A50800">
        <w:rPr>
          <w:b/>
          <w:lang w:val="sv-SE"/>
        </w:rPr>
        <w:t>Sammanläggning eller uppdelning/</w:t>
      </w:r>
      <w:proofErr w:type="spellStart"/>
      <w:r w:rsidRPr="00A50800">
        <w:rPr>
          <w:b/>
          <w:i/>
          <w:lang w:val="sv-SE"/>
        </w:rPr>
        <w:t>Reverse</w:t>
      </w:r>
      <w:proofErr w:type="spellEnd"/>
      <w:r w:rsidRPr="00A50800">
        <w:rPr>
          <w:b/>
          <w:i/>
          <w:lang w:val="sv-SE"/>
        </w:rPr>
        <w:t xml:space="preserve"> split or split</w:t>
      </w:r>
    </w:p>
    <w:p w14:paraId="6187041A" w14:textId="77777777" w:rsidR="006350FE" w:rsidRPr="00437F01" w:rsidRDefault="006350FE" w:rsidP="006350FE">
      <w:pPr>
        <w:pStyle w:val="BodyText"/>
        <w:ind w:left="720"/>
      </w:pPr>
      <w:r w:rsidRPr="00A50800">
        <w:rPr>
          <w:lang w:val="sv-SE"/>
        </w:rPr>
        <w:t xml:space="preserve">Genomför Bolaget en </w:t>
      </w:r>
      <w:r w:rsidRPr="00A50800">
        <w:rPr>
          <w:u w:val="single"/>
          <w:lang w:val="sv-SE"/>
        </w:rPr>
        <w:t>sammanläggning eller uppdelning</w:t>
      </w:r>
      <w:r w:rsidRPr="00A50800">
        <w:rPr>
          <w:lang w:val="sv-SE"/>
        </w:rPr>
        <w:t xml:space="preserve"> av Aktier </w:t>
      </w:r>
      <w:r>
        <w:rPr>
          <w:lang w:val="sv-SE"/>
        </w:rPr>
        <w:t>ska</w:t>
      </w:r>
      <w:r w:rsidRPr="00A50800">
        <w:rPr>
          <w:lang w:val="sv-SE"/>
        </w:rPr>
        <w:t xml:space="preserve"> punkt </w:t>
      </w:r>
      <w:r>
        <w:fldChar w:fldCharType="begin"/>
      </w:r>
      <w:r>
        <w:rPr>
          <w:lang w:val="sv-SE"/>
        </w:rPr>
        <w:instrText xml:space="preserve"> REF _Ref419826047 \r \h </w:instrText>
      </w:r>
      <w:r>
        <w:fldChar w:fldCharType="separate"/>
      </w:r>
      <w:r>
        <w:rPr>
          <w:lang w:val="sv-SE"/>
        </w:rPr>
        <w:t>8.2.2</w:t>
      </w:r>
      <w:r>
        <w:fldChar w:fldCharType="end"/>
      </w:r>
      <w:r w:rsidRPr="003679A8">
        <w:rPr>
          <w:lang w:val="sv-SE"/>
        </w:rPr>
        <w:t xml:space="preserve"> </w:t>
      </w:r>
      <w:r w:rsidRPr="00A50800">
        <w:rPr>
          <w:lang w:val="sv-SE"/>
        </w:rPr>
        <w:t xml:space="preserve">ovan äga motsvarande tillämpning, varvid som avstämningsdag </w:t>
      </w:r>
      <w:r>
        <w:rPr>
          <w:lang w:val="sv-SE"/>
        </w:rPr>
        <w:t>ska</w:t>
      </w:r>
      <w:r w:rsidRPr="00A50800">
        <w:rPr>
          <w:lang w:val="sv-SE"/>
        </w:rPr>
        <w:t xml:space="preserve"> anses den dag då sammanläggning respektive uppdelning, på Bolagets begäran, sker hos Euroclear.</w:t>
      </w:r>
      <w:r w:rsidRPr="00A50800">
        <w:rPr>
          <w:lang w:val="sv-SE"/>
        </w:rPr>
        <w:br/>
      </w:r>
      <w:r w:rsidRPr="00437F01">
        <w:rPr>
          <w:i/>
        </w:rPr>
        <w:t xml:space="preserve">If the Company </w:t>
      </w:r>
      <w:r w:rsidRPr="006B6AC0">
        <w:rPr>
          <w:i/>
          <w:u w:val="single"/>
        </w:rPr>
        <w:t>c</w:t>
      </w:r>
      <w:r w:rsidRPr="00437F01">
        <w:rPr>
          <w:i/>
          <w:u w:val="single"/>
        </w:rPr>
        <w:t xml:space="preserve">arries out a reverse </w:t>
      </w:r>
      <w:r>
        <w:rPr>
          <w:i/>
          <w:u w:val="single"/>
        </w:rPr>
        <w:t>share</w:t>
      </w:r>
      <w:r w:rsidRPr="00437F01">
        <w:rPr>
          <w:i/>
          <w:u w:val="single"/>
        </w:rPr>
        <w:t xml:space="preserve"> split or a </w:t>
      </w:r>
      <w:r>
        <w:rPr>
          <w:i/>
          <w:u w:val="single"/>
        </w:rPr>
        <w:t>share</w:t>
      </w:r>
      <w:r w:rsidRPr="00437F01">
        <w:rPr>
          <w:i/>
          <w:u w:val="single"/>
        </w:rPr>
        <w:t xml:space="preserve"> split</w:t>
      </w:r>
      <w:r w:rsidRPr="00437F01">
        <w:rPr>
          <w:i/>
        </w:rPr>
        <w:t xml:space="preserve">, section </w:t>
      </w:r>
      <w:r>
        <w:rPr>
          <w:i/>
        </w:rPr>
        <w:fldChar w:fldCharType="begin"/>
      </w:r>
      <w:r>
        <w:rPr>
          <w:i/>
        </w:rPr>
        <w:instrText xml:space="preserve"> REF _Ref419826047 \r \h </w:instrText>
      </w:r>
      <w:r>
        <w:rPr>
          <w:i/>
        </w:rPr>
      </w:r>
      <w:r>
        <w:rPr>
          <w:i/>
        </w:rPr>
        <w:fldChar w:fldCharType="separate"/>
      </w:r>
      <w:r>
        <w:rPr>
          <w:i/>
        </w:rPr>
        <w:t>8.2.2</w:t>
      </w:r>
      <w:r>
        <w:rPr>
          <w:i/>
        </w:rPr>
        <w:fldChar w:fldCharType="end"/>
      </w:r>
      <w:r w:rsidRPr="00437F01">
        <w:rPr>
          <w:i/>
        </w:rPr>
        <w:t xml:space="preserve"> above shall apply correspondingly, whereby the record date shall be deemed to be the date on which the reverse </w:t>
      </w:r>
      <w:r>
        <w:rPr>
          <w:i/>
        </w:rPr>
        <w:t>share</w:t>
      </w:r>
      <w:r w:rsidRPr="00437F01">
        <w:rPr>
          <w:i/>
        </w:rPr>
        <w:t xml:space="preserve"> split or </w:t>
      </w:r>
      <w:r>
        <w:rPr>
          <w:i/>
        </w:rPr>
        <w:t>share</w:t>
      </w:r>
      <w:r w:rsidRPr="00437F01">
        <w:rPr>
          <w:i/>
        </w:rPr>
        <w:t xml:space="preserve"> split is effected by Euroclear upon request by the Company.</w:t>
      </w:r>
    </w:p>
    <w:p w14:paraId="13B540D9" w14:textId="77777777" w:rsidR="006350FE" w:rsidRPr="00437F01" w:rsidRDefault="006350FE" w:rsidP="006350FE">
      <w:pPr>
        <w:pStyle w:val="BodyText"/>
        <w:numPr>
          <w:ilvl w:val="2"/>
          <w:numId w:val="55"/>
        </w:numPr>
        <w:spacing w:after="0"/>
        <w:rPr>
          <w:b/>
        </w:rPr>
      </w:pPr>
      <w:proofErr w:type="spellStart"/>
      <w:r w:rsidRPr="006B6AC0">
        <w:rPr>
          <w:b/>
          <w:lang w:val="en-US"/>
        </w:rPr>
        <w:t>Nyemission</w:t>
      </w:r>
      <w:proofErr w:type="spellEnd"/>
      <w:r w:rsidRPr="006B6AC0">
        <w:rPr>
          <w:b/>
          <w:lang w:val="en-US"/>
        </w:rPr>
        <w:t xml:space="preserve"> med </w:t>
      </w:r>
      <w:proofErr w:type="spellStart"/>
      <w:r w:rsidRPr="006B6AC0">
        <w:rPr>
          <w:b/>
          <w:lang w:val="en-US"/>
        </w:rPr>
        <w:t>företrädesrätt</w:t>
      </w:r>
      <w:proofErr w:type="spellEnd"/>
      <w:r w:rsidRPr="00437F01">
        <w:rPr>
          <w:b/>
        </w:rPr>
        <w:t>/</w:t>
      </w:r>
      <w:r w:rsidRPr="00437F01">
        <w:rPr>
          <w:b/>
          <w:i/>
        </w:rPr>
        <w:t xml:space="preserve">New </w:t>
      </w:r>
      <w:r>
        <w:rPr>
          <w:b/>
          <w:i/>
        </w:rPr>
        <w:t>Share</w:t>
      </w:r>
      <w:r w:rsidRPr="00437F01">
        <w:rPr>
          <w:b/>
          <w:i/>
        </w:rPr>
        <w:t xml:space="preserve"> issue in accordance with the shareholders' priority rights</w:t>
      </w:r>
    </w:p>
    <w:p w14:paraId="2B8591C9" w14:textId="77777777" w:rsidR="006350FE" w:rsidRPr="00437F01" w:rsidRDefault="006350FE" w:rsidP="006350FE">
      <w:pPr>
        <w:pStyle w:val="BodyText"/>
        <w:ind w:left="720"/>
      </w:pPr>
      <w:proofErr w:type="spellStart"/>
      <w:r w:rsidRPr="006B6AC0">
        <w:rPr>
          <w:lang w:val="en-US"/>
        </w:rPr>
        <w:t>Genomför</w:t>
      </w:r>
      <w:proofErr w:type="spellEnd"/>
      <w:r w:rsidRPr="006B6AC0">
        <w:rPr>
          <w:lang w:val="en-US"/>
        </w:rPr>
        <w:t xml:space="preserve"> </w:t>
      </w:r>
      <w:proofErr w:type="spellStart"/>
      <w:r w:rsidRPr="006B6AC0">
        <w:rPr>
          <w:lang w:val="en-US"/>
        </w:rPr>
        <w:t>Bolaget</w:t>
      </w:r>
      <w:proofErr w:type="spellEnd"/>
      <w:r w:rsidRPr="006B6AC0">
        <w:rPr>
          <w:lang w:val="en-US"/>
        </w:rPr>
        <w:t xml:space="preserve"> </w:t>
      </w:r>
      <w:proofErr w:type="spellStart"/>
      <w:r w:rsidRPr="006B6AC0">
        <w:rPr>
          <w:lang w:val="en-US"/>
        </w:rPr>
        <w:t>en</w:t>
      </w:r>
      <w:proofErr w:type="spellEnd"/>
      <w:r w:rsidRPr="006B6AC0">
        <w:rPr>
          <w:lang w:val="en-US"/>
        </w:rPr>
        <w:t xml:space="preserve"> </w:t>
      </w:r>
      <w:proofErr w:type="spellStart"/>
      <w:r w:rsidRPr="006B6AC0">
        <w:rPr>
          <w:u w:val="single"/>
          <w:lang w:val="en-US"/>
        </w:rPr>
        <w:t>nyemission</w:t>
      </w:r>
      <w:proofErr w:type="spellEnd"/>
      <w:r w:rsidRPr="006B6AC0">
        <w:rPr>
          <w:lang w:val="en-US"/>
        </w:rPr>
        <w:t xml:space="preserve"> – med </w:t>
      </w:r>
      <w:proofErr w:type="spellStart"/>
      <w:r w:rsidRPr="006B6AC0">
        <w:rPr>
          <w:lang w:val="en-US"/>
        </w:rPr>
        <w:t>företrädesrätt</w:t>
      </w:r>
      <w:proofErr w:type="spellEnd"/>
      <w:r w:rsidRPr="006B6AC0">
        <w:rPr>
          <w:lang w:val="en-US"/>
        </w:rPr>
        <w:t xml:space="preserve"> för </w:t>
      </w:r>
      <w:proofErr w:type="spellStart"/>
      <w:r w:rsidRPr="006B6AC0">
        <w:rPr>
          <w:lang w:val="en-US"/>
        </w:rPr>
        <w:t>aktieägarna</w:t>
      </w:r>
      <w:proofErr w:type="spellEnd"/>
      <w:r w:rsidRPr="006B6AC0">
        <w:rPr>
          <w:lang w:val="en-US"/>
        </w:rPr>
        <w:t xml:space="preserve"> </w:t>
      </w:r>
      <w:proofErr w:type="spellStart"/>
      <w:r w:rsidRPr="006B6AC0">
        <w:rPr>
          <w:lang w:val="en-US"/>
        </w:rPr>
        <w:t>att</w:t>
      </w:r>
      <w:proofErr w:type="spellEnd"/>
      <w:r w:rsidRPr="006B6AC0">
        <w:rPr>
          <w:lang w:val="en-US"/>
        </w:rPr>
        <w:t xml:space="preserve"> </w:t>
      </w:r>
      <w:proofErr w:type="spellStart"/>
      <w:r w:rsidRPr="006B6AC0">
        <w:rPr>
          <w:lang w:val="en-US"/>
        </w:rPr>
        <w:t>teckna</w:t>
      </w:r>
      <w:proofErr w:type="spellEnd"/>
      <w:r w:rsidRPr="006B6AC0">
        <w:rPr>
          <w:lang w:val="en-US"/>
        </w:rPr>
        <w:t xml:space="preserve"> </w:t>
      </w:r>
      <w:proofErr w:type="spellStart"/>
      <w:r w:rsidRPr="006B6AC0">
        <w:rPr>
          <w:lang w:val="en-US"/>
        </w:rPr>
        <w:t>nya</w:t>
      </w:r>
      <w:proofErr w:type="spellEnd"/>
      <w:r w:rsidRPr="006B6AC0">
        <w:rPr>
          <w:lang w:val="en-US"/>
        </w:rPr>
        <w:t xml:space="preserve"> </w:t>
      </w:r>
      <w:proofErr w:type="spellStart"/>
      <w:r w:rsidRPr="006B6AC0">
        <w:rPr>
          <w:lang w:val="en-US"/>
        </w:rPr>
        <w:t>Aktier</w:t>
      </w:r>
      <w:proofErr w:type="spellEnd"/>
      <w:r w:rsidRPr="006B6AC0">
        <w:rPr>
          <w:lang w:val="en-US"/>
        </w:rPr>
        <w:t xml:space="preserve"> mot </w:t>
      </w:r>
      <w:proofErr w:type="spellStart"/>
      <w:r w:rsidRPr="006B6AC0">
        <w:rPr>
          <w:lang w:val="en-US"/>
        </w:rPr>
        <w:t>kontant</w:t>
      </w:r>
      <w:proofErr w:type="spellEnd"/>
      <w:r w:rsidRPr="006B6AC0">
        <w:rPr>
          <w:lang w:val="en-US"/>
        </w:rPr>
        <w:t xml:space="preserve"> </w:t>
      </w:r>
      <w:proofErr w:type="spellStart"/>
      <w:r w:rsidRPr="006B6AC0">
        <w:rPr>
          <w:lang w:val="en-US"/>
        </w:rPr>
        <w:t>betalning</w:t>
      </w:r>
      <w:proofErr w:type="spellEnd"/>
      <w:r w:rsidRPr="006B6AC0">
        <w:rPr>
          <w:lang w:val="en-US"/>
        </w:rPr>
        <w:t xml:space="preserve"> </w:t>
      </w:r>
      <w:proofErr w:type="spellStart"/>
      <w:r w:rsidRPr="006B6AC0">
        <w:rPr>
          <w:lang w:val="en-US"/>
        </w:rPr>
        <w:t>eller</w:t>
      </w:r>
      <w:proofErr w:type="spellEnd"/>
      <w:r w:rsidRPr="006B6AC0">
        <w:rPr>
          <w:lang w:val="en-US"/>
        </w:rPr>
        <w:t xml:space="preserve"> </w:t>
      </w:r>
      <w:proofErr w:type="spellStart"/>
      <w:r w:rsidRPr="006B6AC0">
        <w:rPr>
          <w:lang w:val="en-US"/>
        </w:rPr>
        <w:t>kvittning</w:t>
      </w:r>
      <w:proofErr w:type="spellEnd"/>
      <w:r w:rsidRPr="006B6AC0">
        <w:rPr>
          <w:lang w:val="en-US"/>
        </w:rPr>
        <w:t xml:space="preserve"> – 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 xml:space="preserve"> </w:t>
      </w:r>
      <w:proofErr w:type="spellStart"/>
      <w:r w:rsidRPr="006B6AC0">
        <w:rPr>
          <w:lang w:val="en-US"/>
        </w:rPr>
        <w:t>beträffande</w:t>
      </w:r>
      <w:proofErr w:type="spellEnd"/>
      <w:r w:rsidRPr="006B6AC0">
        <w:rPr>
          <w:lang w:val="en-US"/>
        </w:rPr>
        <w:t xml:space="preserve"> </w:t>
      </w:r>
      <w:proofErr w:type="spellStart"/>
      <w:r w:rsidRPr="006B6AC0">
        <w:rPr>
          <w:lang w:val="en-US"/>
        </w:rPr>
        <w:t>rätten</w:t>
      </w:r>
      <w:proofErr w:type="spellEnd"/>
      <w:r w:rsidRPr="006B6AC0">
        <w:rPr>
          <w:lang w:val="en-US"/>
        </w:rPr>
        <w:t xml:space="preserve"> till </w:t>
      </w:r>
      <w:proofErr w:type="spellStart"/>
      <w:r w:rsidRPr="006B6AC0">
        <w:rPr>
          <w:lang w:val="en-US"/>
        </w:rPr>
        <w:t>deltagande</w:t>
      </w:r>
      <w:proofErr w:type="spellEnd"/>
      <w:r w:rsidRPr="006B6AC0">
        <w:rPr>
          <w:lang w:val="en-US"/>
        </w:rPr>
        <w:t xml:space="preserve"> </w:t>
      </w:r>
      <w:proofErr w:type="spellStart"/>
      <w:r w:rsidRPr="006B6AC0">
        <w:rPr>
          <w:lang w:val="en-US"/>
        </w:rPr>
        <w:t>i</w:t>
      </w:r>
      <w:proofErr w:type="spellEnd"/>
      <w:r w:rsidRPr="006B6AC0">
        <w:rPr>
          <w:lang w:val="en-US"/>
        </w:rPr>
        <w:t xml:space="preserve"> </w:t>
      </w:r>
      <w:proofErr w:type="spellStart"/>
      <w:r w:rsidRPr="006B6AC0">
        <w:rPr>
          <w:lang w:val="en-US"/>
        </w:rPr>
        <w:t>emissionen</w:t>
      </w:r>
      <w:proofErr w:type="spellEnd"/>
      <w:r w:rsidRPr="006B6AC0">
        <w:rPr>
          <w:lang w:val="en-US"/>
        </w:rPr>
        <w:t xml:space="preserve"> för </w:t>
      </w:r>
      <w:proofErr w:type="spellStart"/>
      <w:r w:rsidRPr="006B6AC0">
        <w:rPr>
          <w:lang w:val="en-US"/>
        </w:rPr>
        <w:t>Aktie</w:t>
      </w:r>
      <w:proofErr w:type="spellEnd"/>
      <w:r w:rsidRPr="006B6AC0">
        <w:rPr>
          <w:lang w:val="en-US"/>
        </w:rPr>
        <w:t xml:space="preserve"> </w:t>
      </w:r>
      <w:proofErr w:type="spellStart"/>
      <w:r w:rsidRPr="006B6AC0">
        <w:rPr>
          <w:lang w:val="en-US"/>
        </w:rPr>
        <w:t>som</w:t>
      </w:r>
      <w:proofErr w:type="spellEnd"/>
      <w:r w:rsidRPr="006B6AC0">
        <w:rPr>
          <w:lang w:val="en-US"/>
        </w:rPr>
        <w:t xml:space="preserve"> </w:t>
      </w:r>
      <w:proofErr w:type="spellStart"/>
      <w:r w:rsidRPr="006B6AC0">
        <w:rPr>
          <w:lang w:val="en-US"/>
        </w:rPr>
        <w:t>tillkommit</w:t>
      </w:r>
      <w:proofErr w:type="spellEnd"/>
      <w:r w:rsidRPr="006B6AC0">
        <w:rPr>
          <w:lang w:val="en-US"/>
        </w:rPr>
        <w:t xml:space="preserve"> </w:t>
      </w:r>
      <w:proofErr w:type="spellStart"/>
      <w:r w:rsidRPr="006B6AC0">
        <w:rPr>
          <w:lang w:val="en-US"/>
        </w:rPr>
        <w:t>på</w:t>
      </w:r>
      <w:proofErr w:type="spellEnd"/>
      <w:r w:rsidRPr="006B6AC0">
        <w:rPr>
          <w:lang w:val="en-US"/>
        </w:rPr>
        <w:t xml:space="preserve"> </w:t>
      </w:r>
      <w:proofErr w:type="spellStart"/>
      <w:r w:rsidRPr="006B6AC0">
        <w:rPr>
          <w:lang w:val="en-US"/>
        </w:rPr>
        <w:t>grund</w:t>
      </w:r>
      <w:proofErr w:type="spellEnd"/>
      <w:r w:rsidRPr="006B6AC0">
        <w:rPr>
          <w:lang w:val="en-US"/>
        </w:rPr>
        <w:t xml:space="preserve"> av </w:t>
      </w:r>
      <w:proofErr w:type="spellStart"/>
      <w:r w:rsidRPr="006B6AC0">
        <w:rPr>
          <w:lang w:val="en-US"/>
        </w:rPr>
        <w:t>Teckning</w:t>
      </w:r>
      <w:proofErr w:type="spellEnd"/>
      <w:r w:rsidRPr="006B6AC0">
        <w:rPr>
          <w:lang w:val="en-US"/>
        </w:rPr>
        <w:t xml:space="preserve"> med </w:t>
      </w:r>
      <w:proofErr w:type="spellStart"/>
      <w:r w:rsidRPr="006B6AC0">
        <w:rPr>
          <w:lang w:val="en-US"/>
        </w:rPr>
        <w:t>utnyttjande</w:t>
      </w:r>
      <w:proofErr w:type="spellEnd"/>
      <w:r w:rsidRPr="006B6AC0">
        <w:rPr>
          <w:lang w:val="en-US"/>
        </w:rPr>
        <w:t xml:space="preserve"> av </w:t>
      </w:r>
      <w:proofErr w:type="spellStart"/>
      <w:r w:rsidRPr="006B6AC0">
        <w:rPr>
          <w:lang w:val="en-US"/>
        </w:rPr>
        <w:t>Teckningsoption</w:t>
      </w:r>
      <w:proofErr w:type="spellEnd"/>
      <w:r w:rsidRPr="006B6AC0">
        <w:rPr>
          <w:lang w:val="en-US"/>
        </w:rPr>
        <w:t>:</w:t>
      </w:r>
      <w:r w:rsidRPr="00437F01">
        <w:br/>
      </w:r>
      <w:r w:rsidRPr="00437F01">
        <w:rPr>
          <w:i/>
        </w:rPr>
        <w:t xml:space="preserve">In the event the Company carries out a </w:t>
      </w:r>
      <w:r w:rsidRPr="00437F01">
        <w:rPr>
          <w:i/>
          <w:u w:val="single"/>
        </w:rPr>
        <w:t xml:space="preserve">new issue of </w:t>
      </w:r>
      <w:r>
        <w:rPr>
          <w:i/>
          <w:u w:val="single"/>
        </w:rPr>
        <w:t>Share</w:t>
      </w:r>
      <w:r w:rsidRPr="00437F01">
        <w:rPr>
          <w:i/>
          <w:u w:val="single"/>
        </w:rPr>
        <w:t>s</w:t>
      </w:r>
      <w:r w:rsidRPr="00437F01">
        <w:rPr>
          <w:i/>
        </w:rPr>
        <w:t xml:space="preserve"> – with </w:t>
      </w:r>
      <w:r>
        <w:rPr>
          <w:i/>
        </w:rPr>
        <w:t>preferential</w:t>
      </w:r>
      <w:r w:rsidRPr="00437F01">
        <w:rPr>
          <w:i/>
        </w:rPr>
        <w:t xml:space="preserve"> rights for shareholders to </w:t>
      </w:r>
      <w:r>
        <w:rPr>
          <w:i/>
        </w:rPr>
        <w:t>s</w:t>
      </w:r>
      <w:r w:rsidRPr="00437F01">
        <w:rPr>
          <w:i/>
        </w:rPr>
        <w:t>ubscribe for new Shares in exchange for cash payment or payment through set-off of claims – the following shall apply with respect to the right to participate in the issue for Shares which are issued as a consequence of the Subscription through exercise of Warrants:</w:t>
      </w:r>
    </w:p>
    <w:p w14:paraId="3E369467" w14:textId="77777777" w:rsidR="006350FE" w:rsidRPr="00437F01" w:rsidRDefault="006350FE" w:rsidP="006350FE">
      <w:pPr>
        <w:pStyle w:val="BodyText"/>
        <w:numPr>
          <w:ilvl w:val="4"/>
          <w:numId w:val="55"/>
        </w:numPr>
      </w:pPr>
      <w:r w:rsidRPr="00A50800">
        <w:rPr>
          <w:lang w:val="sv-SE"/>
        </w:rPr>
        <w:t xml:space="preserve">Om Bolagets Aktier vid tidpunkten för emissionen inte är föremål för marknadsnotering, </w:t>
      </w:r>
      <w:r>
        <w:rPr>
          <w:lang w:val="sv-SE"/>
        </w:rPr>
        <w:t>ska</w:t>
      </w:r>
      <w:r w:rsidRPr="00A50800">
        <w:rPr>
          <w:lang w:val="sv-SE"/>
        </w:rPr>
        <w:t xml:space="preserve"> omräkning ske, dels av Teckningskursen, dels av det antal Aktier som varje Teckningsoption ger rätt att teckna i enlighet med denna punkt </w:t>
      </w:r>
      <w:r>
        <w:rPr>
          <w:lang w:val="sv-SE"/>
        </w:rPr>
        <w:fldChar w:fldCharType="begin"/>
      </w:r>
      <w:r>
        <w:rPr>
          <w:lang w:val="sv-SE"/>
        </w:rPr>
        <w:instrText xml:space="preserve"> REF _Ref445997720 \r \h </w:instrText>
      </w:r>
      <w:r>
        <w:rPr>
          <w:lang w:val="sv-SE"/>
        </w:rPr>
      </w:r>
      <w:r>
        <w:rPr>
          <w:lang w:val="sv-SE"/>
        </w:rPr>
        <w:fldChar w:fldCharType="separate"/>
      </w:r>
      <w:r>
        <w:rPr>
          <w:lang w:val="sv-SE"/>
        </w:rPr>
        <w:t>8.2.4</w:t>
      </w:r>
      <w:r>
        <w:rPr>
          <w:lang w:val="sv-SE"/>
        </w:rPr>
        <w:fldChar w:fldCharType="end"/>
      </w:r>
      <w:r w:rsidRPr="00A50800">
        <w:rPr>
          <w:lang w:val="sv-SE"/>
        </w:rPr>
        <w:t xml:space="preserve"> angivna principer. Omräkningen</w:t>
      </w:r>
      <w:r>
        <w:rPr>
          <w:lang w:val="sv-SE"/>
        </w:rPr>
        <w:t xml:space="preserve"> ska</w:t>
      </w:r>
      <w:r w:rsidRPr="00A50800">
        <w:rPr>
          <w:lang w:val="sv-SE"/>
        </w:rPr>
        <w:t xml:space="preserve"> utföras av Bolaget</w:t>
      </w:r>
      <w:r>
        <w:rPr>
          <w:lang w:val="sv-SE"/>
        </w:rPr>
        <w:t xml:space="preserve"> och ska</w:t>
      </w:r>
      <w:r w:rsidRPr="00A50800">
        <w:rPr>
          <w:lang w:val="sv-SE"/>
        </w:rPr>
        <w:t xml:space="preserve"> ha som utgångspunkt att värdet på Teckningsoptionerna </w:t>
      </w:r>
      <w:r>
        <w:rPr>
          <w:lang w:val="sv-SE"/>
        </w:rPr>
        <w:t>ska</w:t>
      </w:r>
      <w:r w:rsidRPr="00A50800">
        <w:rPr>
          <w:lang w:val="sv-SE"/>
        </w:rPr>
        <w:t xml:space="preserve"> lämnas oförändrat.</w:t>
      </w:r>
      <w:r w:rsidRPr="00A50800">
        <w:rPr>
          <w:lang w:val="sv-SE"/>
        </w:rPr>
        <w:br/>
      </w:r>
      <w:r>
        <w:rPr>
          <w:i/>
        </w:rPr>
        <w:t xml:space="preserve">If </w:t>
      </w:r>
      <w:r w:rsidRPr="00437F01">
        <w:rPr>
          <w:i/>
        </w:rPr>
        <w:t xml:space="preserve">the Company's Shares </w:t>
      </w:r>
      <w:r>
        <w:rPr>
          <w:i/>
        </w:rPr>
        <w:t>are not</w:t>
      </w:r>
      <w:r w:rsidRPr="00437F01">
        <w:rPr>
          <w:i/>
        </w:rPr>
        <w:t xml:space="preserve"> listed</w:t>
      </w:r>
      <w:r>
        <w:rPr>
          <w:i/>
        </w:rPr>
        <w:t xml:space="preserve"> </w:t>
      </w:r>
      <w:r w:rsidRPr="00437F01">
        <w:rPr>
          <w:i/>
        </w:rPr>
        <w:t xml:space="preserve">at the time of the issuance, a recalculation of the Subscription Price and the number of Shares each Warrant entitles to subscribe for shall be adjusted in accordance with the principles set forth in this section </w:t>
      </w:r>
      <w:r>
        <w:rPr>
          <w:i/>
        </w:rPr>
        <w:fldChar w:fldCharType="begin"/>
      </w:r>
      <w:r>
        <w:rPr>
          <w:i/>
        </w:rPr>
        <w:instrText xml:space="preserve"> REF _Ref445997720 \r \h </w:instrText>
      </w:r>
      <w:r>
        <w:rPr>
          <w:i/>
        </w:rPr>
      </w:r>
      <w:r>
        <w:rPr>
          <w:i/>
        </w:rPr>
        <w:fldChar w:fldCharType="separate"/>
      </w:r>
      <w:r>
        <w:rPr>
          <w:i/>
        </w:rPr>
        <w:t>8.2.4</w:t>
      </w:r>
      <w:r>
        <w:rPr>
          <w:i/>
        </w:rPr>
        <w:fldChar w:fldCharType="end"/>
      </w:r>
      <w:r w:rsidRPr="00437F01">
        <w:rPr>
          <w:i/>
        </w:rPr>
        <w:t>. The recalculation shall be made by the Company and shall be made on the basis that the value of the Warrants shall remain unchanged.</w:t>
      </w:r>
    </w:p>
    <w:p w14:paraId="4EE7F8BA" w14:textId="77777777" w:rsidR="006350FE" w:rsidRPr="00B61BC0" w:rsidRDefault="006350FE" w:rsidP="006350FE">
      <w:pPr>
        <w:pStyle w:val="BodyText"/>
        <w:numPr>
          <w:ilvl w:val="4"/>
          <w:numId w:val="55"/>
        </w:numPr>
      </w:pPr>
      <w:r w:rsidRPr="006B6AC0">
        <w:rPr>
          <w:lang w:val="en-US"/>
        </w:rPr>
        <w:t xml:space="preserve">Om </w:t>
      </w:r>
      <w:proofErr w:type="spellStart"/>
      <w:r w:rsidRPr="006B6AC0">
        <w:rPr>
          <w:lang w:val="en-US"/>
        </w:rPr>
        <w:t>Bolagets</w:t>
      </w:r>
      <w:proofErr w:type="spellEnd"/>
      <w:r w:rsidRPr="006B6AC0">
        <w:rPr>
          <w:lang w:val="en-US"/>
        </w:rPr>
        <w:t xml:space="preserve"> </w:t>
      </w:r>
      <w:proofErr w:type="spellStart"/>
      <w:r w:rsidRPr="006B6AC0">
        <w:rPr>
          <w:lang w:val="en-US"/>
        </w:rPr>
        <w:t>Aktier</w:t>
      </w:r>
      <w:proofErr w:type="spellEnd"/>
      <w:r w:rsidRPr="006B6AC0">
        <w:rPr>
          <w:lang w:val="en-US"/>
        </w:rPr>
        <w:t xml:space="preserve"> vid </w:t>
      </w:r>
      <w:proofErr w:type="spellStart"/>
      <w:r w:rsidRPr="006B6AC0">
        <w:rPr>
          <w:lang w:val="en-US"/>
        </w:rPr>
        <w:t>tidpunkten</w:t>
      </w:r>
      <w:proofErr w:type="spellEnd"/>
      <w:r w:rsidRPr="006B6AC0">
        <w:rPr>
          <w:lang w:val="en-US"/>
        </w:rPr>
        <w:t xml:space="preserve"> för </w:t>
      </w:r>
      <w:proofErr w:type="spellStart"/>
      <w:r w:rsidRPr="006B6AC0">
        <w:rPr>
          <w:lang w:val="en-US"/>
        </w:rPr>
        <w:t>emissionen</w:t>
      </w:r>
      <w:proofErr w:type="spellEnd"/>
      <w:r w:rsidRPr="006B6AC0">
        <w:rPr>
          <w:lang w:val="en-US"/>
        </w:rPr>
        <w:t xml:space="preserve"> </w:t>
      </w:r>
      <w:proofErr w:type="spellStart"/>
      <w:r w:rsidRPr="006B6AC0">
        <w:rPr>
          <w:lang w:val="en-US"/>
        </w:rPr>
        <w:t>är</w:t>
      </w:r>
      <w:proofErr w:type="spellEnd"/>
      <w:r w:rsidRPr="006B6AC0">
        <w:rPr>
          <w:lang w:val="en-US"/>
        </w:rPr>
        <w:t xml:space="preserve"> </w:t>
      </w:r>
      <w:proofErr w:type="spellStart"/>
      <w:r w:rsidRPr="006B6AC0">
        <w:rPr>
          <w:lang w:val="en-US"/>
        </w:rPr>
        <w:t>föremål</w:t>
      </w:r>
      <w:proofErr w:type="spellEnd"/>
      <w:r w:rsidRPr="006B6AC0">
        <w:rPr>
          <w:lang w:val="en-US"/>
        </w:rPr>
        <w:t xml:space="preserve"> för </w:t>
      </w:r>
      <w:proofErr w:type="spellStart"/>
      <w:r w:rsidRPr="006B6AC0">
        <w:rPr>
          <w:lang w:val="en-US"/>
        </w:rPr>
        <w:t>marknadsnotering</w:t>
      </w:r>
      <w:proofErr w:type="spellEnd"/>
      <w:r w:rsidRPr="006B6AC0">
        <w:rPr>
          <w:lang w:val="en-US"/>
        </w:rPr>
        <w:t xml:space="preserve">, 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 xml:space="preserve"> </w:t>
      </w:r>
      <w:proofErr w:type="spellStart"/>
      <w:r w:rsidRPr="006B6AC0">
        <w:rPr>
          <w:lang w:val="en-US"/>
        </w:rPr>
        <w:t>beträffande</w:t>
      </w:r>
      <w:proofErr w:type="spellEnd"/>
      <w:r w:rsidRPr="006B6AC0">
        <w:rPr>
          <w:lang w:val="en-US"/>
        </w:rPr>
        <w:t xml:space="preserve"> </w:t>
      </w:r>
      <w:proofErr w:type="spellStart"/>
      <w:r w:rsidRPr="006B6AC0">
        <w:rPr>
          <w:lang w:val="en-US"/>
        </w:rPr>
        <w:t>rätten</w:t>
      </w:r>
      <w:proofErr w:type="spellEnd"/>
      <w:r w:rsidRPr="006B6AC0">
        <w:rPr>
          <w:lang w:val="en-US"/>
        </w:rPr>
        <w:t xml:space="preserve"> </w:t>
      </w:r>
      <w:proofErr w:type="spellStart"/>
      <w:r w:rsidRPr="006B6AC0">
        <w:rPr>
          <w:lang w:val="en-US"/>
        </w:rPr>
        <w:t>att</w:t>
      </w:r>
      <w:proofErr w:type="spellEnd"/>
      <w:r w:rsidRPr="006B6AC0">
        <w:rPr>
          <w:lang w:val="en-US"/>
        </w:rPr>
        <w:t xml:space="preserve"> delta </w:t>
      </w:r>
      <w:proofErr w:type="spellStart"/>
      <w:r w:rsidRPr="006B6AC0">
        <w:rPr>
          <w:lang w:val="en-US"/>
        </w:rPr>
        <w:t>i</w:t>
      </w:r>
      <w:proofErr w:type="spellEnd"/>
      <w:r w:rsidRPr="006B6AC0">
        <w:rPr>
          <w:lang w:val="en-US"/>
        </w:rPr>
        <w:t xml:space="preserve"> </w:t>
      </w:r>
      <w:proofErr w:type="spellStart"/>
      <w:r w:rsidRPr="006B6AC0">
        <w:rPr>
          <w:lang w:val="en-US"/>
        </w:rPr>
        <w:t>emissionen</w:t>
      </w:r>
      <w:proofErr w:type="spellEnd"/>
      <w:r w:rsidRPr="006B6AC0">
        <w:rPr>
          <w:lang w:val="en-US"/>
        </w:rPr>
        <w:t>:</w:t>
      </w:r>
      <w:r w:rsidRPr="00B61BC0">
        <w:br/>
      </w:r>
      <w:r>
        <w:rPr>
          <w:i/>
        </w:rPr>
        <w:t xml:space="preserve">If the </w:t>
      </w:r>
      <w:r w:rsidRPr="00B61BC0">
        <w:rPr>
          <w:i/>
        </w:rPr>
        <w:t xml:space="preserve">Company's Shares </w:t>
      </w:r>
      <w:r>
        <w:rPr>
          <w:i/>
        </w:rPr>
        <w:t xml:space="preserve">are </w:t>
      </w:r>
      <w:r w:rsidRPr="00B61BC0">
        <w:rPr>
          <w:i/>
        </w:rPr>
        <w:t>listed at the time of the issuance, the following shall apply with respect to the rights to participate in the new issue:</w:t>
      </w:r>
    </w:p>
    <w:p w14:paraId="343DD216" w14:textId="77777777" w:rsidR="006350FE" w:rsidRPr="00437F01" w:rsidRDefault="006350FE" w:rsidP="006350FE">
      <w:pPr>
        <w:pStyle w:val="BodyText"/>
        <w:numPr>
          <w:ilvl w:val="5"/>
          <w:numId w:val="55"/>
        </w:numPr>
      </w:pPr>
      <w:r w:rsidRPr="00B61BC0">
        <w:rPr>
          <w:lang w:val="sv-SE"/>
        </w:rPr>
        <w:t xml:space="preserve">Beslutas emissionen av styrelsen under förutsättning av bolagsstämmans godkännande eller med stöd av bolagsstämmans bemyndigande, </w:t>
      </w:r>
      <w:r>
        <w:rPr>
          <w:lang w:val="sv-SE"/>
        </w:rPr>
        <w:t>ska</w:t>
      </w:r>
      <w:r w:rsidRPr="00B61BC0">
        <w:rPr>
          <w:lang w:val="sv-SE"/>
        </w:rPr>
        <w:t xml:space="preserve"> i beslutet anges den senaste dag då Teckning </w:t>
      </w:r>
      <w:r>
        <w:rPr>
          <w:lang w:val="sv-SE"/>
        </w:rPr>
        <w:t>ska</w:t>
      </w:r>
      <w:r w:rsidRPr="00B61BC0">
        <w:rPr>
          <w:lang w:val="sv-SE"/>
        </w:rPr>
        <w:t xml:space="preserve"> vara verkställd för att Aktie, som tillkommit genom Teckning, </w:t>
      </w:r>
      <w:r>
        <w:rPr>
          <w:lang w:val="sv-SE"/>
        </w:rPr>
        <w:t>ska</w:t>
      </w:r>
      <w:r w:rsidRPr="00B61BC0">
        <w:rPr>
          <w:lang w:val="sv-SE"/>
        </w:rPr>
        <w:t xml:space="preserve"> medföra rätt att delta i emissionen. Sådan dag får inte infalla tidigare än tionde kalenderdagen efter </w:t>
      </w:r>
      <w:proofErr w:type="spellStart"/>
      <w:r w:rsidRPr="00B61BC0">
        <w:rPr>
          <w:lang w:val="sv-SE"/>
        </w:rPr>
        <w:t>emissionsbeslutet</w:t>
      </w:r>
      <w:proofErr w:type="spellEnd"/>
      <w:r w:rsidRPr="00B61BC0">
        <w:rPr>
          <w:lang w:val="sv-SE"/>
        </w:rPr>
        <w:t>.</w:t>
      </w:r>
      <w:r w:rsidRPr="00B61BC0">
        <w:rPr>
          <w:lang w:val="sv-SE"/>
        </w:rPr>
        <w:br/>
      </w:r>
      <w:r w:rsidRPr="00B61BC0">
        <w:rPr>
          <w:i/>
        </w:rPr>
        <w:t xml:space="preserve">Where the board of directors resolves to issue Shares subject to approval by the </w:t>
      </w:r>
      <w:r>
        <w:rPr>
          <w:i/>
        </w:rPr>
        <w:t>general meeting</w:t>
      </w:r>
      <w:r w:rsidRPr="00B61BC0">
        <w:rPr>
          <w:i/>
        </w:rPr>
        <w:t xml:space="preserve"> or in accordance with an authorization by the </w:t>
      </w:r>
      <w:r>
        <w:rPr>
          <w:i/>
        </w:rPr>
        <w:t>general meeting</w:t>
      </w:r>
      <w:r w:rsidRPr="00B61BC0">
        <w:rPr>
          <w:i/>
        </w:rPr>
        <w:t xml:space="preserve">, the resolution to issue Shares shall set forth the last date on which Subscription through the exercise of Warrants shall be executed in order for Shares, which is issued as a consequence of </w:t>
      </w:r>
      <w:r w:rsidRPr="00B61BC0">
        <w:rPr>
          <w:i/>
        </w:rPr>
        <w:lastRenderedPageBreak/>
        <w:t>Subscription, shall entitle the Warrant Holders to participate in the issue. Such date may not be earlier than ten calendar days following the resolution to issue Shares.</w:t>
      </w:r>
    </w:p>
    <w:p w14:paraId="42B159A7" w14:textId="77777777" w:rsidR="006350FE" w:rsidRPr="00437F01" w:rsidRDefault="006350FE" w:rsidP="006350FE">
      <w:pPr>
        <w:pStyle w:val="BodyText"/>
        <w:numPr>
          <w:ilvl w:val="5"/>
          <w:numId w:val="55"/>
        </w:numPr>
      </w:pPr>
      <w:r w:rsidRPr="00A50800">
        <w:rPr>
          <w:lang w:val="sv-SE"/>
        </w:rPr>
        <w:t xml:space="preserve">Beslutas emissionen av bolagsstämman, </w:t>
      </w:r>
      <w:r>
        <w:rPr>
          <w:lang w:val="sv-SE"/>
        </w:rPr>
        <w:t>ska</w:t>
      </w:r>
      <w:r w:rsidRPr="00A50800">
        <w:rPr>
          <w:lang w:val="sv-SE"/>
        </w:rPr>
        <w:t xml:space="preserve"> Teckning – som påkallas på sådan tid att Teckningen inte kan verkställas senast på tionde kalenderdagen före den bolagsstämma som beslutar om emissionen – verkställas först sedan Bolaget verkställt omräkning enligt de</w:t>
      </w:r>
      <w:r>
        <w:rPr>
          <w:lang w:val="sv-SE"/>
        </w:rPr>
        <w:t>nn</w:t>
      </w:r>
      <w:r w:rsidRPr="00A50800">
        <w:rPr>
          <w:lang w:val="sv-SE"/>
        </w:rPr>
        <w:t xml:space="preserve">a punkt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Aktie, som tillkommit på grund av sådan Teckning, registreras interimistiskt på avstämningskonto, vilket innebär att de inte har rätt att delta i emissionen.</w:t>
      </w:r>
      <w:r w:rsidRPr="00A50800">
        <w:rPr>
          <w:lang w:val="sv-SE"/>
        </w:rPr>
        <w:br/>
      </w:r>
      <w:r w:rsidRPr="00437F01">
        <w:rPr>
          <w:i/>
        </w:rPr>
        <w:t xml:space="preserve">Where the </w:t>
      </w:r>
      <w:r>
        <w:rPr>
          <w:i/>
        </w:rPr>
        <w:t>general meeting</w:t>
      </w:r>
      <w:r w:rsidRPr="00437F01">
        <w:rPr>
          <w:i/>
        </w:rPr>
        <w:t xml:space="preserve"> ha</w:t>
      </w:r>
      <w:r>
        <w:rPr>
          <w:i/>
        </w:rPr>
        <w:t>s</w:t>
      </w:r>
      <w:r w:rsidRPr="00437F01">
        <w:rPr>
          <w:i/>
        </w:rPr>
        <w:t xml:space="preserve"> resolved upon the issue, the Subscription – for which notice for Subscription is made at such time that it cannot be effected on or before the tenth calendar day prior to the </w:t>
      </w:r>
      <w:r>
        <w:rPr>
          <w:i/>
        </w:rPr>
        <w:t>general</w:t>
      </w:r>
      <w:r w:rsidRPr="00437F01">
        <w:rPr>
          <w:i/>
        </w:rPr>
        <w:t xml:space="preserve"> meeting which decides upon the issue – shall be effected only after the Company has effected recalculation in accordance with this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Shares which are issued </w:t>
      </w:r>
      <w:proofErr w:type="gramStart"/>
      <w:r w:rsidRPr="00437F01">
        <w:rPr>
          <w:i/>
        </w:rPr>
        <w:t>as a consequence of</w:t>
      </w:r>
      <w:proofErr w:type="gramEnd"/>
      <w:r w:rsidRPr="00437F01">
        <w:rPr>
          <w:i/>
        </w:rPr>
        <w:t xml:space="preserve"> such Subscription shall be registered on an interim basis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ry account and shall not entitle to participation in the issue.</w:t>
      </w:r>
    </w:p>
    <w:p w14:paraId="28C93655" w14:textId="77777777" w:rsidR="006350FE" w:rsidRPr="00437F01" w:rsidRDefault="006350FE" w:rsidP="006350FE">
      <w:pPr>
        <w:pStyle w:val="BodyText"/>
        <w:ind w:left="720"/>
      </w:pPr>
      <w:r w:rsidRPr="00A50800">
        <w:rPr>
          <w:lang w:val="sv-SE"/>
        </w:rPr>
        <w:t xml:space="preserve">Vid Teckning som verkställts på sådan tid att rätt till deltagande i nyemissionen inte uppkommer tillämpas en omräknad Teckningskurs liksom en omräkning av det antal Aktier som varje Teckningsoption berättigar till Teckning av. </w:t>
      </w:r>
      <w:proofErr w:type="spellStart"/>
      <w:r w:rsidRPr="00437F01">
        <w:t>Omräkningarna</w:t>
      </w:r>
      <w:proofErr w:type="spellEnd"/>
      <w:r w:rsidRPr="00437F01">
        <w:t xml:space="preserve"> </w:t>
      </w:r>
      <w:proofErr w:type="spellStart"/>
      <w:r w:rsidRPr="00437F01">
        <w:t>utför</w:t>
      </w:r>
      <w:r>
        <w:t>s</w:t>
      </w:r>
      <w:proofErr w:type="spellEnd"/>
      <w:r w:rsidRPr="00437F01">
        <w:t xml:space="preserve"> </w:t>
      </w:r>
      <w:proofErr w:type="spellStart"/>
      <w:r w:rsidRPr="00437F01">
        <w:t>av</w:t>
      </w:r>
      <w:proofErr w:type="spellEnd"/>
      <w:r w:rsidRPr="00437F01">
        <w:t xml:space="preserve"> </w:t>
      </w:r>
      <w:proofErr w:type="spellStart"/>
      <w:r w:rsidRPr="00437F01">
        <w:t>Bolaget</w:t>
      </w:r>
      <w:proofErr w:type="spellEnd"/>
      <w:r w:rsidRPr="00437F01">
        <w:t xml:space="preserve"> </w:t>
      </w:r>
      <w:proofErr w:type="spellStart"/>
      <w:r w:rsidRPr="00437F01">
        <w:t>enligt</w:t>
      </w:r>
      <w:proofErr w:type="spellEnd"/>
      <w:r w:rsidRPr="00437F01">
        <w:t xml:space="preserve"> </w:t>
      </w:r>
      <w:proofErr w:type="spellStart"/>
      <w:r w:rsidRPr="00437F01">
        <w:t>nedan</w:t>
      </w:r>
      <w:proofErr w:type="spellEnd"/>
      <w:r w:rsidRPr="00437F01">
        <w:t>:</w:t>
      </w:r>
      <w:r w:rsidRPr="00437F01">
        <w:br/>
      </w:r>
      <w:r w:rsidRPr="00437F01">
        <w:rPr>
          <w:i/>
        </w:rPr>
        <w:t>Where Subscription is made at such time that no right to participate in the new issue arises, a recalculated Subscription Price as well as a recalculated number of Shares which each Warrant entitles to subscribe for shall apply. Recalculations shall be made by the Company in accordance with the following formulas:</w:t>
      </w:r>
    </w:p>
    <w:tbl>
      <w:tblPr>
        <w:tblW w:w="8370" w:type="dxa"/>
        <w:tblInd w:w="630" w:type="dxa"/>
        <w:tblLook w:val="04A0" w:firstRow="1" w:lastRow="0" w:firstColumn="1" w:lastColumn="0" w:noHBand="0" w:noVBand="1"/>
      </w:tblPr>
      <w:tblGrid>
        <w:gridCol w:w="2125"/>
        <w:gridCol w:w="574"/>
        <w:gridCol w:w="5664"/>
        <w:gridCol w:w="7"/>
      </w:tblGrid>
      <w:tr w:rsidR="006350FE" w:rsidRPr="00D00630" w14:paraId="4B498CE4" w14:textId="77777777" w:rsidTr="00695A7D">
        <w:trPr>
          <w:gridAfter w:val="1"/>
          <w:wAfter w:w="7" w:type="dxa"/>
          <w:cantSplit/>
          <w:trHeight w:val="675"/>
        </w:trPr>
        <w:tc>
          <w:tcPr>
            <w:tcW w:w="2126" w:type="dxa"/>
            <w:vMerge w:val="restart"/>
            <w:vAlign w:val="center"/>
          </w:tcPr>
          <w:p w14:paraId="4A362C7A" w14:textId="77777777" w:rsidR="006350FE" w:rsidRPr="006B6AC0" w:rsidRDefault="006350FE" w:rsidP="00695A7D">
            <w:pPr>
              <w:pStyle w:val="TableText"/>
              <w:spacing w:after="0"/>
              <w:rPr>
                <w:lang w:val="sv-SE"/>
              </w:rPr>
            </w:pPr>
            <w:r w:rsidRPr="006B6AC0">
              <w:rPr>
                <w:lang w:val="sv-SE"/>
              </w:rPr>
              <w:t>Omräknad</w:t>
            </w:r>
            <w:r w:rsidRPr="006B6AC0">
              <w:rPr>
                <w:lang w:val="sv-SE"/>
              </w:rPr>
              <w:br/>
              <w:t>Teckningskurs</w:t>
            </w:r>
          </w:p>
        </w:tc>
        <w:tc>
          <w:tcPr>
            <w:tcW w:w="574" w:type="dxa"/>
            <w:vMerge w:val="restart"/>
            <w:vAlign w:val="center"/>
          </w:tcPr>
          <w:p w14:paraId="1B5516BE" w14:textId="77777777" w:rsidR="006350FE" w:rsidRPr="00437F01" w:rsidRDefault="006350FE" w:rsidP="00695A7D">
            <w:pPr>
              <w:pStyle w:val="TableText"/>
              <w:spacing w:after="0"/>
              <w:jc w:val="center"/>
            </w:pPr>
            <w:r w:rsidRPr="00437F01">
              <w:t>=</w:t>
            </w:r>
          </w:p>
        </w:tc>
        <w:tc>
          <w:tcPr>
            <w:tcW w:w="5663" w:type="dxa"/>
            <w:tcBorders>
              <w:bottom w:val="single" w:sz="4" w:space="0" w:color="auto"/>
            </w:tcBorders>
          </w:tcPr>
          <w:p w14:paraId="2A56495F" w14:textId="77777777" w:rsidR="006350FE" w:rsidRPr="00A50800" w:rsidRDefault="006350F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w:t>
            </w:r>
            <w:r>
              <w:rPr>
                <w:lang w:val="sv-SE"/>
              </w:rPr>
              <w:t>Aktie</w:t>
            </w:r>
            <w:r w:rsidRPr="00A50800">
              <w:rPr>
                <w:lang w:val="sv-SE"/>
              </w:rPr>
              <w:t xml:space="preserve">ns genomsnittliga aktiekurs under den i </w:t>
            </w:r>
            <w:proofErr w:type="spellStart"/>
            <w:r w:rsidRPr="00A50800">
              <w:rPr>
                <w:lang w:val="sv-SE"/>
              </w:rPr>
              <w:t>emissionsbeslutet</w:t>
            </w:r>
            <w:proofErr w:type="spellEnd"/>
            <w:r w:rsidRPr="00A50800">
              <w:rPr>
                <w:lang w:val="sv-SE"/>
              </w:rPr>
              <w:t xml:space="preserve"> fastställda </w:t>
            </w:r>
            <w:r>
              <w:rPr>
                <w:lang w:val="sv-SE"/>
              </w:rPr>
              <w:t>t</w:t>
            </w:r>
            <w:r w:rsidRPr="00A50800">
              <w:rPr>
                <w:lang w:val="sv-SE"/>
              </w:rPr>
              <w:t>eckningstiden (</w:t>
            </w:r>
            <w:r>
              <w:rPr>
                <w:lang w:val="sv-SE"/>
              </w:rPr>
              <w:t>Aktie</w:t>
            </w:r>
            <w:r w:rsidRPr="00A50800">
              <w:rPr>
                <w:lang w:val="sv-SE"/>
              </w:rPr>
              <w:t>ns genomsnittskurs)</w:t>
            </w:r>
          </w:p>
        </w:tc>
      </w:tr>
      <w:tr w:rsidR="006350FE" w:rsidRPr="00D00630" w14:paraId="3DEAFAF5" w14:textId="77777777" w:rsidTr="00695A7D">
        <w:trPr>
          <w:gridAfter w:val="1"/>
          <w:wAfter w:w="7" w:type="dxa"/>
          <w:cantSplit/>
        </w:trPr>
        <w:tc>
          <w:tcPr>
            <w:tcW w:w="2126" w:type="dxa"/>
            <w:vMerge/>
          </w:tcPr>
          <w:p w14:paraId="5FAED653" w14:textId="77777777" w:rsidR="006350FE" w:rsidRPr="00A50800" w:rsidRDefault="006350FE" w:rsidP="00695A7D">
            <w:pPr>
              <w:pStyle w:val="TableText"/>
              <w:spacing w:after="0"/>
              <w:rPr>
                <w:lang w:val="sv-SE"/>
              </w:rPr>
            </w:pPr>
          </w:p>
        </w:tc>
        <w:tc>
          <w:tcPr>
            <w:tcW w:w="574" w:type="dxa"/>
            <w:vMerge/>
            <w:vAlign w:val="center"/>
          </w:tcPr>
          <w:p w14:paraId="516123A4" w14:textId="77777777" w:rsidR="006350FE" w:rsidRPr="00A50800" w:rsidRDefault="006350FE" w:rsidP="00695A7D">
            <w:pPr>
              <w:pStyle w:val="TableText"/>
              <w:spacing w:after="0"/>
              <w:jc w:val="center"/>
              <w:rPr>
                <w:lang w:val="sv-SE"/>
              </w:rPr>
            </w:pPr>
          </w:p>
        </w:tc>
        <w:tc>
          <w:tcPr>
            <w:tcW w:w="5663" w:type="dxa"/>
            <w:tcBorders>
              <w:top w:val="single" w:sz="4" w:space="0" w:color="auto"/>
            </w:tcBorders>
          </w:tcPr>
          <w:p w14:paraId="16A11D3A" w14:textId="77777777" w:rsidR="006350FE" w:rsidRPr="00A50800" w:rsidRDefault="006350FE" w:rsidP="00695A7D">
            <w:pPr>
              <w:pStyle w:val="TableText"/>
              <w:spacing w:after="0"/>
              <w:rPr>
                <w:lang w:val="sv-SE"/>
              </w:rPr>
            </w:pPr>
            <w:r w:rsidRPr="00A50800">
              <w:rPr>
                <w:lang w:val="sv-SE"/>
              </w:rPr>
              <w:t>Aktiens genomsnittskurs ökad med det på grundval därav framräknade teoretiska värdet på teckningsrätten</w:t>
            </w:r>
          </w:p>
        </w:tc>
      </w:tr>
      <w:tr w:rsidR="006350FE" w:rsidRPr="00D00630" w14:paraId="6CAA291E" w14:textId="77777777" w:rsidTr="00695A7D">
        <w:trPr>
          <w:cantSplit/>
        </w:trPr>
        <w:tc>
          <w:tcPr>
            <w:tcW w:w="2126" w:type="dxa"/>
            <w:vAlign w:val="center"/>
          </w:tcPr>
          <w:p w14:paraId="7AAA6E61" w14:textId="77777777" w:rsidR="006350FE" w:rsidRPr="00A50800" w:rsidRDefault="006350FE" w:rsidP="00695A7D">
            <w:pPr>
              <w:pStyle w:val="TableText"/>
              <w:spacing w:after="0"/>
              <w:rPr>
                <w:i/>
                <w:lang w:val="sv-SE"/>
              </w:rPr>
            </w:pPr>
          </w:p>
        </w:tc>
        <w:tc>
          <w:tcPr>
            <w:tcW w:w="574" w:type="dxa"/>
            <w:vAlign w:val="center"/>
          </w:tcPr>
          <w:p w14:paraId="77597639" w14:textId="77777777" w:rsidR="006350FE" w:rsidRPr="00A50800" w:rsidRDefault="006350FE" w:rsidP="00695A7D">
            <w:pPr>
              <w:pStyle w:val="TableText"/>
              <w:spacing w:after="0"/>
              <w:jc w:val="center"/>
              <w:rPr>
                <w:lang w:val="sv-SE"/>
              </w:rPr>
            </w:pPr>
          </w:p>
        </w:tc>
        <w:tc>
          <w:tcPr>
            <w:tcW w:w="5670" w:type="dxa"/>
            <w:gridSpan w:val="2"/>
          </w:tcPr>
          <w:p w14:paraId="3E1953A1" w14:textId="77777777" w:rsidR="006350FE" w:rsidRPr="00A50800" w:rsidRDefault="006350FE" w:rsidP="00695A7D">
            <w:pPr>
              <w:pStyle w:val="TableText"/>
              <w:spacing w:after="0"/>
              <w:rPr>
                <w:lang w:val="sv-SE"/>
              </w:rPr>
            </w:pPr>
          </w:p>
        </w:tc>
      </w:tr>
      <w:tr w:rsidR="006350FE" w:rsidRPr="00D00630" w14:paraId="0D06A270" w14:textId="77777777" w:rsidTr="00695A7D">
        <w:trPr>
          <w:gridAfter w:val="1"/>
          <w:wAfter w:w="7" w:type="dxa"/>
          <w:cantSplit/>
        </w:trPr>
        <w:tc>
          <w:tcPr>
            <w:tcW w:w="2126" w:type="dxa"/>
            <w:vMerge w:val="restart"/>
            <w:vAlign w:val="center"/>
          </w:tcPr>
          <w:p w14:paraId="56F857BD" w14:textId="77777777" w:rsidR="006350FE" w:rsidRPr="00A50800" w:rsidRDefault="006350FE" w:rsidP="00695A7D">
            <w:pPr>
              <w:pStyle w:val="TableText"/>
              <w:spacing w:after="0"/>
              <w:rPr>
                <w:lang w:val="sv-SE"/>
              </w:rPr>
            </w:pPr>
            <w:r w:rsidRPr="00A50800">
              <w:rPr>
                <w:lang w:val="sv-SE"/>
              </w:rPr>
              <w:t>Omräknat antal Aktier som varje Teckningsoption berättigar till Teckning av</w:t>
            </w:r>
          </w:p>
        </w:tc>
        <w:tc>
          <w:tcPr>
            <w:tcW w:w="574" w:type="dxa"/>
            <w:vMerge w:val="restart"/>
            <w:vAlign w:val="center"/>
          </w:tcPr>
          <w:p w14:paraId="104AC09C" w14:textId="77777777" w:rsidR="006350FE" w:rsidRPr="00437F01" w:rsidRDefault="006350FE" w:rsidP="00695A7D">
            <w:pPr>
              <w:pStyle w:val="TableText"/>
              <w:spacing w:after="0"/>
              <w:jc w:val="center"/>
              <w:rPr>
                <w:highlight w:val="magenta"/>
              </w:rPr>
            </w:pPr>
            <w:r w:rsidRPr="00437F01">
              <w:t>=</w:t>
            </w:r>
          </w:p>
        </w:tc>
        <w:tc>
          <w:tcPr>
            <w:tcW w:w="5663" w:type="dxa"/>
            <w:tcBorders>
              <w:bottom w:val="single" w:sz="4" w:space="0" w:color="auto"/>
            </w:tcBorders>
          </w:tcPr>
          <w:p w14:paraId="1ECBD712" w14:textId="77777777" w:rsidR="006350FE" w:rsidRPr="00A50800" w:rsidRDefault="006350F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det på grundval därav framräknade teoretiska värdet på teckningsrätten)</w:t>
            </w:r>
          </w:p>
        </w:tc>
      </w:tr>
      <w:tr w:rsidR="006350FE" w:rsidRPr="00437F01" w14:paraId="6F437588" w14:textId="77777777" w:rsidTr="00695A7D">
        <w:trPr>
          <w:gridAfter w:val="1"/>
          <w:wAfter w:w="7" w:type="dxa"/>
          <w:cantSplit/>
        </w:trPr>
        <w:tc>
          <w:tcPr>
            <w:tcW w:w="2126" w:type="dxa"/>
            <w:vMerge/>
          </w:tcPr>
          <w:p w14:paraId="52924E72" w14:textId="77777777" w:rsidR="006350FE" w:rsidRPr="00A50800" w:rsidRDefault="006350FE" w:rsidP="00695A7D">
            <w:pPr>
              <w:pStyle w:val="TableText"/>
              <w:spacing w:after="0"/>
              <w:rPr>
                <w:lang w:val="sv-SE"/>
              </w:rPr>
            </w:pPr>
          </w:p>
        </w:tc>
        <w:tc>
          <w:tcPr>
            <w:tcW w:w="574" w:type="dxa"/>
            <w:vMerge/>
            <w:vAlign w:val="center"/>
          </w:tcPr>
          <w:p w14:paraId="51D84840" w14:textId="77777777" w:rsidR="006350FE" w:rsidRPr="00A50800" w:rsidRDefault="006350FE" w:rsidP="00695A7D">
            <w:pPr>
              <w:pStyle w:val="TableText"/>
              <w:spacing w:after="0"/>
              <w:jc w:val="center"/>
              <w:rPr>
                <w:lang w:val="sv-SE"/>
              </w:rPr>
            </w:pPr>
          </w:p>
        </w:tc>
        <w:tc>
          <w:tcPr>
            <w:tcW w:w="5663" w:type="dxa"/>
          </w:tcPr>
          <w:p w14:paraId="71589B1C" w14:textId="77777777" w:rsidR="006350FE" w:rsidRPr="006B6AC0" w:rsidRDefault="006350FE" w:rsidP="00695A7D">
            <w:pPr>
              <w:pStyle w:val="TableText"/>
              <w:spacing w:after="0"/>
              <w:rPr>
                <w:lang w:val="sv-SE"/>
              </w:rPr>
            </w:pPr>
            <w:r w:rsidRPr="006B6AC0">
              <w:rPr>
                <w:lang w:val="sv-SE"/>
              </w:rPr>
              <w:t>Aktiens genomsnittskurs</w:t>
            </w:r>
          </w:p>
        </w:tc>
      </w:tr>
      <w:tr w:rsidR="006350FE" w:rsidRPr="003D73C9" w14:paraId="55CC5BDD" w14:textId="77777777" w:rsidTr="00695A7D">
        <w:trPr>
          <w:gridAfter w:val="1"/>
          <w:wAfter w:w="7" w:type="dxa"/>
          <w:cantSplit/>
        </w:trPr>
        <w:tc>
          <w:tcPr>
            <w:tcW w:w="2126" w:type="dxa"/>
            <w:vMerge w:val="restart"/>
            <w:vAlign w:val="center"/>
          </w:tcPr>
          <w:p w14:paraId="0A00E60F" w14:textId="77777777" w:rsidR="006350FE" w:rsidRPr="00437F01" w:rsidRDefault="006350FE" w:rsidP="00695A7D">
            <w:pPr>
              <w:pStyle w:val="TableText"/>
              <w:spacing w:after="0"/>
            </w:pPr>
            <w:r w:rsidRPr="00437F01">
              <w:rPr>
                <w:i/>
              </w:rPr>
              <w:t>Recalculated Subscription Price</w:t>
            </w:r>
          </w:p>
        </w:tc>
        <w:tc>
          <w:tcPr>
            <w:tcW w:w="574" w:type="dxa"/>
            <w:vMerge w:val="restart"/>
            <w:vAlign w:val="center"/>
          </w:tcPr>
          <w:p w14:paraId="5F868678" w14:textId="77777777" w:rsidR="006350FE" w:rsidRPr="00437F01" w:rsidRDefault="006350FE" w:rsidP="00695A7D">
            <w:pPr>
              <w:pStyle w:val="TableText"/>
              <w:spacing w:after="0"/>
              <w:jc w:val="center"/>
            </w:pPr>
            <w:r w:rsidRPr="00437F01">
              <w:t>=</w:t>
            </w:r>
          </w:p>
        </w:tc>
        <w:tc>
          <w:tcPr>
            <w:tcW w:w="5663" w:type="dxa"/>
            <w:tcBorders>
              <w:bottom w:val="single" w:sz="4" w:space="0" w:color="auto"/>
            </w:tcBorders>
          </w:tcPr>
          <w:p w14:paraId="46E18C33" w14:textId="77777777" w:rsidR="006350FE" w:rsidRPr="00437F01" w:rsidRDefault="006350FE" w:rsidP="00695A7D">
            <w:pPr>
              <w:pStyle w:val="TableText"/>
              <w:spacing w:after="0"/>
            </w:pPr>
            <w:r w:rsidRPr="00437F01">
              <w:rPr>
                <w:i/>
              </w:rPr>
              <w:t xml:space="preserve">The Subscription Price x the average share price of the Share during the </w:t>
            </w:r>
            <w:r>
              <w:rPr>
                <w:i/>
              </w:rPr>
              <w:t>s</w:t>
            </w:r>
            <w:r w:rsidRPr="00437F01">
              <w:rPr>
                <w:i/>
              </w:rPr>
              <w:t xml:space="preserve">ubscription </w:t>
            </w:r>
            <w:r>
              <w:rPr>
                <w:i/>
              </w:rPr>
              <w:t>p</w:t>
            </w:r>
            <w:r w:rsidRPr="00437F01">
              <w:rPr>
                <w:i/>
              </w:rPr>
              <w:t>eriod set forth in the issue resolution</w:t>
            </w:r>
            <w:r>
              <w:rPr>
                <w:i/>
              </w:rPr>
              <w:t xml:space="preserve"> </w:t>
            </w:r>
            <w:r w:rsidRPr="00437F01">
              <w:rPr>
                <w:i/>
              </w:rPr>
              <w:t>(average price of Share)</w:t>
            </w:r>
          </w:p>
        </w:tc>
      </w:tr>
      <w:tr w:rsidR="006350FE" w:rsidRPr="003D73C9" w14:paraId="33D6BAD2" w14:textId="77777777" w:rsidTr="00695A7D">
        <w:trPr>
          <w:gridAfter w:val="1"/>
          <w:wAfter w:w="7" w:type="dxa"/>
          <w:cantSplit/>
        </w:trPr>
        <w:tc>
          <w:tcPr>
            <w:tcW w:w="2126" w:type="dxa"/>
            <w:vMerge/>
          </w:tcPr>
          <w:p w14:paraId="1BED173C" w14:textId="77777777" w:rsidR="006350FE" w:rsidRPr="00437F01" w:rsidRDefault="006350FE" w:rsidP="00695A7D">
            <w:pPr>
              <w:pStyle w:val="TableText"/>
              <w:spacing w:after="0"/>
            </w:pPr>
          </w:p>
        </w:tc>
        <w:tc>
          <w:tcPr>
            <w:tcW w:w="574" w:type="dxa"/>
            <w:vMerge/>
            <w:vAlign w:val="center"/>
          </w:tcPr>
          <w:p w14:paraId="71A12C7D" w14:textId="77777777" w:rsidR="006350FE" w:rsidRPr="00437F01" w:rsidRDefault="006350FE" w:rsidP="00695A7D">
            <w:pPr>
              <w:pStyle w:val="TableText"/>
              <w:spacing w:after="0"/>
              <w:jc w:val="center"/>
            </w:pPr>
          </w:p>
        </w:tc>
        <w:tc>
          <w:tcPr>
            <w:tcW w:w="5663" w:type="dxa"/>
            <w:tcBorders>
              <w:top w:val="single" w:sz="4" w:space="0" w:color="auto"/>
            </w:tcBorders>
          </w:tcPr>
          <w:p w14:paraId="4F34B37E" w14:textId="77777777" w:rsidR="006350FE" w:rsidRPr="00437F01" w:rsidRDefault="006350FE" w:rsidP="00695A7D">
            <w:pPr>
              <w:pStyle w:val="TableText"/>
              <w:spacing w:after="0"/>
            </w:pPr>
            <w:r w:rsidRPr="00437F01">
              <w:rPr>
                <w:i/>
              </w:rPr>
              <w:t>The average price of Share increased by the theoretical value of the subscription right calculated on the basis thereof</w:t>
            </w:r>
          </w:p>
        </w:tc>
      </w:tr>
      <w:tr w:rsidR="006350FE" w:rsidRPr="003D73C9" w14:paraId="03BEDD81" w14:textId="77777777" w:rsidTr="00695A7D">
        <w:trPr>
          <w:cantSplit/>
        </w:trPr>
        <w:tc>
          <w:tcPr>
            <w:tcW w:w="2126" w:type="dxa"/>
            <w:vAlign w:val="center"/>
          </w:tcPr>
          <w:p w14:paraId="4FC9E028" w14:textId="77777777" w:rsidR="006350FE" w:rsidRPr="00437F01" w:rsidRDefault="006350FE" w:rsidP="00695A7D">
            <w:pPr>
              <w:pStyle w:val="TableText"/>
              <w:spacing w:after="0"/>
              <w:rPr>
                <w:i/>
              </w:rPr>
            </w:pPr>
          </w:p>
        </w:tc>
        <w:tc>
          <w:tcPr>
            <w:tcW w:w="574" w:type="dxa"/>
            <w:vAlign w:val="center"/>
          </w:tcPr>
          <w:p w14:paraId="0EA93E85" w14:textId="77777777" w:rsidR="006350FE" w:rsidRPr="00437F01" w:rsidRDefault="006350FE" w:rsidP="00695A7D">
            <w:pPr>
              <w:pStyle w:val="TableText"/>
              <w:spacing w:after="0"/>
              <w:jc w:val="center"/>
            </w:pPr>
          </w:p>
        </w:tc>
        <w:tc>
          <w:tcPr>
            <w:tcW w:w="5670" w:type="dxa"/>
            <w:gridSpan w:val="2"/>
          </w:tcPr>
          <w:p w14:paraId="0DD01B95" w14:textId="77777777" w:rsidR="006350FE" w:rsidRPr="00437F01" w:rsidRDefault="006350FE" w:rsidP="00695A7D">
            <w:pPr>
              <w:pStyle w:val="TableText"/>
              <w:spacing w:after="0"/>
            </w:pPr>
          </w:p>
        </w:tc>
      </w:tr>
      <w:tr w:rsidR="006350FE" w:rsidRPr="003D73C9" w14:paraId="02274631" w14:textId="77777777" w:rsidTr="00695A7D">
        <w:trPr>
          <w:cantSplit/>
        </w:trPr>
        <w:tc>
          <w:tcPr>
            <w:tcW w:w="2126" w:type="dxa"/>
            <w:vMerge w:val="restart"/>
            <w:vAlign w:val="center"/>
          </w:tcPr>
          <w:p w14:paraId="4C443E15" w14:textId="77777777" w:rsidR="006350FE" w:rsidRPr="00437F01" w:rsidRDefault="006350FE" w:rsidP="00695A7D">
            <w:pPr>
              <w:pStyle w:val="TableText"/>
              <w:spacing w:after="0"/>
            </w:pPr>
            <w:r w:rsidRPr="00437F01">
              <w:rPr>
                <w:i/>
              </w:rPr>
              <w:t>Recalculated number of Shares that each Warrant entitles to Subscribe for</w:t>
            </w:r>
          </w:p>
        </w:tc>
        <w:tc>
          <w:tcPr>
            <w:tcW w:w="574" w:type="dxa"/>
            <w:vMerge w:val="restart"/>
            <w:vAlign w:val="center"/>
          </w:tcPr>
          <w:p w14:paraId="710E8983" w14:textId="77777777" w:rsidR="006350FE" w:rsidRPr="00437F01" w:rsidRDefault="006350FE" w:rsidP="00695A7D">
            <w:pPr>
              <w:pStyle w:val="TableText"/>
              <w:spacing w:after="0"/>
              <w:jc w:val="center"/>
            </w:pPr>
            <w:r w:rsidRPr="00437F01">
              <w:t>=</w:t>
            </w:r>
          </w:p>
        </w:tc>
        <w:tc>
          <w:tcPr>
            <w:tcW w:w="5670" w:type="dxa"/>
            <w:gridSpan w:val="2"/>
            <w:tcBorders>
              <w:bottom w:val="single" w:sz="4" w:space="0" w:color="auto"/>
            </w:tcBorders>
          </w:tcPr>
          <w:p w14:paraId="55BE5748" w14:textId="77777777" w:rsidR="006350FE" w:rsidRPr="00437F01" w:rsidRDefault="006350FE" w:rsidP="00695A7D">
            <w:pPr>
              <w:pStyle w:val="TableText"/>
              <w:spacing w:after="0"/>
            </w:pPr>
            <w:r w:rsidRPr="00437F01">
              <w:rPr>
                <w:i/>
              </w:rPr>
              <w:t>The previous number of Shares that each Warrant entitled to subscribe for x (the average price of Share increased by the theoretical value of the subscription right calculated on the basis thereof)</w:t>
            </w:r>
          </w:p>
        </w:tc>
      </w:tr>
      <w:tr w:rsidR="006350FE" w:rsidRPr="003D73C9" w14:paraId="73DA9199" w14:textId="77777777" w:rsidTr="00695A7D">
        <w:trPr>
          <w:cantSplit/>
        </w:trPr>
        <w:tc>
          <w:tcPr>
            <w:tcW w:w="2126" w:type="dxa"/>
            <w:vMerge/>
          </w:tcPr>
          <w:p w14:paraId="37BC81E5" w14:textId="77777777" w:rsidR="006350FE" w:rsidRPr="00437F01" w:rsidRDefault="006350FE" w:rsidP="00695A7D">
            <w:pPr>
              <w:pStyle w:val="TableText"/>
              <w:spacing w:after="0"/>
            </w:pPr>
          </w:p>
        </w:tc>
        <w:tc>
          <w:tcPr>
            <w:tcW w:w="574" w:type="dxa"/>
            <w:vMerge/>
          </w:tcPr>
          <w:p w14:paraId="55CFFB98" w14:textId="77777777" w:rsidR="006350FE" w:rsidRPr="00437F01" w:rsidRDefault="006350FE" w:rsidP="00695A7D">
            <w:pPr>
              <w:pStyle w:val="TableText"/>
              <w:spacing w:after="0"/>
            </w:pPr>
          </w:p>
        </w:tc>
        <w:tc>
          <w:tcPr>
            <w:tcW w:w="5670" w:type="dxa"/>
            <w:gridSpan w:val="2"/>
          </w:tcPr>
          <w:p w14:paraId="26F3D90D" w14:textId="77777777" w:rsidR="006350FE" w:rsidRPr="00437F01" w:rsidRDefault="006350FE" w:rsidP="00695A7D">
            <w:pPr>
              <w:pStyle w:val="TableText"/>
              <w:spacing w:after="0"/>
            </w:pPr>
            <w:r w:rsidRPr="00437F01">
              <w:rPr>
                <w:i/>
              </w:rPr>
              <w:t>The average price of Share</w:t>
            </w:r>
          </w:p>
        </w:tc>
      </w:tr>
      <w:tr w:rsidR="006350FE" w:rsidRPr="003D73C9" w14:paraId="11465D8F" w14:textId="77777777" w:rsidTr="00695A7D">
        <w:trPr>
          <w:gridAfter w:val="1"/>
          <w:wAfter w:w="7" w:type="dxa"/>
          <w:cantSplit/>
        </w:trPr>
        <w:tc>
          <w:tcPr>
            <w:tcW w:w="2126" w:type="dxa"/>
          </w:tcPr>
          <w:p w14:paraId="23109E88" w14:textId="77777777" w:rsidR="006350FE" w:rsidRPr="00437F01" w:rsidRDefault="006350FE" w:rsidP="00695A7D">
            <w:pPr>
              <w:pStyle w:val="TableText"/>
              <w:spacing w:after="0"/>
            </w:pPr>
          </w:p>
        </w:tc>
        <w:tc>
          <w:tcPr>
            <w:tcW w:w="574" w:type="dxa"/>
          </w:tcPr>
          <w:p w14:paraId="4F9E9C4D" w14:textId="77777777" w:rsidR="006350FE" w:rsidRPr="00437F01" w:rsidRDefault="006350FE" w:rsidP="00695A7D">
            <w:pPr>
              <w:pStyle w:val="TableText"/>
              <w:spacing w:after="0"/>
            </w:pPr>
          </w:p>
        </w:tc>
        <w:tc>
          <w:tcPr>
            <w:tcW w:w="5670" w:type="dxa"/>
          </w:tcPr>
          <w:p w14:paraId="12DF0819" w14:textId="77777777" w:rsidR="006350FE" w:rsidRPr="00437F01" w:rsidRDefault="006350FE" w:rsidP="00695A7D">
            <w:pPr>
              <w:pStyle w:val="TableText"/>
              <w:spacing w:after="0"/>
              <w:rPr>
                <w:i/>
              </w:rPr>
            </w:pPr>
          </w:p>
        </w:tc>
      </w:tr>
    </w:tbl>
    <w:p w14:paraId="537FEC72" w14:textId="77777777" w:rsidR="006350FE" w:rsidRPr="00437F01" w:rsidRDefault="006350FE" w:rsidP="006350FE">
      <w:pPr>
        <w:pStyle w:val="BodyText"/>
        <w:ind w:left="720"/>
      </w:pPr>
      <w:r w:rsidRPr="00A50800">
        <w:rPr>
          <w:lang w:val="sv-SE"/>
        </w:rPr>
        <w:t xml:space="preserve">Aktiens genomsnittskurs </w:t>
      </w:r>
      <w:r>
        <w:rPr>
          <w:lang w:val="sv-SE"/>
        </w:rPr>
        <w:t>ska</w:t>
      </w:r>
      <w:r w:rsidRPr="00A50800">
        <w:rPr>
          <w:lang w:val="sv-SE"/>
        </w:rPr>
        <w:t xml:space="preserve"> anses motsvara genomsnittet av det för varje handelsdag under teckningstiden framräknade medeltalet av den under dagen noterade högsta och lägsta betalkursen för </w:t>
      </w:r>
      <w:r>
        <w:rPr>
          <w:lang w:val="sv-SE"/>
        </w:rPr>
        <w:t>Aktie</w:t>
      </w:r>
      <w:r w:rsidRPr="00A50800">
        <w:rPr>
          <w:lang w:val="sv-SE"/>
        </w:rPr>
        <w:t xml:space="preserve">n enligt marknadsnotering. I avsaknad av notering av betalkurs </w:t>
      </w:r>
      <w:r>
        <w:rPr>
          <w:lang w:val="sv-SE"/>
        </w:rPr>
        <w:t>ska</w:t>
      </w:r>
      <w:r w:rsidRPr="00A50800">
        <w:rPr>
          <w:lang w:val="sv-SE"/>
        </w:rPr>
        <w:t xml:space="preserve"> i stället den som slutkurs noterade köpkursen ingå i beräkningen. Dag utan notering av vare sig betalkurs eller köpkurs </w:t>
      </w:r>
      <w:r>
        <w:rPr>
          <w:lang w:val="sv-SE"/>
        </w:rPr>
        <w:t>ska</w:t>
      </w:r>
      <w:r w:rsidRPr="00A50800">
        <w:rPr>
          <w:lang w:val="sv-SE"/>
        </w:rPr>
        <w:t xml:space="preserve"> inte ingå i beräkningen.</w:t>
      </w:r>
      <w:r w:rsidRPr="00A50800">
        <w:rPr>
          <w:lang w:val="sv-SE"/>
        </w:rPr>
        <w:br/>
      </w:r>
      <w:r w:rsidRPr="00437F01">
        <w:rPr>
          <w:i/>
        </w:rPr>
        <w:t xml:space="preserve">The average price of a Share shall be deemed to correspond to the average for each trading day during the </w:t>
      </w:r>
      <w:r>
        <w:rPr>
          <w:i/>
        </w:rPr>
        <w:t>s</w:t>
      </w:r>
      <w:r w:rsidRPr="00437F01">
        <w:rPr>
          <w:i/>
        </w:rPr>
        <w:t xml:space="preserve">ubscription </w:t>
      </w:r>
      <w:r>
        <w:rPr>
          <w:i/>
        </w:rPr>
        <w:t>p</w:t>
      </w:r>
      <w:r w:rsidRPr="00437F01">
        <w:rPr>
          <w:i/>
        </w:rPr>
        <w:t xml:space="preserve">eriod of the calculated mean value of the highest and lowest </w:t>
      </w:r>
      <w:r w:rsidRPr="00437F01">
        <w:rPr>
          <w:i/>
        </w:rPr>
        <w:lastRenderedPageBreak/>
        <w:t>price paid for the Share according to market quotation. In the absence of a quoted paid price, the bid price which is quoted as the closing price shall form the basis for the calculation. Days when no paid price or bid price is quoted, shall be excluded from the calculation.</w:t>
      </w:r>
    </w:p>
    <w:p w14:paraId="6D9EC5C6" w14:textId="77777777" w:rsidR="006350FE" w:rsidRPr="00437F01" w:rsidRDefault="006350FE" w:rsidP="006350FE">
      <w:pPr>
        <w:pStyle w:val="BodyText"/>
        <w:ind w:left="720"/>
      </w:pPr>
      <w:r w:rsidRPr="006B6AC0">
        <w:rPr>
          <w:lang w:val="en-US"/>
        </w:rPr>
        <w:t xml:space="preserve">Det </w:t>
      </w:r>
      <w:proofErr w:type="spellStart"/>
      <w:r w:rsidRPr="006B6AC0">
        <w:rPr>
          <w:lang w:val="en-US"/>
        </w:rPr>
        <w:t>teoretiska</w:t>
      </w:r>
      <w:proofErr w:type="spellEnd"/>
      <w:r w:rsidRPr="006B6AC0">
        <w:rPr>
          <w:lang w:val="en-US"/>
        </w:rPr>
        <w:t xml:space="preserve"> </w:t>
      </w:r>
      <w:proofErr w:type="spellStart"/>
      <w:r w:rsidRPr="006B6AC0">
        <w:rPr>
          <w:lang w:val="en-US"/>
        </w:rPr>
        <w:t>värdet</w:t>
      </w:r>
      <w:proofErr w:type="spellEnd"/>
      <w:r w:rsidRPr="006B6AC0">
        <w:rPr>
          <w:lang w:val="en-US"/>
        </w:rPr>
        <w:t xml:space="preserve"> </w:t>
      </w:r>
      <w:proofErr w:type="spellStart"/>
      <w:r w:rsidRPr="006B6AC0">
        <w:rPr>
          <w:lang w:val="en-US"/>
        </w:rPr>
        <w:t>på</w:t>
      </w:r>
      <w:proofErr w:type="spellEnd"/>
      <w:r w:rsidRPr="006B6AC0">
        <w:rPr>
          <w:lang w:val="en-US"/>
        </w:rPr>
        <w:t xml:space="preserve"> </w:t>
      </w:r>
      <w:proofErr w:type="spellStart"/>
      <w:r w:rsidRPr="006B6AC0">
        <w:rPr>
          <w:lang w:val="en-US"/>
        </w:rPr>
        <w:t>teckningsrätten</w:t>
      </w:r>
      <w:proofErr w:type="spellEnd"/>
      <w:r w:rsidRPr="006B6AC0">
        <w:rPr>
          <w:lang w:val="en-US"/>
        </w:rPr>
        <w:t xml:space="preserve"> </w:t>
      </w:r>
      <w:proofErr w:type="spellStart"/>
      <w:r w:rsidRPr="006B6AC0">
        <w:rPr>
          <w:lang w:val="en-US"/>
        </w:rPr>
        <w:t>framräknas</w:t>
      </w:r>
      <w:proofErr w:type="spellEnd"/>
      <w:r w:rsidRPr="006B6AC0">
        <w:rPr>
          <w:lang w:val="en-US"/>
        </w:rPr>
        <w:t xml:space="preserve"> </w:t>
      </w:r>
      <w:proofErr w:type="spellStart"/>
      <w:r w:rsidRPr="006B6AC0">
        <w:rPr>
          <w:lang w:val="en-US"/>
        </w:rPr>
        <w:t>enligt</w:t>
      </w:r>
      <w:proofErr w:type="spellEnd"/>
      <w:r w:rsidRPr="006B6AC0">
        <w:rPr>
          <w:lang w:val="en-US"/>
        </w:rPr>
        <w:t xml:space="preserve"> </w:t>
      </w:r>
      <w:proofErr w:type="spellStart"/>
      <w:r w:rsidRPr="006B6AC0">
        <w:rPr>
          <w:lang w:val="en-US"/>
        </w:rPr>
        <w:t>följande</w:t>
      </w:r>
      <w:proofErr w:type="spellEnd"/>
      <w:r w:rsidRPr="006B6AC0">
        <w:rPr>
          <w:lang w:val="en-US"/>
        </w:rPr>
        <w:t xml:space="preserve"> </w:t>
      </w:r>
      <w:proofErr w:type="spellStart"/>
      <w:r w:rsidRPr="006B6AC0">
        <w:rPr>
          <w:lang w:val="en-US"/>
        </w:rPr>
        <w:t>formel</w:t>
      </w:r>
      <w:proofErr w:type="spellEnd"/>
      <w:r w:rsidRPr="006B6AC0">
        <w:rPr>
          <w:lang w:val="en-US"/>
        </w:rPr>
        <w:t>:</w:t>
      </w:r>
      <w:r w:rsidRPr="00437F01">
        <w:br/>
      </w:r>
      <w:r w:rsidRPr="00437F01">
        <w:rPr>
          <w:i/>
        </w:rPr>
        <w:t>The theoretical value of the subscription right shall be calculated according to the following formula:</w:t>
      </w:r>
    </w:p>
    <w:tbl>
      <w:tblPr>
        <w:tblW w:w="0" w:type="auto"/>
        <w:tblInd w:w="630" w:type="dxa"/>
        <w:tblBorders>
          <w:top w:val="nil"/>
          <w:left w:val="nil"/>
          <w:bottom w:val="nil"/>
          <w:right w:val="nil"/>
          <w:insideH w:val="nil"/>
          <w:insideV w:val="nil"/>
        </w:tblBorders>
        <w:tblLook w:val="04A0" w:firstRow="1" w:lastRow="0" w:firstColumn="1" w:lastColumn="0" w:noHBand="0" w:noVBand="1"/>
      </w:tblPr>
      <w:tblGrid>
        <w:gridCol w:w="2126"/>
        <w:gridCol w:w="567"/>
        <w:gridCol w:w="5677"/>
      </w:tblGrid>
      <w:tr w:rsidR="006350FE" w:rsidRPr="00D00630" w14:paraId="40D1F642" w14:textId="77777777" w:rsidTr="00695A7D">
        <w:trPr>
          <w:cantSplit/>
        </w:trPr>
        <w:tc>
          <w:tcPr>
            <w:tcW w:w="2126" w:type="dxa"/>
            <w:vMerge w:val="restart"/>
            <w:vAlign w:val="center"/>
          </w:tcPr>
          <w:p w14:paraId="7F164080" w14:textId="77777777" w:rsidR="006350FE" w:rsidRPr="00437F01" w:rsidRDefault="006350FE" w:rsidP="00695A7D">
            <w:pPr>
              <w:pStyle w:val="TableText"/>
              <w:spacing w:after="0"/>
            </w:pPr>
            <w:proofErr w:type="spellStart"/>
            <w:r w:rsidRPr="00437F01">
              <w:t>Teckningsrättens</w:t>
            </w:r>
            <w:proofErr w:type="spellEnd"/>
            <w:r w:rsidRPr="00437F01">
              <w:t xml:space="preserve"> </w:t>
            </w:r>
            <w:proofErr w:type="spellStart"/>
            <w:r w:rsidRPr="00437F01">
              <w:t>värde</w:t>
            </w:r>
            <w:proofErr w:type="spellEnd"/>
          </w:p>
        </w:tc>
        <w:tc>
          <w:tcPr>
            <w:tcW w:w="567" w:type="dxa"/>
            <w:vMerge w:val="restart"/>
            <w:vAlign w:val="center"/>
          </w:tcPr>
          <w:p w14:paraId="13B56D35" w14:textId="77777777" w:rsidR="006350FE" w:rsidRPr="00437F01" w:rsidRDefault="006350FE" w:rsidP="00695A7D">
            <w:pPr>
              <w:pStyle w:val="TableText"/>
              <w:spacing w:after="0"/>
            </w:pPr>
            <w:r w:rsidRPr="00437F01">
              <w:t>=</w:t>
            </w:r>
          </w:p>
        </w:tc>
        <w:tc>
          <w:tcPr>
            <w:tcW w:w="5677" w:type="dxa"/>
            <w:tcBorders>
              <w:bottom w:val="single" w:sz="4" w:space="0" w:color="auto"/>
            </w:tcBorders>
          </w:tcPr>
          <w:p w14:paraId="322B43BA" w14:textId="77777777" w:rsidR="006350FE" w:rsidRPr="00A50800" w:rsidRDefault="006350FE" w:rsidP="00695A7D">
            <w:pPr>
              <w:pStyle w:val="TableText"/>
              <w:spacing w:after="0"/>
              <w:rPr>
                <w:lang w:val="sv-SE"/>
              </w:rPr>
            </w:pPr>
            <w:r w:rsidRPr="00A50800">
              <w:rPr>
                <w:lang w:val="sv-SE"/>
              </w:rPr>
              <w:t xml:space="preserve">Det </w:t>
            </w:r>
            <w:r w:rsidRPr="00463194">
              <w:rPr>
                <w:lang w:val="sv-SE"/>
              </w:rPr>
              <w:t>antal</w:t>
            </w:r>
            <w:r w:rsidRPr="00A50800">
              <w:rPr>
                <w:lang w:val="sv-SE"/>
              </w:rPr>
              <w:t xml:space="preserve"> nya Aktier som högst kan komma att utges enligt </w:t>
            </w:r>
            <w:proofErr w:type="spellStart"/>
            <w:r w:rsidRPr="00A50800">
              <w:rPr>
                <w:lang w:val="sv-SE"/>
              </w:rPr>
              <w:t>emissionsbeslutet</w:t>
            </w:r>
            <w:proofErr w:type="spellEnd"/>
            <w:r w:rsidRPr="00A50800">
              <w:rPr>
                <w:lang w:val="sv-SE"/>
              </w:rPr>
              <w:t xml:space="preserve"> </w:t>
            </w:r>
            <w:r w:rsidRPr="00A50800">
              <w:rPr>
                <w:i/>
                <w:lang w:val="sv-SE"/>
              </w:rPr>
              <w:t>x</w:t>
            </w:r>
            <w:r w:rsidRPr="00A50800">
              <w:rPr>
                <w:lang w:val="sv-SE"/>
              </w:rPr>
              <w:t xml:space="preserve"> (</w:t>
            </w:r>
            <w:r>
              <w:rPr>
                <w:lang w:val="sv-SE"/>
              </w:rPr>
              <w:t>Aktie</w:t>
            </w:r>
            <w:r w:rsidRPr="00A50800">
              <w:rPr>
                <w:lang w:val="sv-SE"/>
              </w:rPr>
              <w:t>ns genomsnittskurs minus teckningskursen för den nya Aktien)</w:t>
            </w:r>
          </w:p>
        </w:tc>
      </w:tr>
      <w:tr w:rsidR="006350FE" w:rsidRPr="00437F01" w14:paraId="20C857A5" w14:textId="77777777" w:rsidTr="00695A7D">
        <w:trPr>
          <w:cantSplit/>
        </w:trPr>
        <w:tc>
          <w:tcPr>
            <w:tcW w:w="2126" w:type="dxa"/>
            <w:vMerge/>
          </w:tcPr>
          <w:p w14:paraId="51E12AF3" w14:textId="77777777" w:rsidR="006350FE" w:rsidRPr="00A50800" w:rsidRDefault="006350FE" w:rsidP="00695A7D">
            <w:pPr>
              <w:pStyle w:val="TableText"/>
              <w:spacing w:after="0"/>
              <w:rPr>
                <w:lang w:val="sv-SE"/>
              </w:rPr>
            </w:pPr>
          </w:p>
        </w:tc>
        <w:tc>
          <w:tcPr>
            <w:tcW w:w="567" w:type="dxa"/>
            <w:vMerge/>
          </w:tcPr>
          <w:p w14:paraId="46399879" w14:textId="77777777" w:rsidR="006350FE" w:rsidRPr="00A50800" w:rsidRDefault="006350FE" w:rsidP="00695A7D">
            <w:pPr>
              <w:pStyle w:val="TableText"/>
              <w:spacing w:after="0"/>
              <w:rPr>
                <w:lang w:val="sv-SE"/>
              </w:rPr>
            </w:pPr>
          </w:p>
        </w:tc>
        <w:tc>
          <w:tcPr>
            <w:tcW w:w="5677" w:type="dxa"/>
            <w:tcBorders>
              <w:top w:val="single" w:sz="4" w:space="0" w:color="auto"/>
            </w:tcBorders>
          </w:tcPr>
          <w:p w14:paraId="2A9B3EE3" w14:textId="77777777" w:rsidR="006350FE" w:rsidRPr="00437F01" w:rsidRDefault="006350FE" w:rsidP="00695A7D">
            <w:pPr>
              <w:pStyle w:val="TableText"/>
              <w:spacing w:after="0"/>
            </w:pPr>
            <w:proofErr w:type="spellStart"/>
            <w:r w:rsidRPr="00437F01">
              <w:t>Antalet</w:t>
            </w:r>
            <w:proofErr w:type="spellEnd"/>
            <w:r w:rsidRPr="00437F01">
              <w:t xml:space="preserve"> </w:t>
            </w:r>
            <w:proofErr w:type="spellStart"/>
            <w:r w:rsidRPr="00437F01">
              <w:t>Aktier</w:t>
            </w:r>
            <w:proofErr w:type="spellEnd"/>
            <w:r w:rsidRPr="00437F01">
              <w:t xml:space="preserve"> </w:t>
            </w:r>
            <w:proofErr w:type="spellStart"/>
            <w:r w:rsidRPr="00437F01">
              <w:t>före</w:t>
            </w:r>
            <w:proofErr w:type="spellEnd"/>
            <w:r w:rsidRPr="00437F01">
              <w:t xml:space="preserve"> </w:t>
            </w:r>
            <w:proofErr w:type="spellStart"/>
            <w:r w:rsidRPr="00437F01">
              <w:t>emissionsbeslutet</w:t>
            </w:r>
            <w:proofErr w:type="spellEnd"/>
          </w:p>
        </w:tc>
      </w:tr>
      <w:tr w:rsidR="006350FE" w:rsidRPr="003D73C9" w14:paraId="24DB6705" w14:textId="77777777" w:rsidTr="00695A7D">
        <w:trPr>
          <w:cantSplit/>
        </w:trPr>
        <w:tc>
          <w:tcPr>
            <w:tcW w:w="2126" w:type="dxa"/>
            <w:vMerge w:val="restart"/>
            <w:vAlign w:val="center"/>
          </w:tcPr>
          <w:p w14:paraId="40D70BDD" w14:textId="77777777" w:rsidR="006350FE" w:rsidRPr="00437F01" w:rsidRDefault="006350FE" w:rsidP="00695A7D">
            <w:pPr>
              <w:pStyle w:val="TableText"/>
              <w:spacing w:after="0"/>
            </w:pPr>
            <w:r w:rsidRPr="00437F01">
              <w:rPr>
                <w:i/>
              </w:rPr>
              <w:t>The value of a subscription right</w:t>
            </w:r>
          </w:p>
        </w:tc>
        <w:tc>
          <w:tcPr>
            <w:tcW w:w="567" w:type="dxa"/>
            <w:vMerge w:val="restart"/>
            <w:vAlign w:val="center"/>
          </w:tcPr>
          <w:p w14:paraId="14EEFC99" w14:textId="77777777" w:rsidR="006350FE" w:rsidRPr="00437F01" w:rsidRDefault="006350FE" w:rsidP="00695A7D">
            <w:pPr>
              <w:pStyle w:val="TableText"/>
              <w:spacing w:after="0"/>
            </w:pPr>
            <w:r w:rsidRPr="00437F01">
              <w:t>=</w:t>
            </w:r>
          </w:p>
        </w:tc>
        <w:tc>
          <w:tcPr>
            <w:tcW w:w="5677" w:type="dxa"/>
            <w:tcBorders>
              <w:bottom w:val="single" w:sz="4" w:space="0" w:color="auto"/>
            </w:tcBorders>
          </w:tcPr>
          <w:p w14:paraId="2F5D2EDB" w14:textId="77777777" w:rsidR="006350FE" w:rsidRPr="00437F01" w:rsidRDefault="006350FE" w:rsidP="00695A7D">
            <w:pPr>
              <w:pStyle w:val="TableText"/>
              <w:spacing w:after="0"/>
              <w:rPr>
                <w:i/>
              </w:rPr>
            </w:pPr>
            <w:r w:rsidRPr="00437F01">
              <w:rPr>
                <w:i/>
              </w:rPr>
              <w:t xml:space="preserve">The </w:t>
            </w:r>
            <w:r w:rsidRPr="006B6AC0">
              <w:t>maximum</w:t>
            </w:r>
            <w:r w:rsidRPr="00437F01">
              <w:rPr>
                <w:i/>
              </w:rPr>
              <w:t xml:space="preserve"> number of new Shares which may be issued pursuant to the issue resolution x (the average price of share minus the Subscription Price for the new Share)</w:t>
            </w:r>
          </w:p>
        </w:tc>
      </w:tr>
      <w:tr w:rsidR="006350FE" w:rsidRPr="003D73C9" w14:paraId="5C7DF5A5" w14:textId="77777777" w:rsidTr="00695A7D">
        <w:trPr>
          <w:cantSplit/>
        </w:trPr>
        <w:tc>
          <w:tcPr>
            <w:tcW w:w="2126" w:type="dxa"/>
            <w:vMerge/>
          </w:tcPr>
          <w:p w14:paraId="100BEE08" w14:textId="77777777" w:rsidR="006350FE" w:rsidRPr="00437F01" w:rsidRDefault="006350FE" w:rsidP="00695A7D">
            <w:pPr>
              <w:pStyle w:val="TableText"/>
              <w:spacing w:after="0"/>
            </w:pPr>
          </w:p>
        </w:tc>
        <w:tc>
          <w:tcPr>
            <w:tcW w:w="567" w:type="dxa"/>
            <w:vMerge/>
          </w:tcPr>
          <w:p w14:paraId="34B759C3" w14:textId="77777777" w:rsidR="006350FE" w:rsidRPr="00437F01" w:rsidRDefault="006350FE" w:rsidP="00695A7D">
            <w:pPr>
              <w:pStyle w:val="TableText"/>
              <w:spacing w:after="0"/>
            </w:pPr>
          </w:p>
        </w:tc>
        <w:tc>
          <w:tcPr>
            <w:tcW w:w="5677" w:type="dxa"/>
            <w:tcBorders>
              <w:top w:val="single" w:sz="4" w:space="0" w:color="auto"/>
              <w:bottom w:val="nil"/>
            </w:tcBorders>
          </w:tcPr>
          <w:p w14:paraId="78FB51CC" w14:textId="77777777" w:rsidR="006350FE" w:rsidRPr="00437F01" w:rsidRDefault="006350FE" w:rsidP="00695A7D">
            <w:pPr>
              <w:pStyle w:val="TableText"/>
              <w:spacing w:after="0"/>
            </w:pPr>
            <w:r w:rsidRPr="006B6AC0">
              <w:rPr>
                <w:i/>
                <w:iCs/>
              </w:rPr>
              <w:t>The number of Shares prior to the issue resolution</w:t>
            </w:r>
          </w:p>
        </w:tc>
      </w:tr>
      <w:tr w:rsidR="006350FE" w:rsidRPr="003D73C9" w14:paraId="167708E5" w14:textId="77777777" w:rsidTr="00695A7D">
        <w:trPr>
          <w:cantSplit/>
        </w:trPr>
        <w:tc>
          <w:tcPr>
            <w:tcW w:w="2126" w:type="dxa"/>
          </w:tcPr>
          <w:p w14:paraId="6745A291" w14:textId="77777777" w:rsidR="006350FE" w:rsidRPr="00437F01" w:rsidRDefault="006350FE" w:rsidP="00695A7D">
            <w:pPr>
              <w:pStyle w:val="TableText"/>
              <w:spacing w:after="0"/>
            </w:pPr>
          </w:p>
        </w:tc>
        <w:tc>
          <w:tcPr>
            <w:tcW w:w="567" w:type="dxa"/>
            <w:tcBorders>
              <w:right w:val="nil"/>
            </w:tcBorders>
          </w:tcPr>
          <w:p w14:paraId="757A7687" w14:textId="77777777" w:rsidR="006350FE" w:rsidRPr="00437F01" w:rsidRDefault="006350FE" w:rsidP="00695A7D">
            <w:pPr>
              <w:pStyle w:val="TableText"/>
              <w:spacing w:after="0"/>
            </w:pPr>
          </w:p>
        </w:tc>
        <w:tc>
          <w:tcPr>
            <w:tcW w:w="5677" w:type="dxa"/>
            <w:tcBorders>
              <w:top w:val="nil"/>
              <w:left w:val="nil"/>
              <w:bottom w:val="nil"/>
              <w:right w:val="nil"/>
            </w:tcBorders>
          </w:tcPr>
          <w:p w14:paraId="762221C9" w14:textId="77777777" w:rsidR="006350FE" w:rsidRPr="002A1EA0" w:rsidRDefault="006350FE" w:rsidP="00695A7D">
            <w:pPr>
              <w:pStyle w:val="TableText"/>
              <w:spacing w:after="120"/>
              <w:rPr>
                <w:i/>
                <w:iCs/>
              </w:rPr>
            </w:pPr>
          </w:p>
        </w:tc>
      </w:tr>
    </w:tbl>
    <w:p w14:paraId="6F9CE9D1" w14:textId="77777777" w:rsidR="006350FE" w:rsidRPr="00437F01" w:rsidRDefault="006350FE" w:rsidP="006350FE">
      <w:pPr>
        <w:pStyle w:val="BodyText"/>
        <w:ind w:left="720"/>
      </w:pPr>
      <w:r w:rsidRPr="00A50800">
        <w:rPr>
          <w:lang w:val="sv-SE"/>
        </w:rPr>
        <w:t xml:space="preserve">Vid omräkning enligt ovanstående formel </w:t>
      </w:r>
      <w:r>
        <w:rPr>
          <w:lang w:val="sv-SE"/>
        </w:rPr>
        <w:t>ska</w:t>
      </w:r>
      <w:r w:rsidRPr="00A50800">
        <w:rPr>
          <w:lang w:val="sv-SE"/>
        </w:rPr>
        <w:t xml:space="preserve"> bortses från Aktier som innehas av Bolaget. Uppstår ett negativt värde, </w:t>
      </w:r>
      <w:r>
        <w:rPr>
          <w:lang w:val="sv-SE"/>
        </w:rPr>
        <w:t>ska</w:t>
      </w:r>
      <w:r w:rsidRPr="00A50800">
        <w:rPr>
          <w:lang w:val="sv-SE"/>
        </w:rPr>
        <w:t xml:space="preserve"> det teoretiska värdet på teckningsrätten bestämmas till noll.</w:t>
      </w:r>
      <w:r w:rsidRPr="00A50800">
        <w:rPr>
          <w:lang w:val="sv-SE"/>
        </w:rPr>
        <w:br/>
      </w:r>
      <w:r w:rsidRPr="00437F01">
        <w:rPr>
          <w:i/>
        </w:rPr>
        <w:t>When recalculating in accordance with the above formula, any Shares held by the Company shall be disregarded. If a negative value arises, the theoretical value of the subscription right shall be determined to be zero.</w:t>
      </w:r>
    </w:p>
    <w:p w14:paraId="71C2F2B4" w14:textId="77777777" w:rsidR="006350FE" w:rsidRPr="00437F01" w:rsidRDefault="006350FE" w:rsidP="006350FE">
      <w:pPr>
        <w:pStyle w:val="BodyText"/>
        <w:ind w:left="720"/>
      </w:pPr>
      <w:r w:rsidRPr="00A50800">
        <w:rPr>
          <w:lang w:val="sv-SE"/>
        </w:rPr>
        <w:t xml:space="preserve">Enligt ovan omräknad Teckningskurs och omräknat antal Aktier </w:t>
      </w:r>
      <w:r>
        <w:rPr>
          <w:lang w:val="sv-SE"/>
        </w:rPr>
        <w:t>ska</w:t>
      </w:r>
      <w:r w:rsidRPr="00A50800">
        <w:rPr>
          <w:lang w:val="sv-SE"/>
        </w:rPr>
        <w:t xml:space="preserve"> fastställas av Bolaget två Bankdagar efter </w:t>
      </w:r>
      <w:r>
        <w:rPr>
          <w:lang w:val="sv-SE"/>
        </w:rPr>
        <w:t>t</w:t>
      </w:r>
      <w:r w:rsidRPr="00A50800">
        <w:rPr>
          <w:lang w:val="sv-SE"/>
        </w:rPr>
        <w:t xml:space="preserve">eckningstidens utgång och </w:t>
      </w:r>
      <w:r>
        <w:rPr>
          <w:lang w:val="sv-SE"/>
        </w:rPr>
        <w:t>ska</w:t>
      </w:r>
      <w:r w:rsidRPr="00A50800">
        <w:rPr>
          <w:lang w:val="sv-SE"/>
        </w:rPr>
        <w:t xml:space="preserve"> tillämpas vid Teckning, som verkställs därefter.</w:t>
      </w:r>
      <w:r w:rsidRPr="00A50800">
        <w:rPr>
          <w:lang w:val="sv-SE"/>
        </w:rPr>
        <w:br/>
      </w:r>
      <w:r w:rsidRPr="00437F01">
        <w:rPr>
          <w:i/>
        </w:rPr>
        <w:t xml:space="preserve">The recalculated Subscription Price and the recalculated number of Shares </w:t>
      </w:r>
      <w:proofErr w:type="gramStart"/>
      <w:r w:rsidRPr="00437F01">
        <w:rPr>
          <w:i/>
        </w:rPr>
        <w:t>as set</w:t>
      </w:r>
      <w:proofErr w:type="gramEnd"/>
      <w:r w:rsidRPr="00437F01">
        <w:rPr>
          <w:i/>
        </w:rPr>
        <w:t xml:space="preserve"> forth above shall be determined by the Company two Business days after the expiration of the </w:t>
      </w:r>
      <w:r>
        <w:rPr>
          <w:i/>
        </w:rPr>
        <w:t>s</w:t>
      </w:r>
      <w:r w:rsidRPr="00437F01">
        <w:rPr>
          <w:i/>
        </w:rPr>
        <w:t xml:space="preserve">ubscription </w:t>
      </w:r>
      <w:proofErr w:type="gramStart"/>
      <w:r>
        <w:rPr>
          <w:i/>
        </w:rPr>
        <w:t>p</w:t>
      </w:r>
      <w:r w:rsidRPr="00437F01">
        <w:rPr>
          <w:i/>
        </w:rPr>
        <w:t>eriod and</w:t>
      </w:r>
      <w:proofErr w:type="gramEnd"/>
      <w:r w:rsidRPr="00437F01">
        <w:rPr>
          <w:i/>
        </w:rPr>
        <w:t xml:space="preserve"> shall apply to Subscriptions executed thereafter.</w:t>
      </w:r>
    </w:p>
    <w:p w14:paraId="5EE5E64A" w14:textId="77777777" w:rsidR="006350FE" w:rsidRPr="00437F01" w:rsidRDefault="006350FE" w:rsidP="006350FE">
      <w:pPr>
        <w:pStyle w:val="BodyText"/>
        <w:ind w:left="720"/>
      </w:pPr>
      <w:r w:rsidRPr="002645AA">
        <w:rPr>
          <w:lang w:val="sv-SE"/>
        </w:rPr>
        <w:t xml:space="preserve">Under tiden till dess att omräknad Teckningskurs och omräknat antal Aktier som varje Teckningsoption berättigar till Teckning av fastställts, verkställs Teckning endast preliminärt, varvid det antal Aktier, som varje Teckningsoption före omräkning berättigar till Teckning av, upptas interimistiskt på avstämningskonto. Dessutom noteras särskilt att varje Teckningsoption efter omräkningar kan berättiga till ytterligare Aktier. </w:t>
      </w:r>
      <w:proofErr w:type="spellStart"/>
      <w:r w:rsidRPr="006B6AC0">
        <w:rPr>
          <w:lang w:val="en-US"/>
        </w:rPr>
        <w:t>Slutlig</w:t>
      </w:r>
      <w:proofErr w:type="spellEnd"/>
      <w:r w:rsidRPr="006B6AC0">
        <w:rPr>
          <w:lang w:val="en-US"/>
        </w:rPr>
        <w:t xml:space="preserve"> </w:t>
      </w:r>
      <w:proofErr w:type="spellStart"/>
      <w:r w:rsidRPr="006B6AC0">
        <w:rPr>
          <w:lang w:val="en-US"/>
        </w:rPr>
        <w:t>registrering</w:t>
      </w:r>
      <w:proofErr w:type="spellEnd"/>
      <w:r w:rsidRPr="006B6AC0">
        <w:rPr>
          <w:lang w:val="en-US"/>
        </w:rPr>
        <w:t xml:space="preserve"> </w:t>
      </w:r>
      <w:proofErr w:type="spellStart"/>
      <w:r w:rsidRPr="006B6AC0">
        <w:rPr>
          <w:lang w:val="en-US"/>
        </w:rPr>
        <w:t>på</w:t>
      </w:r>
      <w:proofErr w:type="spellEnd"/>
      <w:r w:rsidRPr="006B6AC0">
        <w:rPr>
          <w:lang w:val="en-US"/>
        </w:rPr>
        <w:t xml:space="preserve"> </w:t>
      </w:r>
      <w:proofErr w:type="spellStart"/>
      <w:r w:rsidRPr="006B6AC0">
        <w:rPr>
          <w:lang w:val="en-US"/>
        </w:rPr>
        <w:t>avstämningskontot</w:t>
      </w:r>
      <w:proofErr w:type="spellEnd"/>
      <w:r w:rsidRPr="006B6AC0">
        <w:rPr>
          <w:lang w:val="en-US"/>
        </w:rPr>
        <w:t xml:space="preserve"> </w:t>
      </w:r>
      <w:proofErr w:type="spellStart"/>
      <w:r w:rsidRPr="006B6AC0">
        <w:rPr>
          <w:lang w:val="en-US"/>
        </w:rPr>
        <w:t>sker</w:t>
      </w:r>
      <w:proofErr w:type="spellEnd"/>
      <w:r w:rsidRPr="006B6AC0">
        <w:rPr>
          <w:lang w:val="en-US"/>
        </w:rPr>
        <w:t xml:space="preserve"> sedan </w:t>
      </w:r>
      <w:proofErr w:type="spellStart"/>
      <w:r w:rsidRPr="006B6AC0">
        <w:rPr>
          <w:lang w:val="en-US"/>
        </w:rPr>
        <w:t>omräkningarna</w:t>
      </w:r>
      <w:proofErr w:type="spellEnd"/>
      <w:r w:rsidRPr="006B6AC0">
        <w:rPr>
          <w:lang w:val="en-US"/>
        </w:rPr>
        <w:t xml:space="preserve"> </w:t>
      </w:r>
      <w:proofErr w:type="spellStart"/>
      <w:r w:rsidRPr="006B6AC0">
        <w:rPr>
          <w:lang w:val="en-US"/>
        </w:rPr>
        <w:t>fastställts</w:t>
      </w:r>
      <w:proofErr w:type="spellEnd"/>
      <w:r w:rsidRPr="006B6AC0">
        <w:rPr>
          <w:lang w:val="en-US"/>
        </w:rPr>
        <w:t>.</w:t>
      </w:r>
      <w:r w:rsidRPr="00437F01">
        <w:br/>
      </w:r>
      <w:r w:rsidRPr="00437F01">
        <w:rPr>
          <w:i/>
        </w:rPr>
        <w:t xml:space="preserve">During the period until the recalculated Subscription Price and recalculated number of Shares that each Warrant entitles to subscribe for are determined, Subscription shall only be executed on a preliminary basis, whereupon the full number of Shares according to the not yet recalculated number of Shares will be registered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on an interim basis. In addition, a special note shall be recorded to the effect that the Warrant may entitle the </w:t>
      </w:r>
      <w:r>
        <w:rPr>
          <w:i/>
        </w:rPr>
        <w:t xml:space="preserve">Warrant </w:t>
      </w:r>
      <w:r w:rsidRPr="00437F01">
        <w:rPr>
          <w:i/>
        </w:rPr>
        <w:t xml:space="preserve">Holder to additional shares pursuant to the recalculated number of Shares. Final registration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shall be </w:t>
      </w:r>
      <w:proofErr w:type="gramStart"/>
      <w:r w:rsidRPr="00437F01">
        <w:rPr>
          <w:i/>
        </w:rPr>
        <w:t>effected</w:t>
      </w:r>
      <w:proofErr w:type="gramEnd"/>
      <w:r w:rsidRPr="00437F01">
        <w:rPr>
          <w:i/>
        </w:rPr>
        <w:t xml:space="preserve"> following the determination of the recalculations.</w:t>
      </w:r>
    </w:p>
    <w:p w14:paraId="34C08B50" w14:textId="77777777" w:rsidR="006350FE" w:rsidRPr="00437F01" w:rsidRDefault="006350FE" w:rsidP="006350FE">
      <w:pPr>
        <w:pStyle w:val="BodyText"/>
        <w:numPr>
          <w:ilvl w:val="2"/>
          <w:numId w:val="55"/>
        </w:numPr>
        <w:spacing w:after="0"/>
        <w:rPr>
          <w:b/>
        </w:rPr>
      </w:pPr>
      <w:proofErr w:type="spellStart"/>
      <w:r w:rsidRPr="006B6AC0">
        <w:rPr>
          <w:b/>
          <w:lang w:val="en-US"/>
        </w:rPr>
        <w:t>Nyemission</w:t>
      </w:r>
      <w:proofErr w:type="spellEnd"/>
      <w:r w:rsidRPr="006B6AC0">
        <w:rPr>
          <w:b/>
          <w:lang w:val="en-US"/>
        </w:rPr>
        <w:t xml:space="preserve"> av </w:t>
      </w:r>
      <w:proofErr w:type="spellStart"/>
      <w:r w:rsidRPr="006B6AC0">
        <w:rPr>
          <w:b/>
          <w:lang w:val="en-US"/>
        </w:rPr>
        <w:t>teckningsoptioner</w:t>
      </w:r>
      <w:proofErr w:type="spellEnd"/>
      <w:r w:rsidRPr="006B6AC0">
        <w:rPr>
          <w:b/>
          <w:lang w:val="en-US"/>
        </w:rPr>
        <w:t xml:space="preserve"> </w:t>
      </w:r>
      <w:proofErr w:type="spellStart"/>
      <w:r w:rsidRPr="006B6AC0">
        <w:rPr>
          <w:b/>
          <w:lang w:val="en-US"/>
        </w:rPr>
        <w:t>eller</w:t>
      </w:r>
      <w:proofErr w:type="spellEnd"/>
      <w:r w:rsidRPr="006B6AC0">
        <w:rPr>
          <w:b/>
          <w:lang w:val="en-US"/>
        </w:rPr>
        <w:t xml:space="preserve"> </w:t>
      </w:r>
      <w:proofErr w:type="spellStart"/>
      <w:r w:rsidRPr="006B6AC0">
        <w:rPr>
          <w:b/>
          <w:lang w:val="en-US"/>
        </w:rPr>
        <w:t>konvertibler</w:t>
      </w:r>
      <w:proofErr w:type="spellEnd"/>
      <w:r w:rsidRPr="006B6AC0">
        <w:rPr>
          <w:b/>
          <w:lang w:val="en-US"/>
        </w:rPr>
        <w:t xml:space="preserve"> med </w:t>
      </w:r>
      <w:proofErr w:type="spellStart"/>
      <w:r w:rsidRPr="006B6AC0">
        <w:rPr>
          <w:b/>
          <w:lang w:val="en-US"/>
        </w:rPr>
        <w:t>företrädesrätt</w:t>
      </w:r>
      <w:proofErr w:type="spellEnd"/>
      <w:r w:rsidRPr="00437F01">
        <w:rPr>
          <w:b/>
        </w:rPr>
        <w:t>/</w:t>
      </w:r>
      <w:r w:rsidRPr="00437F01">
        <w:rPr>
          <w:b/>
          <w:i/>
        </w:rPr>
        <w:t>Issue of warrants and convertibles in accordance with the shareholders' priority rights</w:t>
      </w:r>
    </w:p>
    <w:p w14:paraId="59AD3B27" w14:textId="77777777" w:rsidR="006350FE" w:rsidRPr="00437F01" w:rsidRDefault="006350FE" w:rsidP="006350FE">
      <w:pPr>
        <w:pStyle w:val="BodyText"/>
        <w:ind w:left="720"/>
      </w:pPr>
      <w:r w:rsidRPr="00A50800">
        <w:rPr>
          <w:lang w:val="sv-SE"/>
        </w:rPr>
        <w:t xml:space="preserve">Genomför Bolaget en </w:t>
      </w:r>
      <w:r w:rsidRPr="00A50800">
        <w:rPr>
          <w:u w:val="single"/>
          <w:lang w:val="sv-SE"/>
        </w:rPr>
        <w:t xml:space="preserve">emission enligt 14 kap. eller 15 kap. </w:t>
      </w:r>
      <w:r>
        <w:rPr>
          <w:u w:val="single"/>
          <w:lang w:val="sv-SE"/>
        </w:rPr>
        <w:t>A</w:t>
      </w:r>
      <w:r w:rsidRPr="00A50800">
        <w:rPr>
          <w:u w:val="single"/>
          <w:lang w:val="sv-SE"/>
        </w:rPr>
        <w:t>ktiebolagslagen</w:t>
      </w:r>
      <w:r w:rsidRPr="00A50800">
        <w:rPr>
          <w:lang w:val="sv-SE"/>
        </w:rPr>
        <w:t xml:space="preserve"> – med företrädesrätt för aktieägarna och mot kontant betalning eller genom kvittning – </w:t>
      </w:r>
      <w:r>
        <w:rPr>
          <w:lang w:val="sv-SE"/>
        </w:rPr>
        <w:t>ska</w:t>
      </w:r>
      <w:r w:rsidRPr="00A50800">
        <w:rPr>
          <w:lang w:val="sv-SE"/>
        </w:rPr>
        <w:t xml:space="preserve"> beträffande rätten till deltagande i emissionen för Aktie, som tillkommit på grund av Teckning med utnyttjande av Teckningsoption bestämmelserna i punkterna</w:t>
      </w:r>
      <w:r w:rsidRPr="003679A8">
        <w:rPr>
          <w:szCs w:val="22"/>
          <w:lang w:val="sv-SE"/>
        </w:rPr>
        <w:t xml:space="preserve"> </w:t>
      </w:r>
      <w:r>
        <w:rPr>
          <w:szCs w:val="22"/>
          <w:lang w:val="sv-SE"/>
        </w:rPr>
        <w:fldChar w:fldCharType="begin"/>
      </w:r>
      <w:r>
        <w:rPr>
          <w:szCs w:val="22"/>
          <w:lang w:val="sv-SE"/>
        </w:rPr>
        <w:instrText xml:space="preserve"> REF _Ref167349330 \r \h </w:instrText>
      </w:r>
      <w:r>
        <w:rPr>
          <w:szCs w:val="22"/>
          <w:lang w:val="sv-SE"/>
        </w:rPr>
      </w:r>
      <w:r>
        <w:rPr>
          <w:szCs w:val="22"/>
          <w:lang w:val="sv-SE"/>
        </w:rPr>
        <w:fldChar w:fldCharType="separate"/>
      </w:r>
      <w:r>
        <w:rPr>
          <w:szCs w:val="22"/>
          <w:lang w:val="sv-SE"/>
        </w:rPr>
        <w:t>8.2.4.I</w:t>
      </w:r>
      <w:r>
        <w:rPr>
          <w:szCs w:val="22"/>
          <w:lang w:val="sv-SE"/>
        </w:rPr>
        <w:fldChar w:fldCharType="end"/>
      </w:r>
      <w:r w:rsidRPr="00A50800">
        <w:rPr>
          <w:lang w:val="sv-SE"/>
        </w:rPr>
        <w:t xml:space="preserve">, och </w:t>
      </w:r>
      <w:r>
        <w:rPr>
          <w:szCs w:val="22"/>
        </w:rPr>
        <w:fldChar w:fldCharType="begin"/>
      </w:r>
      <w:r>
        <w:rPr>
          <w:lang w:val="sv-SE"/>
        </w:rPr>
        <w:instrText xml:space="preserve"> REF _Ref167349244 \r \h </w:instrText>
      </w:r>
      <w:r>
        <w:rPr>
          <w:szCs w:val="22"/>
        </w:rPr>
      </w:r>
      <w:r>
        <w:rPr>
          <w:szCs w:val="22"/>
        </w:rPr>
        <w:fldChar w:fldCharType="separate"/>
      </w:r>
      <w:r>
        <w:rPr>
          <w:lang w:val="sv-SE"/>
        </w:rPr>
        <w:t>8.2.4.II</w:t>
      </w:r>
      <w:r>
        <w:rPr>
          <w:szCs w:val="22"/>
        </w:rPr>
        <w:fldChar w:fldCharType="end"/>
      </w:r>
      <w:r w:rsidRPr="00A50800">
        <w:rPr>
          <w:lang w:val="sv-SE"/>
        </w:rPr>
        <w:t xml:space="preserve"> första stycket (i) och (ii) ovan äga motsvarande tillämpning.</w:t>
      </w:r>
      <w:r w:rsidRPr="00A50800">
        <w:rPr>
          <w:lang w:val="sv-SE"/>
        </w:rPr>
        <w:br/>
      </w:r>
      <w:r w:rsidRPr="00437F01">
        <w:rPr>
          <w:i/>
        </w:rPr>
        <w:t>Where the Company carries out an</w:t>
      </w:r>
      <w:r w:rsidRPr="00437F01">
        <w:rPr>
          <w:i/>
          <w:u w:val="single"/>
        </w:rPr>
        <w:t xml:space="preserve"> issue in accordance with Ch. 14 or Ch. 15 of the </w:t>
      </w:r>
      <w:r>
        <w:rPr>
          <w:i/>
          <w:u w:val="single"/>
        </w:rPr>
        <w:t xml:space="preserve">Swedish </w:t>
      </w:r>
      <w:r w:rsidRPr="00437F01">
        <w:rPr>
          <w:i/>
          <w:u w:val="single"/>
        </w:rPr>
        <w:t>Companies Act</w:t>
      </w:r>
      <w:r w:rsidRPr="00437F01">
        <w:rPr>
          <w:i/>
        </w:rPr>
        <w:t xml:space="preserve"> – with </w:t>
      </w:r>
      <w:r>
        <w:rPr>
          <w:i/>
        </w:rPr>
        <w:t>preferential</w:t>
      </w:r>
      <w:r w:rsidRPr="00437F01">
        <w:rPr>
          <w:i/>
        </w:rPr>
        <w:t xml:space="preserve"> rights for the shareholders in exchange for cash payment </w:t>
      </w:r>
      <w:r w:rsidRPr="00437F01">
        <w:rPr>
          <w:i/>
        </w:rPr>
        <w:lastRenderedPageBreak/>
        <w:t xml:space="preserve">or payment through set-off of claims – the provisions contained in sections </w:t>
      </w:r>
      <w:r>
        <w:rPr>
          <w:i/>
          <w:szCs w:val="22"/>
        </w:rPr>
        <w:fldChar w:fldCharType="begin"/>
      </w:r>
      <w:r>
        <w:rPr>
          <w:i/>
        </w:rPr>
        <w:instrText xml:space="preserve"> REF _Ref167349330 \r \h </w:instrText>
      </w:r>
      <w:r>
        <w:rPr>
          <w:i/>
          <w:szCs w:val="22"/>
        </w:rPr>
      </w:r>
      <w:r>
        <w:rPr>
          <w:i/>
          <w:szCs w:val="22"/>
        </w:rPr>
        <w:fldChar w:fldCharType="separate"/>
      </w:r>
      <w:r>
        <w:rPr>
          <w:i/>
        </w:rPr>
        <w:t>8.2.4.I</w:t>
      </w:r>
      <w:r>
        <w:rPr>
          <w:i/>
          <w:szCs w:val="22"/>
        </w:rPr>
        <w:fldChar w:fldCharType="end"/>
      </w:r>
      <w:r w:rsidRPr="00437F01">
        <w:rPr>
          <w:i/>
        </w:rPr>
        <w:t xml:space="preserve">, and </w:t>
      </w:r>
      <w:r>
        <w:rPr>
          <w:i/>
          <w:szCs w:val="22"/>
        </w:rPr>
        <w:fldChar w:fldCharType="begin"/>
      </w:r>
      <w:r>
        <w:rPr>
          <w:i/>
        </w:rPr>
        <w:instrText xml:space="preserve"> REF _Ref167349244 \r \h </w:instrText>
      </w:r>
      <w:r>
        <w:rPr>
          <w:i/>
          <w:szCs w:val="22"/>
        </w:rPr>
      </w:r>
      <w:r>
        <w:rPr>
          <w:i/>
          <w:szCs w:val="22"/>
        </w:rPr>
        <w:fldChar w:fldCharType="separate"/>
      </w:r>
      <w:r>
        <w:rPr>
          <w:i/>
        </w:rPr>
        <w:t>8.2.4.II</w:t>
      </w:r>
      <w:r>
        <w:rPr>
          <w:i/>
          <w:szCs w:val="22"/>
        </w:rPr>
        <w:fldChar w:fldCharType="end"/>
      </w:r>
      <w:r w:rsidRPr="00437F01">
        <w:rPr>
          <w:i/>
        </w:rPr>
        <w:t xml:space="preserve"> first paragraph (</w:t>
      </w:r>
      <w:proofErr w:type="spellStart"/>
      <w:r w:rsidRPr="00437F01">
        <w:rPr>
          <w:i/>
        </w:rPr>
        <w:t>i</w:t>
      </w:r>
      <w:proofErr w:type="spellEnd"/>
      <w:r w:rsidRPr="00437F01">
        <w:rPr>
          <w:i/>
        </w:rPr>
        <w:t>) and (ii), shall apply correspondingly, with respect to the right to participate in the issue for Shares that have been issued as a consequence of Subscription through exercise of the Warrant.</w:t>
      </w:r>
    </w:p>
    <w:p w14:paraId="65C31EC2" w14:textId="77777777" w:rsidR="006350FE" w:rsidRPr="00437F01" w:rsidRDefault="006350FE" w:rsidP="006350FE">
      <w:pPr>
        <w:pStyle w:val="BodyText"/>
        <w:numPr>
          <w:ilvl w:val="0"/>
          <w:numId w:val="54"/>
        </w:numPr>
        <w:ind w:firstLine="0"/>
      </w:pPr>
      <w:r w:rsidRPr="00A50800">
        <w:rPr>
          <w:rFonts w:eastAsia="Times New Roman"/>
          <w:lang w:val="sv-SE"/>
        </w:rPr>
        <w:t xml:space="preserve">Om Bolagets Aktier eller teckningsrätter vid tidpunkten för emissionen inte är föremål för marknadsnotering, </w:t>
      </w:r>
      <w:r>
        <w:rPr>
          <w:rFonts w:eastAsia="Times New Roman"/>
          <w:lang w:val="sv-SE"/>
        </w:rPr>
        <w:t>ska</w:t>
      </w:r>
      <w:r w:rsidRPr="00A50800">
        <w:rPr>
          <w:rFonts w:eastAsia="Times New Roman"/>
          <w:lang w:val="sv-SE"/>
        </w:rPr>
        <w:t xml:space="preserve"> omräkning ske, dels av Teckningskursen, dels av det antal Aktier som varje Teckningsoption ger rätt att teckna i enlighet med denna punkt </w:t>
      </w:r>
      <w:r>
        <w:fldChar w:fldCharType="begin"/>
      </w:r>
      <w:r>
        <w:rPr>
          <w:rFonts w:eastAsia="Times New Roman"/>
          <w:lang w:val="sv-SE"/>
        </w:rPr>
        <w:instrText xml:space="preserve"> REF _Ref445997868 \r \h </w:instrText>
      </w:r>
      <w:r>
        <w:fldChar w:fldCharType="separate"/>
      </w:r>
      <w:r>
        <w:rPr>
          <w:rFonts w:eastAsia="Times New Roman"/>
          <w:lang w:val="sv-SE"/>
        </w:rPr>
        <w:t>8.2.5</w:t>
      </w:r>
      <w:r>
        <w:fldChar w:fldCharType="end"/>
      </w:r>
      <w:r w:rsidRPr="00A50800">
        <w:rPr>
          <w:rFonts w:eastAsia="Times New Roman"/>
          <w:lang w:val="sv-SE"/>
        </w:rPr>
        <w:t xml:space="preserve"> angivna principer. Omräkningen </w:t>
      </w:r>
      <w:r>
        <w:rPr>
          <w:rFonts w:eastAsia="Times New Roman"/>
          <w:lang w:val="sv-SE"/>
        </w:rPr>
        <w:t>ska</w:t>
      </w:r>
      <w:r w:rsidRPr="00A50800">
        <w:rPr>
          <w:rFonts w:eastAsia="Times New Roman"/>
          <w:lang w:val="sv-SE"/>
        </w:rPr>
        <w:t xml:space="preserve"> utföras av Bolaget</w:t>
      </w:r>
      <w:r>
        <w:rPr>
          <w:rFonts w:eastAsia="Times New Roman"/>
          <w:lang w:val="sv-SE"/>
        </w:rPr>
        <w:t xml:space="preserve"> och</w:t>
      </w:r>
      <w:r w:rsidRPr="00A50800">
        <w:rPr>
          <w:rFonts w:eastAsia="Times New Roman"/>
          <w:lang w:val="sv-SE"/>
        </w:rPr>
        <w:t xml:space="preserve"> </w:t>
      </w:r>
      <w:r>
        <w:rPr>
          <w:rFonts w:eastAsia="Times New Roman"/>
          <w:lang w:val="sv-SE"/>
        </w:rPr>
        <w:t>ska</w:t>
      </w:r>
      <w:r w:rsidRPr="00A50800">
        <w:rPr>
          <w:rFonts w:eastAsia="Times New Roman"/>
          <w:lang w:val="sv-SE"/>
        </w:rPr>
        <w:t xml:space="preserve"> ha som utgångspunkt att värdet på Teckningsoptionerna </w:t>
      </w:r>
      <w:r>
        <w:rPr>
          <w:rFonts w:eastAsia="Times New Roman"/>
          <w:lang w:val="sv-SE"/>
        </w:rPr>
        <w:t>ska</w:t>
      </w:r>
      <w:r w:rsidRPr="00A50800">
        <w:rPr>
          <w:rFonts w:eastAsia="Times New Roman"/>
          <w:lang w:val="sv-SE"/>
        </w:rPr>
        <w:t xml:space="preserve"> lämnas oförändrat.</w:t>
      </w:r>
      <w:r w:rsidRPr="00A50800">
        <w:rPr>
          <w:rFonts w:eastAsia="Times New Roman"/>
          <w:lang w:val="sv-SE"/>
        </w:rPr>
        <w:br/>
      </w:r>
      <w:r w:rsidRPr="00437F01">
        <w:rPr>
          <w:i/>
        </w:rPr>
        <w:t>Should the Company's Shares or subscription rights not be listed, at the time of the issuance, a recalculation of the Subscription Price and the number of Shares each Warrant entitles to subscribe for shall be adjusted in accordance with the principles set forth in this section </w:t>
      </w:r>
      <w:r>
        <w:rPr>
          <w:i/>
        </w:rPr>
        <w:fldChar w:fldCharType="begin"/>
      </w:r>
      <w:r>
        <w:rPr>
          <w:i/>
        </w:rPr>
        <w:instrText xml:space="preserve"> REF _Ref445997868 \r \h </w:instrText>
      </w:r>
      <w:r>
        <w:rPr>
          <w:i/>
        </w:rPr>
      </w:r>
      <w:r>
        <w:rPr>
          <w:i/>
        </w:rPr>
        <w:fldChar w:fldCharType="separate"/>
      </w:r>
      <w:r>
        <w:rPr>
          <w:i/>
        </w:rPr>
        <w:t>8.2.5</w:t>
      </w:r>
      <w:r>
        <w:rPr>
          <w:i/>
        </w:rPr>
        <w:fldChar w:fldCharType="end"/>
      </w:r>
      <w:r w:rsidRPr="00437F01">
        <w:rPr>
          <w:i/>
        </w:rPr>
        <w:t>. The recalculation shall be made by the Company and shall be made on the basis that the value of the Warrants shall remain unchanged.</w:t>
      </w:r>
    </w:p>
    <w:p w14:paraId="097FDF48" w14:textId="77777777" w:rsidR="006350FE" w:rsidRPr="00437F01" w:rsidRDefault="006350FE" w:rsidP="006350FE">
      <w:pPr>
        <w:pStyle w:val="BodyText"/>
        <w:numPr>
          <w:ilvl w:val="0"/>
          <w:numId w:val="54"/>
        </w:numPr>
        <w:ind w:firstLine="0"/>
      </w:pPr>
      <w:r w:rsidRPr="00A50800">
        <w:rPr>
          <w:rFonts w:eastAsia="Times New Roman"/>
          <w:lang w:val="sv-SE"/>
        </w:rPr>
        <w:t xml:space="preserve">Om Bolagets Aktier eller teckningsrätter vid tidpunkten för emissionen är föremål för marknadsnotering, </w:t>
      </w:r>
      <w:r>
        <w:rPr>
          <w:rFonts w:eastAsia="Times New Roman"/>
          <w:lang w:val="sv-SE"/>
        </w:rPr>
        <w:t>ska</w:t>
      </w:r>
      <w:r w:rsidRPr="00A50800">
        <w:rPr>
          <w:rFonts w:eastAsia="Times New Roman"/>
          <w:lang w:val="sv-SE"/>
        </w:rPr>
        <w:t xml:space="preserve"> vid Teckning som verkställts på sådan tid att rätt till deltagande i </w:t>
      </w:r>
      <w:r w:rsidRPr="00F40CE0">
        <w:rPr>
          <w:rFonts w:eastAsia="Times New Roman"/>
          <w:lang w:val="sv-SE"/>
        </w:rPr>
        <w:t xml:space="preserve">emissionen inte uppkommer tillämpas en omräknad Teckningskurs liksom en omräkning av det antal Aktier som varje Teckningsoption berättigar till Teckning av. </w:t>
      </w:r>
      <w:proofErr w:type="spellStart"/>
      <w:r w:rsidRPr="006B6AC0">
        <w:rPr>
          <w:rFonts w:eastAsia="Times New Roman"/>
          <w:lang w:val="en-US"/>
        </w:rPr>
        <w:t>Omräkningarna</w:t>
      </w:r>
      <w:proofErr w:type="spellEnd"/>
      <w:r w:rsidRPr="006B6AC0">
        <w:rPr>
          <w:rFonts w:eastAsia="Times New Roman"/>
          <w:lang w:val="en-US"/>
        </w:rPr>
        <w:t xml:space="preserve"> </w:t>
      </w:r>
      <w:proofErr w:type="spellStart"/>
      <w:r w:rsidRPr="006B6AC0">
        <w:rPr>
          <w:rFonts w:eastAsia="Times New Roman"/>
          <w:lang w:val="en-US"/>
        </w:rPr>
        <w:t>utförs</w:t>
      </w:r>
      <w:proofErr w:type="spellEnd"/>
      <w:r w:rsidRPr="006B6AC0">
        <w:rPr>
          <w:rFonts w:eastAsia="Times New Roman"/>
          <w:lang w:val="en-US"/>
        </w:rPr>
        <w:t xml:space="preserve"> av </w:t>
      </w:r>
      <w:proofErr w:type="spellStart"/>
      <w:r w:rsidRPr="006B6AC0">
        <w:rPr>
          <w:rFonts w:eastAsia="Times New Roman"/>
          <w:lang w:val="en-US"/>
        </w:rPr>
        <w:t>Bolaget</w:t>
      </w:r>
      <w:proofErr w:type="spellEnd"/>
      <w:r w:rsidRPr="006B6AC0">
        <w:rPr>
          <w:rFonts w:eastAsia="Times New Roman"/>
          <w:lang w:val="en-US"/>
        </w:rPr>
        <w:t xml:space="preserve"> </w:t>
      </w:r>
      <w:proofErr w:type="spellStart"/>
      <w:r w:rsidRPr="006B6AC0">
        <w:rPr>
          <w:rFonts w:eastAsia="Times New Roman"/>
          <w:lang w:val="en-US"/>
        </w:rPr>
        <w:t>enligt</w:t>
      </w:r>
      <w:proofErr w:type="spellEnd"/>
      <w:r w:rsidRPr="006B6AC0">
        <w:rPr>
          <w:rFonts w:eastAsia="Times New Roman"/>
          <w:lang w:val="en-US"/>
        </w:rPr>
        <w:t xml:space="preserve"> </w:t>
      </w:r>
      <w:proofErr w:type="spellStart"/>
      <w:r w:rsidRPr="006B6AC0">
        <w:rPr>
          <w:rFonts w:eastAsia="Times New Roman"/>
          <w:lang w:val="en-US"/>
        </w:rPr>
        <w:t>följande</w:t>
      </w:r>
      <w:proofErr w:type="spellEnd"/>
      <w:r w:rsidRPr="006B6AC0">
        <w:rPr>
          <w:rFonts w:eastAsia="Times New Roman"/>
          <w:lang w:val="en-US"/>
        </w:rPr>
        <w:t xml:space="preserve"> </w:t>
      </w:r>
      <w:proofErr w:type="spellStart"/>
      <w:r w:rsidRPr="006B6AC0">
        <w:rPr>
          <w:rFonts w:eastAsia="Times New Roman"/>
          <w:lang w:val="en-US"/>
        </w:rPr>
        <w:t>formler</w:t>
      </w:r>
      <w:proofErr w:type="spellEnd"/>
      <w:r w:rsidRPr="006B6AC0">
        <w:rPr>
          <w:rFonts w:eastAsia="Times New Roman"/>
          <w:lang w:val="en-US"/>
        </w:rPr>
        <w:t>:</w:t>
      </w:r>
      <w:r w:rsidRPr="00437F01">
        <w:rPr>
          <w:rFonts w:eastAsia="Times New Roman"/>
        </w:rPr>
        <w:br/>
      </w:r>
      <w:r w:rsidRPr="00437F01">
        <w:rPr>
          <w:i/>
        </w:rPr>
        <w:t>Should the Company's Shares or subscription rights be listed at the time of the issuance, where Subscription is made at such time that no right to participate in the issue arises, a recalculated Subscription Price as well as a recalculated number of Shares which each Warrant entitles to Subscribe for shall be applied. Recalculations shall be made by the Company in accordance with the following formulas:</w:t>
      </w:r>
    </w:p>
    <w:tbl>
      <w:tblPr>
        <w:tblW w:w="8370" w:type="dxa"/>
        <w:tblInd w:w="630" w:type="dxa"/>
        <w:tblBorders>
          <w:top w:val="nil"/>
          <w:left w:val="nil"/>
          <w:bottom w:val="nil"/>
          <w:right w:val="nil"/>
          <w:insideH w:val="nil"/>
          <w:insideV w:val="nil"/>
        </w:tblBorders>
        <w:tblLook w:val="04A0" w:firstRow="1" w:lastRow="0" w:firstColumn="1" w:lastColumn="0" w:noHBand="0" w:noVBand="1"/>
      </w:tblPr>
      <w:tblGrid>
        <w:gridCol w:w="2160"/>
        <w:gridCol w:w="540"/>
        <w:gridCol w:w="5670"/>
      </w:tblGrid>
      <w:tr w:rsidR="006350FE" w:rsidRPr="00D00630" w14:paraId="549F24A9" w14:textId="77777777" w:rsidTr="00695A7D">
        <w:trPr>
          <w:cantSplit/>
        </w:trPr>
        <w:tc>
          <w:tcPr>
            <w:tcW w:w="2160" w:type="dxa"/>
            <w:vMerge w:val="restart"/>
            <w:vAlign w:val="center"/>
          </w:tcPr>
          <w:p w14:paraId="09A588BA" w14:textId="77777777" w:rsidR="006350FE" w:rsidRPr="00437F01" w:rsidRDefault="006350FE" w:rsidP="00695A7D">
            <w:pPr>
              <w:pStyle w:val="TableText"/>
              <w:spacing w:after="0"/>
            </w:pPr>
            <w:proofErr w:type="spellStart"/>
            <w:r w:rsidRPr="00437F01">
              <w:t>Omräknad</w:t>
            </w:r>
            <w:proofErr w:type="spellEnd"/>
            <w:r w:rsidRPr="00437F01">
              <w:t xml:space="preserve"> </w:t>
            </w:r>
            <w:proofErr w:type="spellStart"/>
            <w:r w:rsidRPr="00437F01">
              <w:t>Teckningskurs</w:t>
            </w:r>
            <w:proofErr w:type="spellEnd"/>
          </w:p>
        </w:tc>
        <w:tc>
          <w:tcPr>
            <w:tcW w:w="540" w:type="dxa"/>
            <w:vMerge w:val="restart"/>
            <w:vAlign w:val="center"/>
          </w:tcPr>
          <w:p w14:paraId="2E7B0A8F" w14:textId="77777777" w:rsidR="006350FE" w:rsidRPr="00437F01" w:rsidRDefault="006350FE" w:rsidP="00695A7D">
            <w:pPr>
              <w:pStyle w:val="TableText"/>
              <w:spacing w:after="0"/>
            </w:pPr>
            <w:r w:rsidRPr="00437F01">
              <w:t>=</w:t>
            </w:r>
          </w:p>
        </w:tc>
        <w:tc>
          <w:tcPr>
            <w:tcW w:w="5670" w:type="dxa"/>
            <w:tcBorders>
              <w:bottom w:val="single" w:sz="4" w:space="0" w:color="auto"/>
            </w:tcBorders>
          </w:tcPr>
          <w:p w14:paraId="4150D243" w14:textId="77777777" w:rsidR="006350FE" w:rsidRPr="00A50800" w:rsidRDefault="006350F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w:t>
            </w:r>
            <w:r>
              <w:rPr>
                <w:lang w:val="sv-SE"/>
              </w:rPr>
              <w:t>Aktie</w:t>
            </w:r>
            <w:r w:rsidRPr="00A50800">
              <w:rPr>
                <w:lang w:val="sv-SE"/>
              </w:rPr>
              <w:t xml:space="preserve">ns genomsnittliga aktiekurs under den i </w:t>
            </w:r>
            <w:proofErr w:type="spellStart"/>
            <w:r w:rsidRPr="00A50800">
              <w:rPr>
                <w:lang w:val="sv-SE"/>
              </w:rPr>
              <w:t>emissionsbeslutet</w:t>
            </w:r>
            <w:proofErr w:type="spellEnd"/>
            <w:r w:rsidRPr="00A50800">
              <w:rPr>
                <w:lang w:val="sv-SE"/>
              </w:rPr>
              <w:t xml:space="preserve"> fastställda teckningstiden (Aktiens genomsnittskurs)</w:t>
            </w:r>
          </w:p>
        </w:tc>
      </w:tr>
      <w:tr w:rsidR="006350FE" w:rsidRPr="00D00630" w14:paraId="24D86C35" w14:textId="77777777" w:rsidTr="00695A7D">
        <w:trPr>
          <w:cantSplit/>
        </w:trPr>
        <w:tc>
          <w:tcPr>
            <w:tcW w:w="2160" w:type="dxa"/>
            <w:vMerge/>
          </w:tcPr>
          <w:p w14:paraId="784E5CCE" w14:textId="77777777" w:rsidR="006350FE" w:rsidRPr="00A50800" w:rsidRDefault="006350FE" w:rsidP="00695A7D">
            <w:pPr>
              <w:pStyle w:val="TableText"/>
              <w:spacing w:after="0"/>
              <w:rPr>
                <w:lang w:val="sv-SE"/>
              </w:rPr>
            </w:pPr>
          </w:p>
        </w:tc>
        <w:tc>
          <w:tcPr>
            <w:tcW w:w="540" w:type="dxa"/>
            <w:vMerge/>
          </w:tcPr>
          <w:p w14:paraId="714B3CE0" w14:textId="77777777" w:rsidR="006350FE" w:rsidRPr="00A50800" w:rsidRDefault="006350FE" w:rsidP="00695A7D">
            <w:pPr>
              <w:pStyle w:val="TableText"/>
              <w:spacing w:after="0"/>
              <w:rPr>
                <w:lang w:val="sv-SE"/>
              </w:rPr>
            </w:pPr>
          </w:p>
        </w:tc>
        <w:tc>
          <w:tcPr>
            <w:tcW w:w="5670" w:type="dxa"/>
            <w:tcBorders>
              <w:top w:val="single" w:sz="4" w:space="0" w:color="auto"/>
              <w:bottom w:val="nil"/>
            </w:tcBorders>
          </w:tcPr>
          <w:p w14:paraId="6E6B48E5" w14:textId="77777777" w:rsidR="006350FE" w:rsidRPr="00A50800" w:rsidRDefault="006350FE" w:rsidP="00695A7D">
            <w:pPr>
              <w:pStyle w:val="TableText"/>
              <w:spacing w:after="0"/>
              <w:rPr>
                <w:lang w:val="sv-SE"/>
              </w:rPr>
            </w:pPr>
            <w:r w:rsidRPr="00A50800">
              <w:rPr>
                <w:lang w:val="sv-SE"/>
              </w:rPr>
              <w:t>Aktiens genomsnittskurs ökad med teckningsrättens värde</w:t>
            </w:r>
          </w:p>
        </w:tc>
      </w:tr>
      <w:tr w:rsidR="006350FE" w:rsidRPr="00D00630" w14:paraId="19BF4C6B" w14:textId="77777777" w:rsidTr="00695A7D">
        <w:trPr>
          <w:cantSplit/>
        </w:trPr>
        <w:tc>
          <w:tcPr>
            <w:tcW w:w="2160" w:type="dxa"/>
          </w:tcPr>
          <w:p w14:paraId="1DBC0034" w14:textId="77777777" w:rsidR="006350FE" w:rsidRPr="00A50800" w:rsidRDefault="006350FE" w:rsidP="00695A7D">
            <w:pPr>
              <w:pStyle w:val="TableText"/>
              <w:spacing w:after="0"/>
              <w:rPr>
                <w:lang w:val="sv-SE"/>
              </w:rPr>
            </w:pPr>
          </w:p>
        </w:tc>
        <w:tc>
          <w:tcPr>
            <w:tcW w:w="540" w:type="dxa"/>
            <w:tcBorders>
              <w:right w:val="nil"/>
            </w:tcBorders>
          </w:tcPr>
          <w:p w14:paraId="5060814A" w14:textId="77777777" w:rsidR="006350FE" w:rsidRPr="00A50800" w:rsidRDefault="006350FE" w:rsidP="00695A7D">
            <w:pPr>
              <w:pStyle w:val="TableText"/>
              <w:spacing w:after="0"/>
              <w:rPr>
                <w:lang w:val="sv-SE"/>
              </w:rPr>
            </w:pPr>
          </w:p>
        </w:tc>
        <w:tc>
          <w:tcPr>
            <w:tcW w:w="5670" w:type="dxa"/>
            <w:tcBorders>
              <w:top w:val="nil"/>
              <w:left w:val="nil"/>
              <w:bottom w:val="nil"/>
              <w:right w:val="nil"/>
            </w:tcBorders>
          </w:tcPr>
          <w:p w14:paraId="214CC8C7" w14:textId="77777777" w:rsidR="006350FE" w:rsidRPr="00A50800" w:rsidRDefault="006350FE" w:rsidP="00695A7D">
            <w:pPr>
              <w:pStyle w:val="TableText"/>
              <w:spacing w:after="0"/>
              <w:rPr>
                <w:lang w:val="sv-SE"/>
              </w:rPr>
            </w:pPr>
          </w:p>
        </w:tc>
      </w:tr>
      <w:tr w:rsidR="006350FE" w:rsidRPr="00D00630" w14:paraId="3AEB0573" w14:textId="77777777" w:rsidTr="00695A7D">
        <w:trPr>
          <w:cantSplit/>
        </w:trPr>
        <w:tc>
          <w:tcPr>
            <w:tcW w:w="2160" w:type="dxa"/>
            <w:vMerge w:val="restart"/>
            <w:vAlign w:val="center"/>
          </w:tcPr>
          <w:p w14:paraId="5AE35B58" w14:textId="77777777" w:rsidR="006350FE" w:rsidRPr="00A50800" w:rsidRDefault="006350FE" w:rsidP="00695A7D">
            <w:pPr>
              <w:pStyle w:val="TableText"/>
              <w:spacing w:after="0"/>
              <w:rPr>
                <w:lang w:val="sv-SE"/>
              </w:rPr>
            </w:pPr>
            <w:r w:rsidRPr="00A50800">
              <w:rPr>
                <w:lang w:val="sv-SE"/>
              </w:rPr>
              <w:t>Omräknat antal Aktier som varje Teckningsoption berättigar till Teckning av</w:t>
            </w:r>
          </w:p>
        </w:tc>
        <w:tc>
          <w:tcPr>
            <w:tcW w:w="540" w:type="dxa"/>
            <w:vMerge w:val="restart"/>
            <w:vAlign w:val="center"/>
          </w:tcPr>
          <w:p w14:paraId="5F341AD4" w14:textId="77777777" w:rsidR="006350FE" w:rsidRPr="00437F01" w:rsidRDefault="006350FE" w:rsidP="00695A7D">
            <w:pPr>
              <w:pStyle w:val="TableText"/>
              <w:spacing w:after="0"/>
            </w:pPr>
            <w:r w:rsidRPr="00437F01">
              <w:t>=</w:t>
            </w:r>
          </w:p>
        </w:tc>
        <w:tc>
          <w:tcPr>
            <w:tcW w:w="5670" w:type="dxa"/>
            <w:tcBorders>
              <w:top w:val="nil"/>
              <w:bottom w:val="single" w:sz="4" w:space="0" w:color="auto"/>
            </w:tcBorders>
          </w:tcPr>
          <w:p w14:paraId="6CF62B60" w14:textId="77777777" w:rsidR="006350FE" w:rsidRPr="00A50800" w:rsidRDefault="006350F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teckningsrättens värde)</w:t>
            </w:r>
          </w:p>
        </w:tc>
      </w:tr>
      <w:tr w:rsidR="006350FE" w:rsidRPr="00437F01" w14:paraId="1ECCE8B5" w14:textId="77777777" w:rsidTr="00695A7D">
        <w:trPr>
          <w:cantSplit/>
        </w:trPr>
        <w:tc>
          <w:tcPr>
            <w:tcW w:w="2160" w:type="dxa"/>
            <w:vMerge/>
          </w:tcPr>
          <w:p w14:paraId="653CE51E" w14:textId="77777777" w:rsidR="006350FE" w:rsidRPr="00A50800" w:rsidRDefault="006350FE" w:rsidP="00695A7D">
            <w:pPr>
              <w:pStyle w:val="TableText"/>
              <w:spacing w:after="0"/>
              <w:rPr>
                <w:lang w:val="sv-SE"/>
              </w:rPr>
            </w:pPr>
          </w:p>
        </w:tc>
        <w:tc>
          <w:tcPr>
            <w:tcW w:w="540" w:type="dxa"/>
            <w:vMerge/>
          </w:tcPr>
          <w:p w14:paraId="6C2E8FA8" w14:textId="77777777" w:rsidR="006350FE" w:rsidRPr="00A50800" w:rsidRDefault="006350FE" w:rsidP="00695A7D">
            <w:pPr>
              <w:pStyle w:val="TableText"/>
              <w:spacing w:after="0"/>
              <w:rPr>
                <w:lang w:val="sv-SE"/>
              </w:rPr>
            </w:pPr>
          </w:p>
        </w:tc>
        <w:tc>
          <w:tcPr>
            <w:tcW w:w="5670" w:type="dxa"/>
            <w:tcBorders>
              <w:top w:val="single" w:sz="4" w:space="0" w:color="auto"/>
            </w:tcBorders>
          </w:tcPr>
          <w:p w14:paraId="5149FF1D" w14:textId="77777777" w:rsidR="006350FE" w:rsidRPr="00437F01" w:rsidRDefault="006350FE" w:rsidP="00695A7D">
            <w:pPr>
              <w:pStyle w:val="TableText"/>
              <w:spacing w:after="0"/>
            </w:pPr>
            <w:r w:rsidRPr="006B6AC0">
              <w:rPr>
                <w:lang w:val="sv-SE"/>
              </w:rPr>
              <w:t>Aktiens</w:t>
            </w:r>
            <w:r w:rsidRPr="00437F01">
              <w:t xml:space="preserve"> </w:t>
            </w:r>
            <w:proofErr w:type="spellStart"/>
            <w:r w:rsidRPr="00437F01">
              <w:t>genomsnittskurs</w:t>
            </w:r>
            <w:proofErr w:type="spellEnd"/>
          </w:p>
        </w:tc>
      </w:tr>
      <w:tr w:rsidR="006350FE" w:rsidRPr="003D73C9" w14:paraId="39812F6D" w14:textId="77777777" w:rsidTr="00695A7D">
        <w:trPr>
          <w:cantSplit/>
        </w:trPr>
        <w:tc>
          <w:tcPr>
            <w:tcW w:w="2160" w:type="dxa"/>
            <w:vMerge w:val="restart"/>
            <w:vAlign w:val="center"/>
          </w:tcPr>
          <w:p w14:paraId="3608342F" w14:textId="77777777" w:rsidR="006350FE" w:rsidRPr="00437F01" w:rsidRDefault="006350FE" w:rsidP="00695A7D">
            <w:pPr>
              <w:pStyle w:val="TableText"/>
              <w:spacing w:after="0"/>
            </w:pPr>
            <w:r w:rsidRPr="00437F01">
              <w:rPr>
                <w:i/>
              </w:rPr>
              <w:t>Recalculated Subscription Price</w:t>
            </w:r>
          </w:p>
        </w:tc>
        <w:tc>
          <w:tcPr>
            <w:tcW w:w="540" w:type="dxa"/>
            <w:vMerge w:val="restart"/>
            <w:vAlign w:val="center"/>
          </w:tcPr>
          <w:p w14:paraId="73C6AD09" w14:textId="77777777" w:rsidR="006350FE" w:rsidRPr="00437F01" w:rsidRDefault="006350FE" w:rsidP="00695A7D">
            <w:pPr>
              <w:pStyle w:val="TableText"/>
              <w:spacing w:after="0"/>
            </w:pPr>
            <w:r w:rsidRPr="00437F01">
              <w:t>=</w:t>
            </w:r>
          </w:p>
        </w:tc>
        <w:tc>
          <w:tcPr>
            <w:tcW w:w="5670" w:type="dxa"/>
            <w:tcBorders>
              <w:bottom w:val="single" w:sz="4" w:space="0" w:color="auto"/>
            </w:tcBorders>
          </w:tcPr>
          <w:p w14:paraId="27E93ACA" w14:textId="77777777" w:rsidR="006350FE" w:rsidRPr="00437F01" w:rsidRDefault="006350FE" w:rsidP="00695A7D">
            <w:pPr>
              <w:pStyle w:val="TableText"/>
              <w:spacing w:after="0"/>
            </w:pPr>
            <w:r w:rsidRPr="00437F01">
              <w:rPr>
                <w:i/>
              </w:rPr>
              <w:t>Previous Subscription Price x the average share price of the share during the Subscription Period set forth in the resolution approving the issue (average price of Share)</w:t>
            </w:r>
          </w:p>
        </w:tc>
      </w:tr>
      <w:tr w:rsidR="006350FE" w:rsidRPr="003D73C9" w14:paraId="0A273C61" w14:textId="77777777" w:rsidTr="00695A7D">
        <w:trPr>
          <w:cantSplit/>
        </w:trPr>
        <w:tc>
          <w:tcPr>
            <w:tcW w:w="2160" w:type="dxa"/>
            <w:vMerge/>
          </w:tcPr>
          <w:p w14:paraId="2C052C7C" w14:textId="77777777" w:rsidR="006350FE" w:rsidRPr="00437F01" w:rsidRDefault="006350FE" w:rsidP="00695A7D">
            <w:pPr>
              <w:pStyle w:val="TableText"/>
              <w:spacing w:after="0"/>
            </w:pPr>
          </w:p>
        </w:tc>
        <w:tc>
          <w:tcPr>
            <w:tcW w:w="540" w:type="dxa"/>
            <w:vMerge/>
          </w:tcPr>
          <w:p w14:paraId="5D885A40" w14:textId="77777777" w:rsidR="006350FE" w:rsidRPr="00437F01" w:rsidRDefault="006350FE" w:rsidP="00695A7D">
            <w:pPr>
              <w:pStyle w:val="TableText"/>
              <w:spacing w:after="0"/>
            </w:pPr>
          </w:p>
        </w:tc>
        <w:tc>
          <w:tcPr>
            <w:tcW w:w="5670" w:type="dxa"/>
            <w:tcBorders>
              <w:top w:val="single" w:sz="4" w:space="0" w:color="auto"/>
              <w:bottom w:val="nil"/>
            </w:tcBorders>
          </w:tcPr>
          <w:p w14:paraId="52FB34D9" w14:textId="77777777" w:rsidR="006350FE" w:rsidRPr="00437F01" w:rsidRDefault="006350FE" w:rsidP="00695A7D">
            <w:pPr>
              <w:pStyle w:val="TableText"/>
              <w:spacing w:after="0"/>
            </w:pPr>
            <w:r w:rsidRPr="00437F01">
              <w:rPr>
                <w:i/>
              </w:rPr>
              <w:t>The average price of Share increased by the value of the subscription right</w:t>
            </w:r>
          </w:p>
        </w:tc>
      </w:tr>
      <w:tr w:rsidR="006350FE" w:rsidRPr="003D73C9" w14:paraId="54EE4620" w14:textId="77777777" w:rsidTr="00695A7D">
        <w:trPr>
          <w:cantSplit/>
        </w:trPr>
        <w:tc>
          <w:tcPr>
            <w:tcW w:w="2160" w:type="dxa"/>
          </w:tcPr>
          <w:p w14:paraId="1E441D06" w14:textId="77777777" w:rsidR="006350FE" w:rsidRPr="00437F01" w:rsidRDefault="006350FE" w:rsidP="00695A7D">
            <w:pPr>
              <w:pStyle w:val="TableText"/>
              <w:spacing w:after="0"/>
            </w:pPr>
          </w:p>
        </w:tc>
        <w:tc>
          <w:tcPr>
            <w:tcW w:w="540" w:type="dxa"/>
            <w:tcBorders>
              <w:right w:val="nil"/>
            </w:tcBorders>
          </w:tcPr>
          <w:p w14:paraId="361A231B" w14:textId="77777777" w:rsidR="006350FE" w:rsidRPr="00437F01" w:rsidRDefault="006350FE" w:rsidP="00695A7D">
            <w:pPr>
              <w:pStyle w:val="TableText"/>
              <w:spacing w:after="0"/>
            </w:pPr>
          </w:p>
        </w:tc>
        <w:tc>
          <w:tcPr>
            <w:tcW w:w="5670" w:type="dxa"/>
            <w:tcBorders>
              <w:top w:val="nil"/>
              <w:left w:val="nil"/>
              <w:bottom w:val="nil"/>
              <w:right w:val="nil"/>
            </w:tcBorders>
          </w:tcPr>
          <w:p w14:paraId="23C197EE" w14:textId="77777777" w:rsidR="006350FE" w:rsidRPr="00437F01" w:rsidRDefault="006350FE" w:rsidP="00695A7D">
            <w:pPr>
              <w:pStyle w:val="TableText"/>
              <w:spacing w:after="0"/>
              <w:rPr>
                <w:i/>
              </w:rPr>
            </w:pPr>
          </w:p>
        </w:tc>
      </w:tr>
      <w:tr w:rsidR="006350FE" w:rsidRPr="003D73C9" w14:paraId="744D6B93" w14:textId="77777777" w:rsidTr="00695A7D">
        <w:trPr>
          <w:cantSplit/>
        </w:trPr>
        <w:tc>
          <w:tcPr>
            <w:tcW w:w="2160" w:type="dxa"/>
            <w:vMerge w:val="restart"/>
            <w:vAlign w:val="center"/>
          </w:tcPr>
          <w:p w14:paraId="54050A19" w14:textId="77777777" w:rsidR="006350FE" w:rsidRPr="00437F01" w:rsidRDefault="006350FE" w:rsidP="00695A7D">
            <w:pPr>
              <w:pStyle w:val="TableText"/>
              <w:spacing w:after="0"/>
            </w:pPr>
            <w:r w:rsidRPr="00437F01">
              <w:rPr>
                <w:i/>
              </w:rPr>
              <w:t>Recalculated number of Shares that each Warrant entitles to Subscribe for</w:t>
            </w:r>
          </w:p>
        </w:tc>
        <w:tc>
          <w:tcPr>
            <w:tcW w:w="540" w:type="dxa"/>
            <w:vMerge w:val="restart"/>
            <w:vAlign w:val="center"/>
          </w:tcPr>
          <w:p w14:paraId="60613E11" w14:textId="77777777" w:rsidR="006350FE" w:rsidRPr="00437F01" w:rsidRDefault="006350FE" w:rsidP="00695A7D">
            <w:pPr>
              <w:pStyle w:val="TableText"/>
              <w:spacing w:after="0"/>
            </w:pPr>
            <w:r w:rsidRPr="00437F01">
              <w:t>=</w:t>
            </w:r>
          </w:p>
        </w:tc>
        <w:tc>
          <w:tcPr>
            <w:tcW w:w="5670" w:type="dxa"/>
            <w:tcBorders>
              <w:top w:val="nil"/>
              <w:bottom w:val="single" w:sz="4" w:space="0" w:color="auto"/>
            </w:tcBorders>
          </w:tcPr>
          <w:p w14:paraId="0D96FBFA" w14:textId="77777777" w:rsidR="006350FE" w:rsidRPr="00437F01" w:rsidRDefault="006350FE" w:rsidP="00695A7D">
            <w:pPr>
              <w:pStyle w:val="TableText"/>
              <w:spacing w:after="0"/>
            </w:pPr>
            <w:r w:rsidRPr="00437F01">
              <w:rPr>
                <w:i/>
              </w:rPr>
              <w:t>Previous number of Shares that each Warrant entitles to Subscribe for x (the average price of Share increased by the value of the subscription right)</w:t>
            </w:r>
          </w:p>
        </w:tc>
      </w:tr>
      <w:tr w:rsidR="006350FE" w:rsidRPr="00437F01" w14:paraId="4FC1E3B6" w14:textId="77777777" w:rsidTr="00695A7D">
        <w:trPr>
          <w:cantSplit/>
          <w:trHeight w:val="70"/>
        </w:trPr>
        <w:tc>
          <w:tcPr>
            <w:tcW w:w="2160" w:type="dxa"/>
            <w:vMerge/>
          </w:tcPr>
          <w:p w14:paraId="5924EAB9" w14:textId="77777777" w:rsidR="006350FE" w:rsidRPr="00437F01" w:rsidRDefault="006350FE" w:rsidP="00695A7D">
            <w:pPr>
              <w:pStyle w:val="TableText"/>
              <w:spacing w:after="0"/>
            </w:pPr>
          </w:p>
        </w:tc>
        <w:tc>
          <w:tcPr>
            <w:tcW w:w="540" w:type="dxa"/>
            <w:vMerge/>
          </w:tcPr>
          <w:p w14:paraId="784DB304" w14:textId="77777777" w:rsidR="006350FE" w:rsidRPr="00437F01" w:rsidRDefault="006350FE" w:rsidP="00695A7D">
            <w:pPr>
              <w:pStyle w:val="TableText"/>
              <w:spacing w:after="0"/>
            </w:pPr>
          </w:p>
        </w:tc>
        <w:tc>
          <w:tcPr>
            <w:tcW w:w="5670" w:type="dxa"/>
            <w:tcBorders>
              <w:top w:val="single" w:sz="4" w:space="0" w:color="auto"/>
              <w:bottom w:val="nil"/>
            </w:tcBorders>
          </w:tcPr>
          <w:p w14:paraId="57D98B4D" w14:textId="77777777" w:rsidR="006350FE" w:rsidRPr="00437F01" w:rsidRDefault="006350FE" w:rsidP="00695A7D">
            <w:pPr>
              <w:pStyle w:val="TableText"/>
              <w:spacing w:after="0"/>
            </w:pPr>
            <w:r w:rsidRPr="00437F01">
              <w:rPr>
                <w:i/>
              </w:rPr>
              <w:t>Average price of Share</w:t>
            </w:r>
          </w:p>
        </w:tc>
      </w:tr>
      <w:tr w:rsidR="006350FE" w:rsidRPr="00437F01" w14:paraId="516A42F0" w14:textId="77777777" w:rsidTr="00695A7D">
        <w:trPr>
          <w:cantSplit/>
          <w:trHeight w:val="70"/>
        </w:trPr>
        <w:tc>
          <w:tcPr>
            <w:tcW w:w="2160" w:type="dxa"/>
          </w:tcPr>
          <w:p w14:paraId="5C4995AE" w14:textId="77777777" w:rsidR="006350FE" w:rsidRPr="00437F01" w:rsidRDefault="006350FE" w:rsidP="00695A7D">
            <w:pPr>
              <w:pStyle w:val="TableText"/>
              <w:spacing w:after="0"/>
            </w:pPr>
          </w:p>
        </w:tc>
        <w:tc>
          <w:tcPr>
            <w:tcW w:w="540" w:type="dxa"/>
            <w:tcBorders>
              <w:right w:val="nil"/>
            </w:tcBorders>
          </w:tcPr>
          <w:p w14:paraId="0E0028E1" w14:textId="77777777" w:rsidR="006350FE" w:rsidRPr="00437F01" w:rsidRDefault="006350FE" w:rsidP="00695A7D">
            <w:pPr>
              <w:pStyle w:val="TableText"/>
              <w:spacing w:after="0"/>
            </w:pPr>
          </w:p>
        </w:tc>
        <w:tc>
          <w:tcPr>
            <w:tcW w:w="5670" w:type="dxa"/>
            <w:tcBorders>
              <w:top w:val="nil"/>
              <w:left w:val="nil"/>
              <w:bottom w:val="nil"/>
              <w:right w:val="nil"/>
            </w:tcBorders>
          </w:tcPr>
          <w:p w14:paraId="372CEC19" w14:textId="77777777" w:rsidR="006350FE" w:rsidRPr="00437F01" w:rsidRDefault="006350FE" w:rsidP="00695A7D">
            <w:pPr>
              <w:pStyle w:val="TableText"/>
              <w:spacing w:after="0"/>
              <w:rPr>
                <w:i/>
              </w:rPr>
            </w:pPr>
          </w:p>
        </w:tc>
      </w:tr>
    </w:tbl>
    <w:p w14:paraId="7496D271" w14:textId="77777777" w:rsidR="006350FE" w:rsidRPr="00437F01" w:rsidRDefault="006350FE" w:rsidP="006350FE">
      <w:pPr>
        <w:pStyle w:val="BodyText"/>
        <w:ind w:left="720"/>
      </w:pPr>
      <w:r w:rsidRPr="00A50800">
        <w:rPr>
          <w:lang w:val="sv-SE"/>
        </w:rPr>
        <w:t xml:space="preserve">Teckningsrättens värde </w:t>
      </w:r>
      <w:r>
        <w:rPr>
          <w:lang w:val="sv-SE"/>
        </w:rPr>
        <w:t>ska</w:t>
      </w:r>
      <w:r w:rsidRPr="00A50800">
        <w:rPr>
          <w:lang w:val="sv-SE"/>
        </w:rPr>
        <w:t xml:space="preserve"> anses motsvara genomsnittet av det för varje handelsdag under </w:t>
      </w:r>
      <w:r w:rsidRPr="00A05113">
        <w:rPr>
          <w:lang w:val="sv-SE"/>
        </w:rPr>
        <w:t>teckningstiden</w:t>
      </w:r>
      <w:r w:rsidRPr="00A50800">
        <w:rPr>
          <w:lang w:val="sv-SE"/>
        </w:rPr>
        <w:t xml:space="preserve"> framräknade medeltalet av den under dagen noterade högsta och lägsta betalkursen för teckningsrätten enligt marknadsnotering. I avsaknad av notering av betalkurs </w:t>
      </w:r>
      <w:r>
        <w:rPr>
          <w:lang w:val="sv-SE"/>
        </w:rPr>
        <w:t>ska</w:t>
      </w:r>
      <w:r w:rsidRPr="00A50800">
        <w:rPr>
          <w:lang w:val="sv-SE"/>
        </w:rPr>
        <w:t xml:space="preserve"> i stället den som slutkurs noterade köpkursen ingå i beräkningen. Dag utan notering av vare sig betalkurs eller köpkurs </w:t>
      </w:r>
      <w:r>
        <w:rPr>
          <w:lang w:val="sv-SE"/>
        </w:rPr>
        <w:t>ska</w:t>
      </w:r>
      <w:r w:rsidRPr="00A50800">
        <w:rPr>
          <w:lang w:val="sv-SE"/>
        </w:rPr>
        <w:t xml:space="preserve"> inte ingå i beräkningen.</w:t>
      </w:r>
      <w:r w:rsidRPr="00A50800">
        <w:rPr>
          <w:lang w:val="sv-SE"/>
        </w:rPr>
        <w:br/>
      </w:r>
      <w:r w:rsidRPr="00437F01">
        <w:rPr>
          <w:i/>
        </w:rPr>
        <w:t xml:space="preserve">The value of the subscription right shall be deemed to correspond to the average mean value </w:t>
      </w:r>
      <w:r w:rsidRPr="00437F01">
        <w:rPr>
          <w:i/>
        </w:rPr>
        <w:lastRenderedPageBreak/>
        <w:t xml:space="preserve">of the highest and lowest prices paid for such rights each trading day during the </w:t>
      </w:r>
      <w:r>
        <w:rPr>
          <w:i/>
        </w:rPr>
        <w:t>s</w:t>
      </w:r>
      <w:r w:rsidRPr="00437F01">
        <w:rPr>
          <w:i/>
        </w:rPr>
        <w:t xml:space="preserve">ubscription </w:t>
      </w:r>
      <w:r>
        <w:rPr>
          <w:i/>
        </w:rPr>
        <w:t>p</w:t>
      </w:r>
      <w:r w:rsidRPr="00437F01">
        <w:rPr>
          <w:i/>
        </w:rPr>
        <w:t>eriod according to market quotation. In the absence of a quoted paid price, the final bid price shall form the basis for the calculation. Days when no paid price or bid price is quoted, shall be excluded from the calculation.</w:t>
      </w:r>
    </w:p>
    <w:p w14:paraId="59143069" w14:textId="77777777" w:rsidR="006350FE" w:rsidRPr="00437F01" w:rsidRDefault="006350FE" w:rsidP="006350FE">
      <w:pPr>
        <w:pStyle w:val="BodyText"/>
        <w:ind w:left="720"/>
      </w:pPr>
      <w:r w:rsidRPr="00A50800">
        <w:rPr>
          <w:lang w:val="sv-SE"/>
        </w:rPr>
        <w:t xml:space="preserve">Enligt </w:t>
      </w:r>
      <w:r w:rsidRPr="00A05113">
        <w:rPr>
          <w:lang w:val="sv-SE"/>
        </w:rPr>
        <w:t>ovan</w:t>
      </w:r>
      <w:r w:rsidRPr="00A50800">
        <w:rPr>
          <w:lang w:val="sv-SE"/>
        </w:rPr>
        <w:t xml:space="preserve"> omräknad Teckningskurs och omräknat antal Aktier </w:t>
      </w:r>
      <w:r>
        <w:rPr>
          <w:lang w:val="sv-SE"/>
        </w:rPr>
        <w:t>ska</w:t>
      </w:r>
      <w:r w:rsidRPr="00A50800">
        <w:rPr>
          <w:lang w:val="sv-SE"/>
        </w:rPr>
        <w:t xml:space="preserve"> fastställas av Bolaget två Bankdagar efter </w:t>
      </w:r>
      <w:r>
        <w:rPr>
          <w:lang w:val="sv-SE"/>
        </w:rPr>
        <w:t>t</w:t>
      </w:r>
      <w:r w:rsidRPr="00A50800">
        <w:rPr>
          <w:lang w:val="sv-SE"/>
        </w:rPr>
        <w:t xml:space="preserve">eckningstidens utgång och </w:t>
      </w:r>
      <w:r>
        <w:rPr>
          <w:lang w:val="sv-SE"/>
        </w:rPr>
        <w:t>ska</w:t>
      </w:r>
      <w:r w:rsidRPr="00A50800">
        <w:rPr>
          <w:lang w:val="sv-SE"/>
        </w:rPr>
        <w:t xml:space="preserve"> tillämpas vid Teckning, som verkställs därefter.</w:t>
      </w:r>
      <w:r w:rsidRPr="00A50800">
        <w:rPr>
          <w:lang w:val="sv-SE"/>
        </w:rPr>
        <w:br/>
      </w:r>
      <w:r w:rsidRPr="00437F01">
        <w:rPr>
          <w:i/>
        </w:rPr>
        <w:t xml:space="preserve">The recalculated Subscription Price and the recalculated number of Shares </w:t>
      </w:r>
      <w:proofErr w:type="gramStart"/>
      <w:r w:rsidRPr="00437F01">
        <w:rPr>
          <w:i/>
        </w:rPr>
        <w:t>as set</w:t>
      </w:r>
      <w:proofErr w:type="gramEnd"/>
      <w:r w:rsidRPr="00437F01">
        <w:rPr>
          <w:i/>
        </w:rPr>
        <w:t xml:space="preserve"> forth above shall be determined by the Company two Business Days after the expiration of the </w:t>
      </w:r>
      <w:r>
        <w:rPr>
          <w:i/>
        </w:rPr>
        <w:t>s</w:t>
      </w:r>
      <w:r w:rsidRPr="00437F01">
        <w:rPr>
          <w:i/>
        </w:rPr>
        <w:t xml:space="preserve">ubscription </w:t>
      </w:r>
      <w:proofErr w:type="gramStart"/>
      <w:r>
        <w:rPr>
          <w:i/>
        </w:rPr>
        <w:t>p</w:t>
      </w:r>
      <w:r w:rsidRPr="00437F01">
        <w:rPr>
          <w:i/>
        </w:rPr>
        <w:t>eriod and</w:t>
      </w:r>
      <w:proofErr w:type="gramEnd"/>
      <w:r w:rsidRPr="00437F01">
        <w:rPr>
          <w:i/>
        </w:rPr>
        <w:t xml:space="preserve"> shall apply to Subscriptions made after such time.</w:t>
      </w:r>
    </w:p>
    <w:p w14:paraId="7692139E" w14:textId="77777777" w:rsidR="006350FE" w:rsidRDefault="006350FE" w:rsidP="006350FE">
      <w:pPr>
        <w:pStyle w:val="BodyText"/>
        <w:ind w:left="720"/>
        <w:rPr>
          <w:i/>
        </w:rPr>
      </w:pPr>
      <w:r w:rsidRPr="00A50800">
        <w:rPr>
          <w:lang w:val="sv-SE"/>
        </w:rPr>
        <w:t xml:space="preserve">Vid </w:t>
      </w:r>
      <w:r w:rsidRPr="00A05113">
        <w:rPr>
          <w:lang w:val="sv-SE"/>
        </w:rPr>
        <w:t>anmälan</w:t>
      </w:r>
      <w:r w:rsidRPr="00A50800">
        <w:rPr>
          <w:lang w:val="sv-SE"/>
        </w:rPr>
        <w:t xml:space="preserve"> om Teckning som sker under tiden fram till dess att omräknad Teckningskurs och omräknat antal Aktier som varje Teckningsoption berättigar till Teckning av fastställts, </w:t>
      </w:r>
      <w:r>
        <w:rPr>
          <w:lang w:val="sv-SE"/>
        </w:rPr>
        <w:t>ska</w:t>
      </w:r>
      <w:r w:rsidRPr="00A50800">
        <w:rPr>
          <w:lang w:val="sv-SE"/>
        </w:rPr>
        <w:t xml:space="preserve"> bestämmelserna i punkt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sista stycket ovan, äga motsvarande tillämpning.</w:t>
      </w:r>
      <w:r w:rsidRPr="00A50800">
        <w:rPr>
          <w:lang w:val="sv-SE"/>
        </w:rPr>
        <w:br/>
      </w:r>
      <w:r w:rsidRPr="00437F01">
        <w:rPr>
          <w:i/>
        </w:rPr>
        <w:t xml:space="preserve">In relation to notice of Subscription effected during the period until the re-calculated Subscription Price and recalculated number of Shares have been determined, the provisions set forth in the final paragraph of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 shall apply correspondingly.</w:t>
      </w:r>
    </w:p>
    <w:p w14:paraId="5D078EAE" w14:textId="77777777" w:rsidR="006350FE" w:rsidRPr="00437F01" w:rsidRDefault="006350FE" w:rsidP="006350FE">
      <w:pPr>
        <w:pStyle w:val="BodyText"/>
        <w:numPr>
          <w:ilvl w:val="2"/>
          <w:numId w:val="55"/>
        </w:numPr>
        <w:spacing w:after="0"/>
        <w:rPr>
          <w:b/>
        </w:rPr>
      </w:pPr>
      <w:r w:rsidRPr="006B6AC0">
        <w:rPr>
          <w:b/>
          <w:lang w:val="sv-SE"/>
        </w:rPr>
        <w:t>Andra riktade erbjudanden till aktieägarna</w:t>
      </w:r>
      <w:r w:rsidRPr="00437F01">
        <w:rPr>
          <w:b/>
        </w:rPr>
        <w:t>/</w:t>
      </w:r>
      <w:r w:rsidRPr="00437F01">
        <w:rPr>
          <w:b/>
          <w:i/>
        </w:rPr>
        <w:t>Other offers directed to the shareholders</w:t>
      </w:r>
    </w:p>
    <w:p w14:paraId="05F993D6" w14:textId="77777777" w:rsidR="006350FE" w:rsidRPr="00437F01" w:rsidRDefault="006350FE" w:rsidP="006350FE">
      <w:pPr>
        <w:pStyle w:val="BodyText"/>
        <w:ind w:left="720"/>
      </w:pPr>
      <w:proofErr w:type="spellStart"/>
      <w:r w:rsidRPr="00EE396E">
        <w:rPr>
          <w:lang w:val="en-US"/>
        </w:rPr>
        <w:t>Skulle</w:t>
      </w:r>
      <w:proofErr w:type="spellEnd"/>
      <w:r w:rsidRPr="00EE396E">
        <w:rPr>
          <w:lang w:val="en-US"/>
        </w:rPr>
        <w:t xml:space="preserve"> </w:t>
      </w:r>
      <w:proofErr w:type="spellStart"/>
      <w:r w:rsidRPr="00EE396E">
        <w:rPr>
          <w:lang w:val="en-US"/>
        </w:rPr>
        <w:t>Bolaget</w:t>
      </w:r>
      <w:proofErr w:type="spellEnd"/>
      <w:r w:rsidRPr="00EE396E">
        <w:rPr>
          <w:lang w:val="en-US"/>
        </w:rPr>
        <w:t xml:space="preserve"> </w:t>
      </w:r>
      <w:proofErr w:type="spellStart"/>
      <w:r w:rsidRPr="00EE396E">
        <w:rPr>
          <w:lang w:val="en-US"/>
        </w:rPr>
        <w:t>i</w:t>
      </w:r>
      <w:proofErr w:type="spellEnd"/>
      <w:r w:rsidRPr="00EE396E">
        <w:rPr>
          <w:lang w:val="en-US"/>
        </w:rPr>
        <w:t xml:space="preserve"> </w:t>
      </w:r>
      <w:proofErr w:type="spellStart"/>
      <w:r w:rsidRPr="00EE396E">
        <w:rPr>
          <w:lang w:val="en-US"/>
        </w:rPr>
        <w:t>andra</w:t>
      </w:r>
      <w:proofErr w:type="spellEnd"/>
      <w:r w:rsidRPr="00EE396E">
        <w:rPr>
          <w:lang w:val="en-US"/>
        </w:rPr>
        <w:t xml:space="preserve"> fall </w:t>
      </w:r>
      <w:proofErr w:type="spellStart"/>
      <w:r w:rsidRPr="00EE396E">
        <w:rPr>
          <w:lang w:val="en-US"/>
        </w:rPr>
        <w:t>än</w:t>
      </w:r>
      <w:proofErr w:type="spellEnd"/>
      <w:r w:rsidRPr="00EE396E">
        <w:rPr>
          <w:lang w:val="en-US"/>
        </w:rPr>
        <w:t xml:space="preserve"> </w:t>
      </w:r>
      <w:proofErr w:type="spellStart"/>
      <w:r w:rsidRPr="00EE396E">
        <w:rPr>
          <w:lang w:val="en-US"/>
        </w:rPr>
        <w:t>som</w:t>
      </w:r>
      <w:proofErr w:type="spellEnd"/>
      <w:r w:rsidRPr="00EE396E">
        <w:rPr>
          <w:lang w:val="en-US"/>
        </w:rPr>
        <w:t xml:space="preserve"> </w:t>
      </w:r>
      <w:proofErr w:type="spellStart"/>
      <w:r w:rsidRPr="00EE396E">
        <w:rPr>
          <w:lang w:val="en-US"/>
        </w:rPr>
        <w:t>avses</w:t>
      </w:r>
      <w:proofErr w:type="spellEnd"/>
      <w:r w:rsidRPr="00EE396E">
        <w:rPr>
          <w:lang w:val="en-US"/>
        </w:rPr>
        <w:t xml:space="preserve"> </w:t>
      </w:r>
      <w:proofErr w:type="spellStart"/>
      <w:r w:rsidRPr="00EE396E">
        <w:rPr>
          <w:lang w:val="en-US"/>
        </w:rPr>
        <w:t>i</w:t>
      </w:r>
      <w:proofErr w:type="spellEnd"/>
      <w:r w:rsidRPr="00EE396E">
        <w:rPr>
          <w:lang w:val="en-US"/>
        </w:rPr>
        <w:t xml:space="preserve"> </w:t>
      </w:r>
      <w:proofErr w:type="spellStart"/>
      <w:r w:rsidRPr="00EE396E">
        <w:rPr>
          <w:lang w:val="en-US"/>
        </w:rPr>
        <w:t>punkterna</w:t>
      </w:r>
      <w:proofErr w:type="spellEnd"/>
      <w:r w:rsidRPr="00EE396E">
        <w:rPr>
          <w:lang w:val="en-US"/>
        </w:rPr>
        <w:t xml:space="preserve"> </w:t>
      </w:r>
      <w:r w:rsidRPr="008570D1">
        <w:rPr>
          <w:szCs w:val="22"/>
          <w:lang w:val="sv-SE"/>
        </w:rPr>
        <w:fldChar w:fldCharType="begin"/>
      </w:r>
      <w:r w:rsidRPr="00EE396E">
        <w:rPr>
          <w:lang w:val="en-US"/>
        </w:rPr>
        <w:instrText xml:space="preserve"> REF _Ref419826047 \r \h </w:instrText>
      </w:r>
      <w:r w:rsidRPr="008570D1">
        <w:rPr>
          <w:szCs w:val="22"/>
          <w:lang w:val="sv-SE"/>
        </w:rPr>
      </w:r>
      <w:r w:rsidRPr="008570D1">
        <w:rPr>
          <w:szCs w:val="22"/>
          <w:lang w:val="sv-SE"/>
        </w:rPr>
        <w:fldChar w:fldCharType="separate"/>
      </w:r>
      <w:r w:rsidRPr="00EE396E">
        <w:rPr>
          <w:lang w:val="en-US"/>
        </w:rPr>
        <w:t>8.2.2</w:t>
      </w:r>
      <w:r w:rsidRPr="008570D1">
        <w:rPr>
          <w:szCs w:val="22"/>
          <w:lang w:val="sv-SE"/>
        </w:rPr>
        <w:fldChar w:fldCharType="end"/>
      </w:r>
      <w:r w:rsidRPr="00EE396E">
        <w:rPr>
          <w:lang w:val="en-US"/>
        </w:rPr>
        <w:t>–</w:t>
      </w:r>
      <w:r w:rsidRPr="008570D1">
        <w:rPr>
          <w:szCs w:val="22"/>
          <w:lang w:val="sv-SE"/>
        </w:rPr>
        <w:fldChar w:fldCharType="begin"/>
      </w:r>
      <w:r w:rsidRPr="00EE396E">
        <w:rPr>
          <w:szCs w:val="22"/>
          <w:lang w:val="en-US"/>
        </w:rPr>
        <w:instrText xml:space="preserve"> REF _Ref445997868 \r \h </w:instrText>
      </w:r>
      <w:r w:rsidRPr="008570D1">
        <w:rPr>
          <w:szCs w:val="22"/>
          <w:lang w:val="sv-SE"/>
        </w:rPr>
      </w:r>
      <w:r w:rsidRPr="008570D1">
        <w:rPr>
          <w:szCs w:val="22"/>
          <w:lang w:val="sv-SE"/>
        </w:rPr>
        <w:fldChar w:fldCharType="separate"/>
      </w:r>
      <w:r w:rsidRPr="00EE396E">
        <w:rPr>
          <w:szCs w:val="22"/>
          <w:lang w:val="en-US"/>
        </w:rPr>
        <w:t>8.2.5</w:t>
      </w:r>
      <w:r w:rsidRPr="008570D1">
        <w:rPr>
          <w:szCs w:val="22"/>
          <w:lang w:val="sv-SE"/>
        </w:rPr>
        <w:fldChar w:fldCharType="end"/>
      </w:r>
      <w:r w:rsidRPr="00EE396E">
        <w:rPr>
          <w:lang w:val="en-US"/>
        </w:rPr>
        <w:t xml:space="preserve"> </w:t>
      </w:r>
      <w:proofErr w:type="spellStart"/>
      <w:r w:rsidRPr="00EE396E">
        <w:rPr>
          <w:lang w:val="en-US"/>
        </w:rPr>
        <w:t>ovan</w:t>
      </w:r>
      <w:proofErr w:type="spellEnd"/>
      <w:r w:rsidRPr="00EE396E">
        <w:rPr>
          <w:lang w:val="en-US"/>
        </w:rPr>
        <w:t xml:space="preserve"> </w:t>
      </w:r>
      <w:proofErr w:type="spellStart"/>
      <w:r w:rsidRPr="00EE396E">
        <w:rPr>
          <w:u w:val="single"/>
          <w:lang w:val="en-US"/>
        </w:rPr>
        <w:t>rikta</w:t>
      </w:r>
      <w:proofErr w:type="spellEnd"/>
      <w:r w:rsidRPr="00EE396E">
        <w:rPr>
          <w:u w:val="single"/>
          <w:lang w:val="en-US"/>
        </w:rPr>
        <w:t xml:space="preserve"> </w:t>
      </w:r>
      <w:proofErr w:type="spellStart"/>
      <w:r w:rsidRPr="00EE396E">
        <w:rPr>
          <w:u w:val="single"/>
          <w:lang w:val="en-US"/>
        </w:rPr>
        <w:t>erbjudande</w:t>
      </w:r>
      <w:proofErr w:type="spellEnd"/>
      <w:r w:rsidRPr="00EE396E">
        <w:rPr>
          <w:u w:val="single"/>
          <w:lang w:val="en-US"/>
        </w:rPr>
        <w:t xml:space="preserve"> till </w:t>
      </w:r>
      <w:proofErr w:type="spellStart"/>
      <w:r w:rsidRPr="00EE396E">
        <w:rPr>
          <w:u w:val="single"/>
          <w:lang w:val="en-US"/>
        </w:rPr>
        <w:t>aktieägarna</w:t>
      </w:r>
      <w:proofErr w:type="spellEnd"/>
      <w:r w:rsidRPr="00EE396E">
        <w:rPr>
          <w:lang w:val="en-US"/>
        </w:rPr>
        <w:t xml:space="preserve"> </w:t>
      </w:r>
      <w:proofErr w:type="spellStart"/>
      <w:r w:rsidRPr="00EE396E">
        <w:rPr>
          <w:lang w:val="en-US"/>
        </w:rPr>
        <w:t>att</w:t>
      </w:r>
      <w:proofErr w:type="spellEnd"/>
      <w:r w:rsidRPr="00EE396E">
        <w:rPr>
          <w:lang w:val="en-US"/>
        </w:rPr>
        <w:t xml:space="preserve">, med </w:t>
      </w:r>
      <w:proofErr w:type="spellStart"/>
      <w:r w:rsidRPr="00EE396E">
        <w:rPr>
          <w:lang w:val="en-US"/>
        </w:rPr>
        <w:t>företrädesrätt</w:t>
      </w:r>
      <w:proofErr w:type="spellEnd"/>
      <w:r w:rsidRPr="00EE396E">
        <w:rPr>
          <w:lang w:val="en-US"/>
        </w:rPr>
        <w:t xml:space="preserve"> </w:t>
      </w:r>
      <w:proofErr w:type="spellStart"/>
      <w:r w:rsidRPr="00EE396E">
        <w:rPr>
          <w:lang w:val="en-US"/>
        </w:rPr>
        <w:t>enligt</w:t>
      </w:r>
      <w:proofErr w:type="spellEnd"/>
      <w:r w:rsidRPr="00EE396E">
        <w:rPr>
          <w:lang w:val="en-US"/>
        </w:rPr>
        <w:t xml:space="preserve"> </w:t>
      </w:r>
      <w:proofErr w:type="spellStart"/>
      <w:r w:rsidRPr="00EE396E">
        <w:rPr>
          <w:lang w:val="en-US"/>
        </w:rPr>
        <w:t>principerna</w:t>
      </w:r>
      <w:proofErr w:type="spellEnd"/>
      <w:r w:rsidRPr="00EE396E">
        <w:rPr>
          <w:lang w:val="en-US"/>
        </w:rPr>
        <w:t xml:space="preserve"> </w:t>
      </w:r>
      <w:proofErr w:type="spellStart"/>
      <w:r w:rsidRPr="00EE396E">
        <w:rPr>
          <w:lang w:val="en-US"/>
        </w:rPr>
        <w:t>i</w:t>
      </w:r>
      <w:proofErr w:type="spellEnd"/>
      <w:r w:rsidRPr="00EE396E">
        <w:rPr>
          <w:lang w:val="en-US"/>
        </w:rPr>
        <w:t xml:space="preserve"> 13 </w:t>
      </w:r>
      <w:proofErr w:type="spellStart"/>
      <w:r w:rsidRPr="00EE396E">
        <w:rPr>
          <w:lang w:val="en-US"/>
        </w:rPr>
        <w:t>kap</w:t>
      </w:r>
      <w:proofErr w:type="spellEnd"/>
      <w:r w:rsidRPr="00EE396E">
        <w:rPr>
          <w:lang w:val="en-US"/>
        </w:rPr>
        <w:t xml:space="preserve">. 1 § </w:t>
      </w:r>
      <w:proofErr w:type="spellStart"/>
      <w:r w:rsidRPr="00EE396E">
        <w:rPr>
          <w:lang w:val="en-US"/>
        </w:rPr>
        <w:t>Aktiebolagslagen</w:t>
      </w:r>
      <w:proofErr w:type="spellEnd"/>
      <w:r w:rsidRPr="00EE396E">
        <w:rPr>
          <w:lang w:val="en-US"/>
        </w:rPr>
        <w:t xml:space="preserve">, av </w:t>
      </w:r>
      <w:proofErr w:type="spellStart"/>
      <w:r w:rsidRPr="00EE396E">
        <w:rPr>
          <w:lang w:val="en-US"/>
        </w:rPr>
        <w:t>Bolaget</w:t>
      </w:r>
      <w:proofErr w:type="spellEnd"/>
      <w:r w:rsidRPr="00EE396E">
        <w:rPr>
          <w:lang w:val="en-US"/>
        </w:rPr>
        <w:t xml:space="preserve"> </w:t>
      </w:r>
      <w:proofErr w:type="spellStart"/>
      <w:r w:rsidRPr="00EE396E">
        <w:rPr>
          <w:lang w:val="en-US"/>
        </w:rPr>
        <w:t>förvärva</w:t>
      </w:r>
      <w:proofErr w:type="spellEnd"/>
      <w:r w:rsidRPr="00EE396E">
        <w:rPr>
          <w:lang w:val="en-US"/>
        </w:rPr>
        <w:t xml:space="preserve"> </w:t>
      </w:r>
      <w:proofErr w:type="spellStart"/>
      <w:r w:rsidRPr="00EE396E">
        <w:rPr>
          <w:lang w:val="en-US"/>
        </w:rPr>
        <w:t>värdepapper</w:t>
      </w:r>
      <w:proofErr w:type="spellEnd"/>
      <w:r w:rsidRPr="00EE396E">
        <w:rPr>
          <w:lang w:val="en-US"/>
        </w:rPr>
        <w:t xml:space="preserve"> </w:t>
      </w:r>
      <w:proofErr w:type="spellStart"/>
      <w:r w:rsidRPr="00EE396E">
        <w:rPr>
          <w:lang w:val="en-US"/>
        </w:rPr>
        <w:t>eller</w:t>
      </w:r>
      <w:proofErr w:type="spellEnd"/>
      <w:r w:rsidRPr="00EE396E">
        <w:rPr>
          <w:lang w:val="en-US"/>
        </w:rPr>
        <w:t xml:space="preserve"> </w:t>
      </w:r>
      <w:proofErr w:type="spellStart"/>
      <w:r w:rsidRPr="00EE396E">
        <w:rPr>
          <w:lang w:val="en-US"/>
        </w:rPr>
        <w:t>rättighet</w:t>
      </w:r>
      <w:proofErr w:type="spellEnd"/>
      <w:r w:rsidRPr="00EE396E">
        <w:rPr>
          <w:lang w:val="en-US"/>
        </w:rPr>
        <w:t xml:space="preserve"> av </w:t>
      </w:r>
      <w:proofErr w:type="spellStart"/>
      <w:r w:rsidRPr="00EE396E">
        <w:rPr>
          <w:lang w:val="en-US"/>
        </w:rPr>
        <w:t>något</w:t>
      </w:r>
      <w:proofErr w:type="spellEnd"/>
      <w:r w:rsidRPr="00EE396E">
        <w:rPr>
          <w:lang w:val="en-US"/>
        </w:rPr>
        <w:t xml:space="preserve"> slag </w:t>
      </w:r>
      <w:proofErr w:type="spellStart"/>
      <w:r w:rsidRPr="00EE396E">
        <w:rPr>
          <w:lang w:val="en-US"/>
        </w:rPr>
        <w:t>eller</w:t>
      </w:r>
      <w:proofErr w:type="spellEnd"/>
      <w:r w:rsidRPr="00EE396E">
        <w:rPr>
          <w:lang w:val="en-US"/>
        </w:rPr>
        <w:t xml:space="preserve"> </w:t>
      </w:r>
      <w:proofErr w:type="spellStart"/>
      <w:r w:rsidRPr="00EE396E">
        <w:rPr>
          <w:lang w:val="en-US"/>
        </w:rPr>
        <w:t>besluta</w:t>
      </w:r>
      <w:proofErr w:type="spellEnd"/>
      <w:r w:rsidRPr="00EE396E">
        <w:rPr>
          <w:lang w:val="en-US"/>
        </w:rPr>
        <w:t xml:space="preserve"> </w:t>
      </w:r>
      <w:proofErr w:type="spellStart"/>
      <w:r w:rsidRPr="00EE396E">
        <w:rPr>
          <w:lang w:val="en-US"/>
        </w:rPr>
        <w:t>att</w:t>
      </w:r>
      <w:proofErr w:type="spellEnd"/>
      <w:r w:rsidRPr="00EE396E">
        <w:rPr>
          <w:lang w:val="en-US"/>
        </w:rPr>
        <w:t xml:space="preserve">, </w:t>
      </w:r>
      <w:proofErr w:type="spellStart"/>
      <w:r w:rsidRPr="00EE396E">
        <w:rPr>
          <w:lang w:val="en-US"/>
        </w:rPr>
        <w:t>enligt</w:t>
      </w:r>
      <w:proofErr w:type="spellEnd"/>
      <w:r w:rsidRPr="00EE396E">
        <w:rPr>
          <w:lang w:val="en-US"/>
        </w:rPr>
        <w:t xml:space="preserve"> </w:t>
      </w:r>
      <w:proofErr w:type="spellStart"/>
      <w:r w:rsidRPr="00EE396E">
        <w:rPr>
          <w:lang w:val="en-US"/>
        </w:rPr>
        <w:t>ovan</w:t>
      </w:r>
      <w:proofErr w:type="spellEnd"/>
      <w:r w:rsidRPr="00EE396E">
        <w:rPr>
          <w:lang w:val="en-US"/>
        </w:rPr>
        <w:t xml:space="preserve"> </w:t>
      </w:r>
      <w:proofErr w:type="spellStart"/>
      <w:r w:rsidRPr="00EE396E">
        <w:rPr>
          <w:lang w:val="en-US"/>
        </w:rPr>
        <w:t>nämnda</w:t>
      </w:r>
      <w:proofErr w:type="spellEnd"/>
      <w:r w:rsidRPr="00EE396E">
        <w:rPr>
          <w:lang w:val="en-US"/>
        </w:rPr>
        <w:t xml:space="preserve"> </w:t>
      </w:r>
      <w:proofErr w:type="spellStart"/>
      <w:r w:rsidRPr="00EE396E">
        <w:rPr>
          <w:lang w:val="en-US"/>
        </w:rPr>
        <w:t>principer</w:t>
      </w:r>
      <w:proofErr w:type="spellEnd"/>
      <w:r w:rsidRPr="00EE396E">
        <w:rPr>
          <w:lang w:val="en-US"/>
        </w:rPr>
        <w:t xml:space="preserve">, till </w:t>
      </w:r>
      <w:proofErr w:type="spellStart"/>
      <w:r w:rsidRPr="00EE396E">
        <w:rPr>
          <w:lang w:val="en-US"/>
        </w:rPr>
        <w:t>aktieägarna</w:t>
      </w:r>
      <w:proofErr w:type="spellEnd"/>
      <w:r w:rsidRPr="00EE396E">
        <w:rPr>
          <w:lang w:val="en-US"/>
        </w:rPr>
        <w:t xml:space="preserve"> </w:t>
      </w:r>
      <w:proofErr w:type="spellStart"/>
      <w:r w:rsidRPr="00EE396E">
        <w:rPr>
          <w:lang w:val="en-US"/>
        </w:rPr>
        <w:t>utdela</w:t>
      </w:r>
      <w:proofErr w:type="spellEnd"/>
      <w:r w:rsidRPr="00EE396E">
        <w:rPr>
          <w:lang w:val="en-US"/>
        </w:rPr>
        <w:t xml:space="preserve"> </w:t>
      </w:r>
      <w:proofErr w:type="spellStart"/>
      <w:r w:rsidRPr="00EE396E">
        <w:rPr>
          <w:lang w:val="en-US"/>
        </w:rPr>
        <w:t>sådana</w:t>
      </w:r>
      <w:proofErr w:type="spellEnd"/>
      <w:r w:rsidRPr="00EE396E">
        <w:rPr>
          <w:lang w:val="en-US"/>
        </w:rPr>
        <w:t xml:space="preserve"> </w:t>
      </w:r>
      <w:proofErr w:type="spellStart"/>
      <w:r w:rsidRPr="00EE396E">
        <w:rPr>
          <w:lang w:val="en-US"/>
        </w:rPr>
        <w:t>värdepapper</w:t>
      </w:r>
      <w:proofErr w:type="spellEnd"/>
      <w:r w:rsidRPr="00EE396E">
        <w:rPr>
          <w:lang w:val="en-US"/>
        </w:rPr>
        <w:t xml:space="preserve"> </w:t>
      </w:r>
      <w:proofErr w:type="spellStart"/>
      <w:r w:rsidRPr="00EE396E">
        <w:rPr>
          <w:lang w:val="en-US"/>
        </w:rPr>
        <w:t>eller</w:t>
      </w:r>
      <w:proofErr w:type="spellEnd"/>
      <w:r w:rsidRPr="00EE396E">
        <w:rPr>
          <w:lang w:val="en-US"/>
        </w:rPr>
        <w:t xml:space="preserve"> </w:t>
      </w:r>
      <w:proofErr w:type="spellStart"/>
      <w:r w:rsidRPr="00EE396E">
        <w:rPr>
          <w:lang w:val="en-US"/>
        </w:rPr>
        <w:t>rättigheter</w:t>
      </w:r>
      <w:proofErr w:type="spellEnd"/>
      <w:r w:rsidRPr="00EE396E">
        <w:rPr>
          <w:lang w:val="en-US"/>
        </w:rPr>
        <w:t xml:space="preserve"> </w:t>
      </w:r>
      <w:proofErr w:type="spellStart"/>
      <w:r w:rsidRPr="00EE396E">
        <w:rPr>
          <w:lang w:val="en-US"/>
        </w:rPr>
        <w:t>utan</w:t>
      </w:r>
      <w:proofErr w:type="spellEnd"/>
      <w:r w:rsidRPr="00EE396E">
        <w:rPr>
          <w:lang w:val="en-US"/>
        </w:rPr>
        <w:t xml:space="preserve"> </w:t>
      </w:r>
      <w:proofErr w:type="spellStart"/>
      <w:r w:rsidRPr="00EE396E">
        <w:rPr>
          <w:lang w:val="en-US"/>
        </w:rPr>
        <w:t>vederlag</w:t>
      </w:r>
      <w:proofErr w:type="spellEnd"/>
      <w:r w:rsidRPr="00EE396E">
        <w:rPr>
          <w:lang w:val="en-US"/>
        </w:rPr>
        <w:t xml:space="preserve"> (</w:t>
      </w:r>
      <w:proofErr w:type="spellStart"/>
      <w:r w:rsidRPr="00EE396E">
        <w:rPr>
          <w:lang w:val="en-US"/>
        </w:rPr>
        <w:t>erbjudandet</w:t>
      </w:r>
      <w:proofErr w:type="spellEnd"/>
      <w:r w:rsidRPr="00EE396E">
        <w:rPr>
          <w:lang w:val="en-US"/>
        </w:rPr>
        <w:t xml:space="preserve">) ska vid </w:t>
      </w:r>
      <w:proofErr w:type="spellStart"/>
      <w:r w:rsidRPr="00EE396E">
        <w:rPr>
          <w:lang w:val="en-US"/>
        </w:rPr>
        <w:t>Teckning</w:t>
      </w:r>
      <w:proofErr w:type="spellEnd"/>
      <w:r w:rsidRPr="00EE396E">
        <w:rPr>
          <w:lang w:val="en-US"/>
        </w:rPr>
        <w:t xml:space="preserve">, </w:t>
      </w:r>
      <w:proofErr w:type="spellStart"/>
      <w:r w:rsidRPr="00EE396E">
        <w:rPr>
          <w:lang w:val="en-US"/>
        </w:rPr>
        <w:t>som</w:t>
      </w:r>
      <w:proofErr w:type="spellEnd"/>
      <w:r w:rsidRPr="00EE396E">
        <w:rPr>
          <w:lang w:val="en-US"/>
        </w:rPr>
        <w:t xml:space="preserve"> </w:t>
      </w:r>
      <w:proofErr w:type="spellStart"/>
      <w:r w:rsidRPr="00EE396E">
        <w:rPr>
          <w:lang w:val="en-US"/>
        </w:rPr>
        <w:t>görs</w:t>
      </w:r>
      <w:proofErr w:type="spellEnd"/>
      <w:r w:rsidRPr="00EE396E">
        <w:rPr>
          <w:lang w:val="en-US"/>
        </w:rPr>
        <w:t xml:space="preserve"> </w:t>
      </w:r>
      <w:proofErr w:type="spellStart"/>
      <w:r w:rsidRPr="00EE396E">
        <w:rPr>
          <w:lang w:val="en-US"/>
        </w:rPr>
        <w:t>på</w:t>
      </w:r>
      <w:proofErr w:type="spellEnd"/>
      <w:r w:rsidRPr="00EE396E">
        <w:rPr>
          <w:lang w:val="en-US"/>
        </w:rPr>
        <w:t xml:space="preserve"> </w:t>
      </w:r>
      <w:proofErr w:type="spellStart"/>
      <w:r w:rsidRPr="00EE396E">
        <w:rPr>
          <w:lang w:val="en-US"/>
        </w:rPr>
        <w:t>sådan</w:t>
      </w:r>
      <w:proofErr w:type="spellEnd"/>
      <w:r w:rsidRPr="00EE396E">
        <w:rPr>
          <w:lang w:val="en-US"/>
        </w:rPr>
        <w:t xml:space="preserve"> </w:t>
      </w:r>
      <w:proofErr w:type="spellStart"/>
      <w:r w:rsidRPr="00EE396E">
        <w:rPr>
          <w:lang w:val="en-US"/>
        </w:rPr>
        <w:t>tid</w:t>
      </w:r>
      <w:proofErr w:type="spellEnd"/>
      <w:r w:rsidRPr="00EE396E">
        <w:rPr>
          <w:lang w:val="en-US"/>
        </w:rPr>
        <w:t xml:space="preserve">, </w:t>
      </w:r>
      <w:proofErr w:type="spellStart"/>
      <w:r w:rsidRPr="00EE396E">
        <w:rPr>
          <w:lang w:val="en-US"/>
        </w:rPr>
        <w:t>att</w:t>
      </w:r>
      <w:proofErr w:type="spellEnd"/>
      <w:r w:rsidRPr="00EE396E">
        <w:rPr>
          <w:lang w:val="en-US"/>
        </w:rPr>
        <w:t xml:space="preserve"> </w:t>
      </w:r>
      <w:proofErr w:type="spellStart"/>
      <w:r w:rsidRPr="00EE396E">
        <w:rPr>
          <w:lang w:val="en-US"/>
        </w:rPr>
        <w:t>därigenom</w:t>
      </w:r>
      <w:proofErr w:type="spellEnd"/>
      <w:r w:rsidRPr="00EE396E">
        <w:rPr>
          <w:lang w:val="en-US"/>
        </w:rPr>
        <w:t xml:space="preserve"> </w:t>
      </w:r>
      <w:proofErr w:type="spellStart"/>
      <w:r w:rsidRPr="00EE396E">
        <w:rPr>
          <w:lang w:val="en-US"/>
        </w:rPr>
        <w:t>erhållen</w:t>
      </w:r>
      <w:proofErr w:type="spellEnd"/>
      <w:r w:rsidRPr="00EE396E">
        <w:rPr>
          <w:lang w:val="en-US"/>
        </w:rPr>
        <w:t xml:space="preserve"> </w:t>
      </w:r>
      <w:proofErr w:type="spellStart"/>
      <w:r w:rsidRPr="00EE396E">
        <w:rPr>
          <w:lang w:val="en-US"/>
        </w:rPr>
        <w:t>Aktie</w:t>
      </w:r>
      <w:proofErr w:type="spellEnd"/>
      <w:r w:rsidRPr="00EE396E">
        <w:rPr>
          <w:lang w:val="en-US"/>
        </w:rPr>
        <w:t xml:space="preserve"> </w:t>
      </w:r>
      <w:proofErr w:type="spellStart"/>
      <w:r w:rsidRPr="00EE396E">
        <w:rPr>
          <w:lang w:val="en-US"/>
        </w:rPr>
        <w:t>inte</w:t>
      </w:r>
      <w:proofErr w:type="spellEnd"/>
      <w:r w:rsidRPr="00EE396E">
        <w:rPr>
          <w:lang w:val="en-US"/>
        </w:rPr>
        <w:t xml:space="preserve"> </w:t>
      </w:r>
      <w:proofErr w:type="spellStart"/>
      <w:r w:rsidRPr="00EE396E">
        <w:rPr>
          <w:lang w:val="en-US"/>
        </w:rPr>
        <w:t>medför</w:t>
      </w:r>
      <w:proofErr w:type="spellEnd"/>
      <w:r w:rsidRPr="00EE396E">
        <w:rPr>
          <w:lang w:val="en-US"/>
        </w:rPr>
        <w:t xml:space="preserve"> </w:t>
      </w:r>
      <w:proofErr w:type="spellStart"/>
      <w:r w:rsidRPr="00EE396E">
        <w:rPr>
          <w:lang w:val="en-US"/>
        </w:rPr>
        <w:t>rätt</w:t>
      </w:r>
      <w:proofErr w:type="spellEnd"/>
      <w:r w:rsidRPr="00EE396E">
        <w:rPr>
          <w:lang w:val="en-US"/>
        </w:rPr>
        <w:t xml:space="preserve"> till </w:t>
      </w:r>
      <w:proofErr w:type="spellStart"/>
      <w:r w:rsidRPr="00EE396E">
        <w:rPr>
          <w:lang w:val="en-US"/>
        </w:rPr>
        <w:t>deltagande</w:t>
      </w:r>
      <w:proofErr w:type="spellEnd"/>
      <w:r w:rsidRPr="00EE396E">
        <w:rPr>
          <w:lang w:val="en-US"/>
        </w:rPr>
        <w:t xml:space="preserve"> </w:t>
      </w:r>
      <w:proofErr w:type="spellStart"/>
      <w:r w:rsidRPr="00EE396E">
        <w:rPr>
          <w:lang w:val="en-US"/>
        </w:rPr>
        <w:t>i</w:t>
      </w:r>
      <w:proofErr w:type="spellEnd"/>
      <w:r w:rsidRPr="00EE396E">
        <w:rPr>
          <w:lang w:val="en-US"/>
        </w:rPr>
        <w:t xml:space="preserve"> </w:t>
      </w:r>
      <w:proofErr w:type="spellStart"/>
      <w:r w:rsidRPr="00EE396E">
        <w:rPr>
          <w:lang w:val="en-US"/>
        </w:rPr>
        <w:t>erbjudandet</w:t>
      </w:r>
      <w:proofErr w:type="spellEnd"/>
      <w:r w:rsidRPr="00EE396E">
        <w:rPr>
          <w:lang w:val="en-US"/>
        </w:rPr>
        <w:t xml:space="preserve">, ska </w:t>
      </w:r>
      <w:proofErr w:type="spellStart"/>
      <w:r w:rsidRPr="00EE396E">
        <w:rPr>
          <w:lang w:val="en-US"/>
        </w:rPr>
        <w:t>följande</w:t>
      </w:r>
      <w:proofErr w:type="spellEnd"/>
      <w:r w:rsidRPr="00EE396E">
        <w:rPr>
          <w:lang w:val="en-US"/>
        </w:rPr>
        <w:t xml:space="preserve"> </w:t>
      </w:r>
      <w:proofErr w:type="spellStart"/>
      <w:r w:rsidRPr="00EE396E">
        <w:rPr>
          <w:lang w:val="en-US"/>
        </w:rPr>
        <w:t>gälla</w:t>
      </w:r>
      <w:proofErr w:type="spellEnd"/>
      <w:r w:rsidRPr="00EE396E">
        <w:rPr>
          <w:lang w:val="en-US"/>
        </w:rPr>
        <w:t>:</w:t>
      </w:r>
      <w:r w:rsidRPr="00437F01">
        <w:br/>
      </w:r>
      <w:r w:rsidRPr="00437F01">
        <w:rPr>
          <w:i/>
        </w:rPr>
        <w:t xml:space="preserve">In the event the Company, under circumstances other than those set forth in sections </w:t>
      </w:r>
      <w:r>
        <w:rPr>
          <w:i/>
          <w:szCs w:val="22"/>
        </w:rPr>
        <w:fldChar w:fldCharType="begin"/>
      </w:r>
      <w:r>
        <w:rPr>
          <w:i/>
        </w:rPr>
        <w:instrText xml:space="preserve"> REF _Ref419826047 \r \h </w:instrText>
      </w:r>
      <w:r>
        <w:rPr>
          <w:i/>
          <w:szCs w:val="22"/>
        </w:rPr>
      </w:r>
      <w:r>
        <w:rPr>
          <w:i/>
          <w:szCs w:val="22"/>
        </w:rPr>
        <w:fldChar w:fldCharType="separate"/>
      </w:r>
      <w:r>
        <w:rPr>
          <w:i/>
        </w:rPr>
        <w:t>8.2.2</w:t>
      </w:r>
      <w:r>
        <w:rPr>
          <w:i/>
          <w:szCs w:val="22"/>
        </w:rPr>
        <w:fldChar w:fldCharType="end"/>
      </w:r>
      <w:r w:rsidRPr="00437F01">
        <w:rPr>
          <w:i/>
        </w:rPr>
        <w:t>–</w:t>
      </w:r>
      <w:r>
        <w:rPr>
          <w:i/>
          <w:szCs w:val="22"/>
        </w:rPr>
        <w:fldChar w:fldCharType="begin"/>
      </w:r>
      <w:r>
        <w:rPr>
          <w:i/>
          <w:szCs w:val="22"/>
        </w:rPr>
        <w:instrText xml:space="preserve"> REF _Ref445997868 \r \h </w:instrText>
      </w:r>
      <w:r>
        <w:rPr>
          <w:i/>
          <w:szCs w:val="22"/>
        </w:rPr>
      </w:r>
      <w:r>
        <w:rPr>
          <w:i/>
          <w:szCs w:val="22"/>
        </w:rPr>
        <w:fldChar w:fldCharType="separate"/>
      </w:r>
      <w:r>
        <w:rPr>
          <w:i/>
          <w:szCs w:val="22"/>
        </w:rPr>
        <w:t>8.2.5</w:t>
      </w:r>
      <w:r>
        <w:rPr>
          <w:i/>
          <w:szCs w:val="22"/>
        </w:rPr>
        <w:fldChar w:fldCharType="end"/>
      </w:r>
      <w:r w:rsidRPr="00437F01">
        <w:rPr>
          <w:i/>
        </w:rPr>
        <w:t xml:space="preserve"> above, </w:t>
      </w:r>
      <w:r w:rsidRPr="00437F01">
        <w:rPr>
          <w:i/>
          <w:u w:val="single"/>
        </w:rPr>
        <w:t>directs an offer to the shareholders</w:t>
      </w:r>
      <w:r w:rsidRPr="00437F01">
        <w:rPr>
          <w:i/>
        </w:rPr>
        <w:t xml:space="preserve">, with a priority rights pursuant to the principles set forth in Ch. 13 </w:t>
      </w:r>
      <w:r>
        <w:rPr>
          <w:i/>
        </w:rPr>
        <w:t>§</w:t>
      </w:r>
      <w:r w:rsidRPr="00437F01">
        <w:rPr>
          <w:i/>
        </w:rPr>
        <w:t xml:space="preserve"> 1 of the </w:t>
      </w:r>
      <w:r>
        <w:rPr>
          <w:i/>
        </w:rPr>
        <w:t xml:space="preserve">Swedish </w:t>
      </w:r>
      <w:r w:rsidRPr="00437F01">
        <w:rPr>
          <w:i/>
        </w:rPr>
        <w:t>Companies Act, to acquire securities or rights of any kind from the Company, or where the Company resolves, pursuant to the above stated principles, to distribute to its shareholders such securities or rights without consideration (the offer), the following shall apply, with respect to Subscriptions requested at such a time that the thereby acquired Shares do not carry rights to participate in the offer:</w:t>
      </w:r>
    </w:p>
    <w:p w14:paraId="52A93E6D" w14:textId="77777777" w:rsidR="006350FE" w:rsidRPr="00437F01" w:rsidRDefault="006350FE" w:rsidP="006350FE">
      <w:pPr>
        <w:pStyle w:val="BodyText"/>
        <w:numPr>
          <w:ilvl w:val="0"/>
          <w:numId w:val="51"/>
        </w:numPr>
        <w:ind w:firstLine="0"/>
      </w:pPr>
      <w:r w:rsidRPr="00A50800">
        <w:rPr>
          <w:rFonts w:eastAsia="Times New Roman"/>
          <w:lang w:val="sv-SE"/>
        </w:rPr>
        <w:t xml:space="preserve">Om Bolagets Aktier vid tidpunkten för emissionen inte är föremål för marknadsnotering, </w:t>
      </w:r>
      <w:r>
        <w:rPr>
          <w:rFonts w:eastAsia="Times New Roman"/>
          <w:lang w:val="sv-SE"/>
        </w:rPr>
        <w:t>ska</w:t>
      </w:r>
      <w:r w:rsidRPr="00A50800">
        <w:rPr>
          <w:rFonts w:eastAsia="Times New Roman"/>
          <w:lang w:val="sv-SE"/>
        </w:rPr>
        <w:t xml:space="preserve"> omräkning ske, dels av Teckningskursen, dels av det antal Aktier som varje Teckningsoption ger rätt att teckna i enlighet med denna punkt </w:t>
      </w:r>
      <w:r>
        <w:fldChar w:fldCharType="begin"/>
      </w:r>
      <w:r>
        <w:rPr>
          <w:rFonts w:eastAsia="Times New Roman"/>
          <w:lang w:val="sv-SE"/>
        </w:rPr>
        <w:instrText xml:space="preserve"> REF _Ref445997940 \r \h </w:instrText>
      </w:r>
      <w:r>
        <w:fldChar w:fldCharType="separate"/>
      </w:r>
      <w:r>
        <w:rPr>
          <w:rFonts w:eastAsia="Times New Roman"/>
          <w:lang w:val="sv-SE"/>
        </w:rPr>
        <w:t>8.2.6</w:t>
      </w:r>
      <w:r>
        <w:fldChar w:fldCharType="end"/>
      </w:r>
      <w:r w:rsidRPr="00A50800">
        <w:rPr>
          <w:rFonts w:eastAsia="Times New Roman"/>
          <w:lang w:val="sv-SE"/>
        </w:rPr>
        <w:t xml:space="preserve"> angivna principer. Omräkningen </w:t>
      </w:r>
      <w:r>
        <w:rPr>
          <w:rFonts w:eastAsia="Times New Roman"/>
          <w:lang w:val="sv-SE"/>
        </w:rPr>
        <w:t>ska</w:t>
      </w:r>
      <w:r w:rsidRPr="00A50800">
        <w:rPr>
          <w:rFonts w:eastAsia="Times New Roman"/>
          <w:lang w:val="sv-SE"/>
        </w:rPr>
        <w:t xml:space="preserve"> utföras av Bolaget</w:t>
      </w:r>
      <w:r>
        <w:rPr>
          <w:rFonts w:eastAsia="Times New Roman"/>
          <w:lang w:val="sv-SE"/>
        </w:rPr>
        <w:t xml:space="preserve"> och</w:t>
      </w:r>
      <w:r w:rsidRPr="00A50800">
        <w:rPr>
          <w:rFonts w:eastAsia="Times New Roman"/>
          <w:lang w:val="sv-SE"/>
        </w:rPr>
        <w:t xml:space="preserve"> </w:t>
      </w:r>
      <w:r>
        <w:rPr>
          <w:rFonts w:eastAsia="Times New Roman"/>
          <w:lang w:val="sv-SE"/>
        </w:rPr>
        <w:t>ska</w:t>
      </w:r>
      <w:r w:rsidRPr="00A50800">
        <w:rPr>
          <w:rFonts w:eastAsia="Times New Roman"/>
          <w:lang w:val="sv-SE"/>
        </w:rPr>
        <w:t xml:space="preserve"> ha som utgångspunkt att värdet på Teckningsoptionerna </w:t>
      </w:r>
      <w:r>
        <w:rPr>
          <w:rFonts w:eastAsia="Times New Roman"/>
          <w:lang w:val="sv-SE"/>
        </w:rPr>
        <w:t>ska</w:t>
      </w:r>
      <w:r w:rsidRPr="00A50800">
        <w:rPr>
          <w:rFonts w:eastAsia="Times New Roman"/>
          <w:lang w:val="sv-SE"/>
        </w:rPr>
        <w:t xml:space="preserve"> lämnas oförändrat.</w:t>
      </w:r>
      <w:r w:rsidRPr="00A50800">
        <w:rPr>
          <w:rFonts w:eastAsia="Times New Roman"/>
          <w:lang w:val="sv-SE"/>
        </w:rPr>
        <w:br/>
      </w:r>
      <w:r w:rsidRPr="00437F01">
        <w:rPr>
          <w:i/>
        </w:rPr>
        <w:t xml:space="preserve">Should the Company's Shares not be listed, at the time of the issuance, a recalculation of the Subscription Price and the number of Shares each Warrant entitles to subscribe for shall be adjusted in accordance with the principles set forth in this section </w:t>
      </w:r>
      <w:r>
        <w:rPr>
          <w:i/>
        </w:rPr>
        <w:fldChar w:fldCharType="begin"/>
      </w:r>
      <w:r>
        <w:rPr>
          <w:i/>
        </w:rPr>
        <w:instrText xml:space="preserve"> REF _Ref445997940 \r \h </w:instrText>
      </w:r>
      <w:r>
        <w:rPr>
          <w:i/>
        </w:rPr>
      </w:r>
      <w:r>
        <w:rPr>
          <w:i/>
        </w:rPr>
        <w:fldChar w:fldCharType="separate"/>
      </w:r>
      <w:r>
        <w:rPr>
          <w:i/>
        </w:rPr>
        <w:t>8.2.6</w:t>
      </w:r>
      <w:r>
        <w:rPr>
          <w:i/>
        </w:rPr>
        <w:fldChar w:fldCharType="end"/>
      </w:r>
      <w:r w:rsidRPr="00437F01">
        <w:rPr>
          <w:i/>
        </w:rPr>
        <w:t>. The recalculation shall be made by the Company and shall be made on the basis that the value of the Warrants shall remain unchanged.</w:t>
      </w:r>
      <w:r w:rsidRPr="00437F01">
        <w:t xml:space="preserve"> </w:t>
      </w:r>
    </w:p>
    <w:p w14:paraId="41CCB297" w14:textId="77777777" w:rsidR="006350FE" w:rsidRPr="00437F01" w:rsidRDefault="006350FE" w:rsidP="006350FE">
      <w:pPr>
        <w:pStyle w:val="BodyText"/>
        <w:numPr>
          <w:ilvl w:val="0"/>
          <w:numId w:val="51"/>
        </w:numPr>
        <w:ind w:firstLine="0"/>
      </w:pPr>
      <w:r w:rsidRPr="00A50800">
        <w:rPr>
          <w:rFonts w:eastAsia="Times New Roman"/>
          <w:lang w:val="sv-SE"/>
        </w:rPr>
        <w:t xml:space="preserve">Om Bolagets Aktier vid tidpunkten för emissionen är föremål för marknadsnotering, </w:t>
      </w:r>
      <w:r>
        <w:rPr>
          <w:rFonts w:eastAsia="Times New Roman"/>
          <w:lang w:val="sv-SE"/>
        </w:rPr>
        <w:t>s</w:t>
      </w:r>
      <w:r w:rsidRPr="0003484D">
        <w:rPr>
          <w:rFonts w:eastAsia="Times New Roman"/>
          <w:lang w:val="sv-SE"/>
        </w:rPr>
        <w:t xml:space="preserve">ka tillämpas en omräknad Teckningskurs liksom en omräkning av det antal Aktier som varje Teckningsoption berättigar till Teckning av. </w:t>
      </w:r>
      <w:proofErr w:type="spellStart"/>
      <w:r w:rsidRPr="006B6AC0">
        <w:rPr>
          <w:rFonts w:eastAsia="Times New Roman"/>
          <w:lang w:val="en-US"/>
        </w:rPr>
        <w:t>Omräkningarna</w:t>
      </w:r>
      <w:proofErr w:type="spellEnd"/>
      <w:r w:rsidRPr="006B6AC0">
        <w:rPr>
          <w:rFonts w:eastAsia="Times New Roman"/>
          <w:lang w:val="en-US"/>
        </w:rPr>
        <w:t xml:space="preserve"> </w:t>
      </w:r>
      <w:proofErr w:type="spellStart"/>
      <w:r w:rsidRPr="006B6AC0">
        <w:rPr>
          <w:rFonts w:eastAsia="Times New Roman"/>
          <w:lang w:val="en-US"/>
        </w:rPr>
        <w:t>utförs</w:t>
      </w:r>
      <w:proofErr w:type="spellEnd"/>
      <w:r w:rsidRPr="006B6AC0">
        <w:rPr>
          <w:rFonts w:eastAsia="Times New Roman"/>
          <w:lang w:val="en-US"/>
        </w:rPr>
        <w:t xml:space="preserve"> av </w:t>
      </w:r>
      <w:proofErr w:type="spellStart"/>
      <w:r w:rsidRPr="006B6AC0">
        <w:rPr>
          <w:rFonts w:eastAsia="Times New Roman"/>
          <w:lang w:val="en-US"/>
        </w:rPr>
        <w:t>Bolaget</w:t>
      </w:r>
      <w:proofErr w:type="spellEnd"/>
      <w:r w:rsidRPr="006B6AC0">
        <w:rPr>
          <w:rFonts w:eastAsia="Times New Roman"/>
          <w:lang w:val="en-US"/>
        </w:rPr>
        <w:t xml:space="preserve"> </w:t>
      </w:r>
      <w:proofErr w:type="spellStart"/>
      <w:r w:rsidRPr="006B6AC0">
        <w:rPr>
          <w:rFonts w:eastAsia="Times New Roman"/>
          <w:lang w:val="en-US"/>
        </w:rPr>
        <w:t>enligt</w:t>
      </w:r>
      <w:proofErr w:type="spellEnd"/>
      <w:r w:rsidRPr="006B6AC0">
        <w:rPr>
          <w:rFonts w:eastAsia="Times New Roman"/>
          <w:lang w:val="en-US"/>
        </w:rPr>
        <w:t xml:space="preserve"> </w:t>
      </w:r>
      <w:proofErr w:type="spellStart"/>
      <w:r w:rsidRPr="006B6AC0">
        <w:rPr>
          <w:rFonts w:eastAsia="Times New Roman"/>
          <w:lang w:val="en-US"/>
        </w:rPr>
        <w:t>följande</w:t>
      </w:r>
      <w:proofErr w:type="spellEnd"/>
      <w:r w:rsidRPr="006B6AC0">
        <w:rPr>
          <w:rFonts w:eastAsia="Times New Roman"/>
          <w:lang w:val="en-US"/>
        </w:rPr>
        <w:t xml:space="preserve"> </w:t>
      </w:r>
      <w:proofErr w:type="spellStart"/>
      <w:r w:rsidRPr="006B6AC0">
        <w:rPr>
          <w:rFonts w:eastAsia="Times New Roman"/>
          <w:lang w:val="en-US"/>
        </w:rPr>
        <w:t>formler</w:t>
      </w:r>
      <w:proofErr w:type="spellEnd"/>
      <w:r w:rsidRPr="006B6AC0">
        <w:rPr>
          <w:rFonts w:eastAsia="Times New Roman"/>
          <w:lang w:val="en-US"/>
        </w:rPr>
        <w:t>:</w:t>
      </w:r>
      <w:r w:rsidRPr="00437F01">
        <w:rPr>
          <w:rFonts w:eastAsia="Times New Roman"/>
        </w:rPr>
        <w:br/>
      </w:r>
      <w:r w:rsidRPr="00437F01">
        <w:rPr>
          <w:i/>
        </w:rPr>
        <w:t>Should the Company's Shares be listed at the time of the issuance, a recalculated Subscription Price as well as a recalculated number of Shares which each Warrant entitles to Subscribe for shall be applied. Recalculations shall be made by the Company in accordance with the following formulas:</w:t>
      </w:r>
    </w:p>
    <w:tbl>
      <w:tblPr>
        <w:tblW w:w="8370" w:type="dxa"/>
        <w:tblInd w:w="630" w:type="dxa"/>
        <w:tblBorders>
          <w:top w:val="nil"/>
          <w:left w:val="nil"/>
          <w:bottom w:val="nil"/>
          <w:right w:val="nil"/>
          <w:insideH w:val="nil"/>
          <w:insideV w:val="nil"/>
        </w:tblBorders>
        <w:tblLook w:val="04A0" w:firstRow="1" w:lastRow="0" w:firstColumn="1" w:lastColumn="0" w:noHBand="0" w:noVBand="1"/>
      </w:tblPr>
      <w:tblGrid>
        <w:gridCol w:w="2160"/>
        <w:gridCol w:w="450"/>
        <w:gridCol w:w="5760"/>
      </w:tblGrid>
      <w:tr w:rsidR="006350FE" w:rsidRPr="00D00630" w14:paraId="1F94871E" w14:textId="77777777" w:rsidTr="00695A7D">
        <w:trPr>
          <w:cantSplit/>
        </w:trPr>
        <w:tc>
          <w:tcPr>
            <w:tcW w:w="2160" w:type="dxa"/>
            <w:vMerge w:val="restart"/>
            <w:vAlign w:val="center"/>
          </w:tcPr>
          <w:p w14:paraId="64EC2046" w14:textId="77777777" w:rsidR="006350FE" w:rsidRPr="00437F01" w:rsidRDefault="006350FE" w:rsidP="00695A7D">
            <w:pPr>
              <w:pStyle w:val="TableText"/>
              <w:spacing w:after="0"/>
            </w:pPr>
            <w:proofErr w:type="spellStart"/>
            <w:r w:rsidRPr="00437F01">
              <w:lastRenderedPageBreak/>
              <w:t>Omräknad</w:t>
            </w:r>
            <w:proofErr w:type="spellEnd"/>
            <w:r w:rsidRPr="00437F01">
              <w:t xml:space="preserve"> </w:t>
            </w:r>
            <w:proofErr w:type="spellStart"/>
            <w:r w:rsidRPr="00437F01">
              <w:t>Teckningskurs</w:t>
            </w:r>
            <w:proofErr w:type="spellEnd"/>
          </w:p>
        </w:tc>
        <w:tc>
          <w:tcPr>
            <w:tcW w:w="450" w:type="dxa"/>
            <w:vMerge w:val="restart"/>
            <w:vAlign w:val="center"/>
          </w:tcPr>
          <w:p w14:paraId="519EF9F7" w14:textId="77777777" w:rsidR="006350FE" w:rsidRPr="00437F01" w:rsidRDefault="006350FE" w:rsidP="00695A7D">
            <w:pPr>
              <w:pStyle w:val="TableText"/>
              <w:spacing w:after="0"/>
              <w:jc w:val="center"/>
            </w:pPr>
            <w:r w:rsidRPr="00437F01">
              <w:t>=</w:t>
            </w:r>
          </w:p>
        </w:tc>
        <w:tc>
          <w:tcPr>
            <w:tcW w:w="5760" w:type="dxa"/>
            <w:tcBorders>
              <w:bottom w:val="single" w:sz="4" w:space="0" w:color="auto"/>
            </w:tcBorders>
          </w:tcPr>
          <w:p w14:paraId="5AE85F15" w14:textId="77777777" w:rsidR="006350FE" w:rsidRPr="00A50800" w:rsidRDefault="006350F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Aktiens genomsnittliga aktiekurs under den i erbjudandet fastställda anmälningstiden (</w:t>
            </w:r>
            <w:r>
              <w:rPr>
                <w:lang w:val="sv-SE"/>
              </w:rPr>
              <w:t>Aktie</w:t>
            </w:r>
            <w:r w:rsidRPr="00A50800">
              <w:rPr>
                <w:lang w:val="sv-SE"/>
              </w:rPr>
              <w:t>ns genomsnittskurs)</w:t>
            </w:r>
          </w:p>
        </w:tc>
      </w:tr>
      <w:tr w:rsidR="006350FE" w:rsidRPr="00D00630" w14:paraId="0F05438C" w14:textId="77777777" w:rsidTr="00695A7D">
        <w:trPr>
          <w:cantSplit/>
        </w:trPr>
        <w:tc>
          <w:tcPr>
            <w:tcW w:w="2160" w:type="dxa"/>
            <w:vMerge/>
            <w:vAlign w:val="center"/>
          </w:tcPr>
          <w:p w14:paraId="20103F40" w14:textId="77777777" w:rsidR="006350FE" w:rsidRPr="00A50800" w:rsidRDefault="006350FE" w:rsidP="00695A7D">
            <w:pPr>
              <w:pStyle w:val="TableText"/>
              <w:spacing w:after="0"/>
              <w:rPr>
                <w:i/>
                <w:lang w:val="sv-SE"/>
              </w:rPr>
            </w:pPr>
          </w:p>
        </w:tc>
        <w:tc>
          <w:tcPr>
            <w:tcW w:w="450" w:type="dxa"/>
            <w:vMerge/>
            <w:vAlign w:val="center"/>
          </w:tcPr>
          <w:p w14:paraId="2A573A51" w14:textId="77777777" w:rsidR="006350FE" w:rsidRPr="00A50800" w:rsidRDefault="006350FE" w:rsidP="00695A7D">
            <w:pPr>
              <w:pStyle w:val="TableText"/>
              <w:spacing w:after="0"/>
              <w:jc w:val="center"/>
              <w:rPr>
                <w:lang w:val="sv-SE"/>
              </w:rPr>
            </w:pPr>
          </w:p>
        </w:tc>
        <w:tc>
          <w:tcPr>
            <w:tcW w:w="5760" w:type="dxa"/>
            <w:tcBorders>
              <w:top w:val="single" w:sz="4" w:space="0" w:color="auto"/>
              <w:bottom w:val="nil"/>
            </w:tcBorders>
          </w:tcPr>
          <w:p w14:paraId="6F64F483" w14:textId="77777777" w:rsidR="006350FE" w:rsidRPr="00A50800" w:rsidRDefault="006350FE" w:rsidP="00695A7D">
            <w:pPr>
              <w:pStyle w:val="TableText"/>
              <w:spacing w:after="0"/>
              <w:rPr>
                <w:lang w:val="sv-SE"/>
              </w:rPr>
            </w:pPr>
            <w:r w:rsidRPr="00A50800">
              <w:rPr>
                <w:lang w:val="sv-SE"/>
              </w:rPr>
              <w:t>Aktiens genomsnittskurs ökad med värdet av rätten till deltagande i erbjudandet (inköpsrättens värde)</w:t>
            </w:r>
          </w:p>
        </w:tc>
      </w:tr>
      <w:tr w:rsidR="006350FE" w:rsidRPr="00D00630" w14:paraId="660A098F" w14:textId="77777777" w:rsidTr="00695A7D">
        <w:trPr>
          <w:cantSplit/>
        </w:trPr>
        <w:tc>
          <w:tcPr>
            <w:tcW w:w="2160" w:type="dxa"/>
            <w:vAlign w:val="center"/>
          </w:tcPr>
          <w:p w14:paraId="57FD125F" w14:textId="77777777" w:rsidR="006350FE" w:rsidRPr="00A50800" w:rsidRDefault="006350FE" w:rsidP="00695A7D">
            <w:pPr>
              <w:pStyle w:val="TableText"/>
              <w:spacing w:after="0"/>
              <w:rPr>
                <w:i/>
                <w:lang w:val="sv-SE"/>
              </w:rPr>
            </w:pPr>
          </w:p>
        </w:tc>
        <w:tc>
          <w:tcPr>
            <w:tcW w:w="450" w:type="dxa"/>
            <w:tcBorders>
              <w:right w:val="nil"/>
            </w:tcBorders>
            <w:vAlign w:val="center"/>
          </w:tcPr>
          <w:p w14:paraId="22B6AF6A" w14:textId="77777777" w:rsidR="006350FE" w:rsidRPr="00A50800" w:rsidRDefault="006350FE" w:rsidP="00695A7D">
            <w:pPr>
              <w:pStyle w:val="TableText"/>
              <w:spacing w:after="0"/>
              <w:jc w:val="center"/>
              <w:rPr>
                <w:lang w:val="sv-SE"/>
              </w:rPr>
            </w:pPr>
          </w:p>
        </w:tc>
        <w:tc>
          <w:tcPr>
            <w:tcW w:w="5760" w:type="dxa"/>
            <w:tcBorders>
              <w:top w:val="nil"/>
              <w:left w:val="nil"/>
              <w:bottom w:val="nil"/>
              <w:right w:val="nil"/>
            </w:tcBorders>
          </w:tcPr>
          <w:p w14:paraId="5574345F" w14:textId="77777777" w:rsidR="006350FE" w:rsidRPr="00A50800" w:rsidRDefault="006350FE" w:rsidP="00695A7D">
            <w:pPr>
              <w:pStyle w:val="TableText"/>
              <w:spacing w:after="0"/>
              <w:rPr>
                <w:lang w:val="sv-SE"/>
              </w:rPr>
            </w:pPr>
          </w:p>
        </w:tc>
      </w:tr>
      <w:tr w:rsidR="006350FE" w:rsidRPr="00D00630" w14:paraId="1BFEB015" w14:textId="77777777" w:rsidTr="00695A7D">
        <w:trPr>
          <w:cantSplit/>
        </w:trPr>
        <w:tc>
          <w:tcPr>
            <w:tcW w:w="2160" w:type="dxa"/>
            <w:vMerge w:val="restart"/>
            <w:vAlign w:val="center"/>
          </w:tcPr>
          <w:p w14:paraId="2A1DA61E" w14:textId="77777777" w:rsidR="006350FE" w:rsidRPr="00A50800" w:rsidRDefault="006350FE" w:rsidP="00695A7D">
            <w:pPr>
              <w:pStyle w:val="TableText"/>
              <w:spacing w:after="0"/>
              <w:rPr>
                <w:lang w:val="sv-SE"/>
              </w:rPr>
            </w:pPr>
            <w:r w:rsidRPr="00A50800">
              <w:rPr>
                <w:lang w:val="sv-SE"/>
              </w:rPr>
              <w:t>Omräknat antal Aktier som varje Teckningsoption berättigar till Teckning av</w:t>
            </w:r>
          </w:p>
        </w:tc>
        <w:tc>
          <w:tcPr>
            <w:tcW w:w="450" w:type="dxa"/>
            <w:vMerge w:val="restart"/>
            <w:vAlign w:val="center"/>
          </w:tcPr>
          <w:p w14:paraId="4E7A8758" w14:textId="77777777" w:rsidR="006350FE" w:rsidRPr="00437F01" w:rsidRDefault="006350FE" w:rsidP="00695A7D">
            <w:pPr>
              <w:pStyle w:val="TableText"/>
              <w:spacing w:after="0"/>
              <w:jc w:val="center"/>
            </w:pPr>
            <w:r w:rsidRPr="00437F01">
              <w:t>=</w:t>
            </w:r>
          </w:p>
        </w:tc>
        <w:tc>
          <w:tcPr>
            <w:tcW w:w="5760" w:type="dxa"/>
            <w:tcBorders>
              <w:top w:val="nil"/>
              <w:bottom w:val="single" w:sz="4" w:space="0" w:color="auto"/>
            </w:tcBorders>
          </w:tcPr>
          <w:p w14:paraId="4DA70885" w14:textId="77777777" w:rsidR="006350FE" w:rsidRPr="00A50800" w:rsidRDefault="006350F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inköpsrättens värde)</w:t>
            </w:r>
          </w:p>
        </w:tc>
      </w:tr>
      <w:tr w:rsidR="006350FE" w:rsidRPr="00437F01" w14:paraId="46815FFC" w14:textId="77777777" w:rsidTr="00695A7D">
        <w:trPr>
          <w:cantSplit/>
          <w:trHeight w:val="395"/>
        </w:trPr>
        <w:tc>
          <w:tcPr>
            <w:tcW w:w="2160" w:type="dxa"/>
            <w:vMerge/>
          </w:tcPr>
          <w:p w14:paraId="14B5E056" w14:textId="77777777" w:rsidR="006350FE" w:rsidRPr="00A50800" w:rsidRDefault="006350FE" w:rsidP="00695A7D">
            <w:pPr>
              <w:pStyle w:val="TableText"/>
              <w:spacing w:after="0"/>
              <w:rPr>
                <w:lang w:val="sv-SE"/>
              </w:rPr>
            </w:pPr>
          </w:p>
        </w:tc>
        <w:tc>
          <w:tcPr>
            <w:tcW w:w="450" w:type="dxa"/>
            <w:vMerge/>
            <w:vAlign w:val="center"/>
          </w:tcPr>
          <w:p w14:paraId="206BFA64" w14:textId="77777777" w:rsidR="006350FE" w:rsidRPr="00A50800" w:rsidRDefault="006350FE" w:rsidP="00695A7D">
            <w:pPr>
              <w:pStyle w:val="TableText"/>
              <w:spacing w:after="0"/>
              <w:jc w:val="center"/>
              <w:rPr>
                <w:lang w:val="sv-SE"/>
              </w:rPr>
            </w:pPr>
          </w:p>
        </w:tc>
        <w:tc>
          <w:tcPr>
            <w:tcW w:w="5760" w:type="dxa"/>
            <w:tcBorders>
              <w:top w:val="single" w:sz="4" w:space="0" w:color="auto"/>
            </w:tcBorders>
          </w:tcPr>
          <w:p w14:paraId="69719C2D" w14:textId="77777777" w:rsidR="006350FE" w:rsidRPr="00437F01" w:rsidRDefault="006350FE" w:rsidP="00695A7D">
            <w:pPr>
              <w:pStyle w:val="TableText"/>
              <w:spacing w:after="0"/>
            </w:pPr>
            <w:proofErr w:type="spellStart"/>
            <w:r w:rsidRPr="00437F01">
              <w:t>Aktiens</w:t>
            </w:r>
            <w:proofErr w:type="spellEnd"/>
            <w:r w:rsidRPr="00437F01">
              <w:t xml:space="preserve"> </w:t>
            </w:r>
            <w:proofErr w:type="spellStart"/>
            <w:r w:rsidRPr="00437F01">
              <w:t>genomsnittskurs</w:t>
            </w:r>
            <w:proofErr w:type="spellEnd"/>
          </w:p>
        </w:tc>
      </w:tr>
      <w:tr w:rsidR="006350FE" w:rsidRPr="003D73C9" w14:paraId="6B6467C8" w14:textId="77777777" w:rsidTr="00695A7D">
        <w:trPr>
          <w:cantSplit/>
        </w:trPr>
        <w:tc>
          <w:tcPr>
            <w:tcW w:w="2160" w:type="dxa"/>
            <w:vMerge w:val="restart"/>
            <w:vAlign w:val="center"/>
          </w:tcPr>
          <w:p w14:paraId="6C4C2721" w14:textId="77777777" w:rsidR="006350FE" w:rsidRPr="00437F01" w:rsidRDefault="006350FE" w:rsidP="00695A7D">
            <w:pPr>
              <w:pStyle w:val="TableText"/>
              <w:spacing w:after="0"/>
            </w:pPr>
            <w:r w:rsidRPr="00437F01">
              <w:rPr>
                <w:i/>
              </w:rPr>
              <w:t>Recalculated Subscription Price</w:t>
            </w:r>
          </w:p>
        </w:tc>
        <w:tc>
          <w:tcPr>
            <w:tcW w:w="450" w:type="dxa"/>
            <w:vMerge w:val="restart"/>
            <w:vAlign w:val="center"/>
          </w:tcPr>
          <w:p w14:paraId="4085FBFF" w14:textId="77777777" w:rsidR="006350FE" w:rsidRPr="00437F01" w:rsidRDefault="006350FE" w:rsidP="00695A7D">
            <w:pPr>
              <w:pStyle w:val="TableText"/>
              <w:spacing w:after="0"/>
              <w:jc w:val="center"/>
            </w:pPr>
            <w:r w:rsidRPr="00437F01">
              <w:t>=</w:t>
            </w:r>
          </w:p>
        </w:tc>
        <w:tc>
          <w:tcPr>
            <w:tcW w:w="5760" w:type="dxa"/>
            <w:tcBorders>
              <w:bottom w:val="single" w:sz="4" w:space="0" w:color="auto"/>
            </w:tcBorders>
          </w:tcPr>
          <w:p w14:paraId="6F214BC3" w14:textId="77777777" w:rsidR="006350FE" w:rsidRPr="00437F01" w:rsidRDefault="006350FE" w:rsidP="00695A7D">
            <w:pPr>
              <w:pStyle w:val="TableText"/>
              <w:spacing w:after="0"/>
            </w:pPr>
            <w:r w:rsidRPr="00437F01">
              <w:rPr>
                <w:i/>
              </w:rPr>
              <w:t>Previous Subscription Price x the average share price of the share during the notice period set forth in the offer (the average price of share)</w:t>
            </w:r>
          </w:p>
        </w:tc>
      </w:tr>
      <w:tr w:rsidR="006350FE" w:rsidRPr="003D73C9" w14:paraId="1F0F37E8" w14:textId="77777777" w:rsidTr="00695A7D">
        <w:trPr>
          <w:cantSplit/>
        </w:trPr>
        <w:tc>
          <w:tcPr>
            <w:tcW w:w="2160" w:type="dxa"/>
            <w:vMerge/>
            <w:vAlign w:val="center"/>
          </w:tcPr>
          <w:p w14:paraId="05EE4BE3" w14:textId="77777777" w:rsidR="006350FE" w:rsidRPr="00437F01" w:rsidRDefault="006350FE" w:rsidP="00695A7D">
            <w:pPr>
              <w:pStyle w:val="TableText"/>
              <w:spacing w:after="0"/>
              <w:rPr>
                <w:i/>
              </w:rPr>
            </w:pPr>
          </w:p>
        </w:tc>
        <w:tc>
          <w:tcPr>
            <w:tcW w:w="450" w:type="dxa"/>
            <w:vMerge/>
            <w:vAlign w:val="center"/>
          </w:tcPr>
          <w:p w14:paraId="21E1EA0E" w14:textId="77777777" w:rsidR="006350FE" w:rsidRPr="00437F01" w:rsidRDefault="006350FE" w:rsidP="00695A7D">
            <w:pPr>
              <w:pStyle w:val="TableText"/>
              <w:spacing w:after="0"/>
              <w:jc w:val="center"/>
            </w:pPr>
          </w:p>
        </w:tc>
        <w:tc>
          <w:tcPr>
            <w:tcW w:w="5760" w:type="dxa"/>
            <w:tcBorders>
              <w:top w:val="single" w:sz="4" w:space="0" w:color="auto"/>
              <w:bottom w:val="nil"/>
            </w:tcBorders>
          </w:tcPr>
          <w:p w14:paraId="72DCE377" w14:textId="77777777" w:rsidR="006350FE" w:rsidRPr="00437F01" w:rsidRDefault="006350FE" w:rsidP="00695A7D">
            <w:pPr>
              <w:pStyle w:val="TableText"/>
              <w:spacing w:after="0"/>
            </w:pPr>
            <w:r w:rsidRPr="00437F01">
              <w:rPr>
                <w:i/>
              </w:rPr>
              <w:t>Average price of share increased by the value of the right to participate in the offer</w:t>
            </w:r>
          </w:p>
        </w:tc>
      </w:tr>
      <w:tr w:rsidR="006350FE" w:rsidRPr="003D73C9" w14:paraId="3C182B6B" w14:textId="77777777" w:rsidTr="00695A7D">
        <w:trPr>
          <w:cantSplit/>
        </w:trPr>
        <w:tc>
          <w:tcPr>
            <w:tcW w:w="2160" w:type="dxa"/>
            <w:vAlign w:val="center"/>
          </w:tcPr>
          <w:p w14:paraId="25E07382" w14:textId="77777777" w:rsidR="006350FE" w:rsidRPr="00437F01" w:rsidRDefault="006350FE" w:rsidP="00695A7D">
            <w:pPr>
              <w:pStyle w:val="TableText"/>
              <w:spacing w:after="0"/>
              <w:rPr>
                <w:i/>
              </w:rPr>
            </w:pPr>
          </w:p>
        </w:tc>
        <w:tc>
          <w:tcPr>
            <w:tcW w:w="450" w:type="dxa"/>
            <w:tcBorders>
              <w:right w:val="nil"/>
            </w:tcBorders>
            <w:vAlign w:val="center"/>
          </w:tcPr>
          <w:p w14:paraId="2EBC0CDB" w14:textId="77777777" w:rsidR="006350FE" w:rsidRPr="00437F01" w:rsidRDefault="006350FE" w:rsidP="00695A7D">
            <w:pPr>
              <w:pStyle w:val="TableText"/>
              <w:spacing w:after="0"/>
              <w:jc w:val="center"/>
            </w:pPr>
          </w:p>
        </w:tc>
        <w:tc>
          <w:tcPr>
            <w:tcW w:w="5760" w:type="dxa"/>
            <w:tcBorders>
              <w:top w:val="nil"/>
              <w:left w:val="nil"/>
              <w:bottom w:val="nil"/>
              <w:right w:val="nil"/>
            </w:tcBorders>
          </w:tcPr>
          <w:p w14:paraId="7F460419" w14:textId="77777777" w:rsidR="006350FE" w:rsidRPr="00437F01" w:rsidRDefault="006350FE" w:rsidP="00695A7D">
            <w:pPr>
              <w:pStyle w:val="TableText"/>
              <w:spacing w:after="0"/>
              <w:rPr>
                <w:i/>
              </w:rPr>
            </w:pPr>
          </w:p>
        </w:tc>
      </w:tr>
      <w:tr w:rsidR="006350FE" w:rsidRPr="003D73C9" w14:paraId="20F8D6F5" w14:textId="77777777" w:rsidTr="00695A7D">
        <w:trPr>
          <w:cantSplit/>
        </w:trPr>
        <w:tc>
          <w:tcPr>
            <w:tcW w:w="2160" w:type="dxa"/>
            <w:vMerge w:val="restart"/>
            <w:vAlign w:val="center"/>
          </w:tcPr>
          <w:p w14:paraId="064676ED" w14:textId="77777777" w:rsidR="006350FE" w:rsidRPr="00B928F5" w:rsidRDefault="006350FE" w:rsidP="00695A7D">
            <w:pPr>
              <w:pStyle w:val="TableText"/>
              <w:spacing w:after="0"/>
              <w:rPr>
                <w:iCs/>
              </w:rPr>
            </w:pPr>
            <w:r w:rsidRPr="00437F01">
              <w:rPr>
                <w:i/>
              </w:rPr>
              <w:t>Recalculated number of Shares that each Warrant entitles to Subscribe for</w:t>
            </w:r>
          </w:p>
        </w:tc>
        <w:tc>
          <w:tcPr>
            <w:tcW w:w="450" w:type="dxa"/>
            <w:vMerge w:val="restart"/>
            <w:vAlign w:val="center"/>
          </w:tcPr>
          <w:p w14:paraId="584D0769" w14:textId="77777777" w:rsidR="006350FE" w:rsidRPr="00437F01" w:rsidRDefault="006350FE" w:rsidP="00695A7D">
            <w:pPr>
              <w:pStyle w:val="TableText"/>
              <w:spacing w:after="0"/>
              <w:jc w:val="center"/>
            </w:pPr>
            <w:r w:rsidRPr="00437F01">
              <w:t>=</w:t>
            </w:r>
          </w:p>
        </w:tc>
        <w:tc>
          <w:tcPr>
            <w:tcW w:w="5760" w:type="dxa"/>
            <w:tcBorders>
              <w:top w:val="nil"/>
              <w:bottom w:val="single" w:sz="4" w:space="0" w:color="auto"/>
            </w:tcBorders>
          </w:tcPr>
          <w:p w14:paraId="1E223285" w14:textId="77777777" w:rsidR="006350FE" w:rsidRPr="00437F01" w:rsidRDefault="006350FE" w:rsidP="00695A7D">
            <w:pPr>
              <w:pStyle w:val="TableText"/>
              <w:spacing w:after="0"/>
            </w:pPr>
            <w:r w:rsidRPr="00437F01">
              <w:rPr>
                <w:i/>
              </w:rPr>
              <w:t>Previous number of Shares that each Warrant entitles to Subscribe for x (the average price of Share increased by the value of the purchase right)</w:t>
            </w:r>
          </w:p>
        </w:tc>
      </w:tr>
      <w:tr w:rsidR="006350FE" w:rsidRPr="00437F01" w14:paraId="67EEB668" w14:textId="77777777" w:rsidTr="00695A7D">
        <w:trPr>
          <w:cantSplit/>
        </w:trPr>
        <w:tc>
          <w:tcPr>
            <w:tcW w:w="2160" w:type="dxa"/>
            <w:vMerge/>
          </w:tcPr>
          <w:p w14:paraId="055B4927" w14:textId="77777777" w:rsidR="006350FE" w:rsidRPr="00437F01" w:rsidRDefault="006350FE" w:rsidP="00695A7D">
            <w:pPr>
              <w:pStyle w:val="TableText"/>
              <w:spacing w:after="0"/>
            </w:pPr>
          </w:p>
        </w:tc>
        <w:tc>
          <w:tcPr>
            <w:tcW w:w="450" w:type="dxa"/>
            <w:vMerge/>
          </w:tcPr>
          <w:p w14:paraId="1A120FF9" w14:textId="77777777" w:rsidR="006350FE" w:rsidRPr="00437F01" w:rsidRDefault="006350FE" w:rsidP="00695A7D">
            <w:pPr>
              <w:pStyle w:val="TableText"/>
              <w:spacing w:after="0"/>
            </w:pPr>
          </w:p>
        </w:tc>
        <w:tc>
          <w:tcPr>
            <w:tcW w:w="5760" w:type="dxa"/>
            <w:tcBorders>
              <w:top w:val="single" w:sz="4" w:space="0" w:color="auto"/>
              <w:bottom w:val="nil"/>
            </w:tcBorders>
          </w:tcPr>
          <w:p w14:paraId="41FB7CC7" w14:textId="77777777" w:rsidR="006350FE" w:rsidRPr="00437F01" w:rsidRDefault="006350FE" w:rsidP="00695A7D">
            <w:pPr>
              <w:pStyle w:val="TableText"/>
              <w:spacing w:after="0"/>
            </w:pPr>
            <w:r w:rsidRPr="00437F01">
              <w:rPr>
                <w:i/>
              </w:rPr>
              <w:t>Average price of Share</w:t>
            </w:r>
          </w:p>
        </w:tc>
      </w:tr>
      <w:tr w:rsidR="006350FE" w:rsidRPr="00437F01" w14:paraId="331AF6F8" w14:textId="77777777" w:rsidTr="00695A7D">
        <w:trPr>
          <w:cantSplit/>
        </w:trPr>
        <w:tc>
          <w:tcPr>
            <w:tcW w:w="2160" w:type="dxa"/>
          </w:tcPr>
          <w:p w14:paraId="4BD8A4FF" w14:textId="77777777" w:rsidR="006350FE" w:rsidRPr="00437F01" w:rsidRDefault="006350FE" w:rsidP="00695A7D">
            <w:pPr>
              <w:pStyle w:val="TableText"/>
              <w:spacing w:after="0"/>
            </w:pPr>
          </w:p>
        </w:tc>
        <w:tc>
          <w:tcPr>
            <w:tcW w:w="450" w:type="dxa"/>
            <w:tcBorders>
              <w:right w:val="nil"/>
            </w:tcBorders>
          </w:tcPr>
          <w:p w14:paraId="513EB615" w14:textId="77777777" w:rsidR="006350FE" w:rsidRPr="00437F01" w:rsidRDefault="006350FE" w:rsidP="00695A7D">
            <w:pPr>
              <w:pStyle w:val="TableText"/>
              <w:spacing w:after="0"/>
            </w:pPr>
          </w:p>
        </w:tc>
        <w:tc>
          <w:tcPr>
            <w:tcW w:w="5760" w:type="dxa"/>
            <w:tcBorders>
              <w:top w:val="nil"/>
              <w:left w:val="nil"/>
              <w:bottom w:val="nil"/>
              <w:right w:val="nil"/>
            </w:tcBorders>
          </w:tcPr>
          <w:p w14:paraId="6DDC2F99" w14:textId="77777777" w:rsidR="006350FE" w:rsidRPr="00437F01" w:rsidRDefault="006350FE" w:rsidP="00695A7D">
            <w:pPr>
              <w:pStyle w:val="TableText"/>
              <w:spacing w:after="0"/>
              <w:rPr>
                <w:i/>
              </w:rPr>
            </w:pPr>
          </w:p>
        </w:tc>
      </w:tr>
    </w:tbl>
    <w:p w14:paraId="2C8161A2" w14:textId="77777777" w:rsidR="006350FE" w:rsidRPr="00437F01" w:rsidRDefault="006350FE" w:rsidP="006350FE">
      <w:pPr>
        <w:pStyle w:val="BodyText"/>
        <w:ind w:left="720"/>
      </w:pPr>
      <w:r w:rsidRPr="00A05113">
        <w:rPr>
          <w:lang w:val="sv-SE"/>
        </w:rPr>
        <w:t>Aktiens</w:t>
      </w:r>
      <w:r w:rsidRPr="00A50800">
        <w:rPr>
          <w:lang w:val="sv-SE"/>
        </w:rPr>
        <w:t xml:space="preserve"> genomsnittskurs beräknas i enlighet med vad som angivits i </w:t>
      </w:r>
      <w:r>
        <w:rPr>
          <w:lang w:val="sv-SE"/>
        </w:rPr>
        <w:t>punkt</w:t>
      </w:r>
      <w:r w:rsidRPr="00A50800">
        <w:rPr>
          <w:lang w:val="sv-SE"/>
        </w:rPr>
        <w:t xml:space="preserve">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xml:space="preserve"> ovan.</w:t>
      </w:r>
      <w:r w:rsidRPr="00A50800">
        <w:rPr>
          <w:lang w:val="sv-SE"/>
        </w:rPr>
        <w:br/>
      </w:r>
      <w:r w:rsidRPr="00437F01">
        <w:rPr>
          <w:i/>
        </w:rPr>
        <w:t xml:space="preserve">The average price of Share is calculated in accordance with the provisions set forth in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w:t>
      </w:r>
    </w:p>
    <w:p w14:paraId="7A8B6003" w14:textId="77777777" w:rsidR="006350FE" w:rsidRPr="00437F01" w:rsidRDefault="006350FE" w:rsidP="006350FE">
      <w:pPr>
        <w:pStyle w:val="BodyText"/>
        <w:ind w:left="720"/>
      </w:pPr>
      <w:r w:rsidRPr="00A50800">
        <w:rPr>
          <w:lang w:val="sv-SE"/>
        </w:rPr>
        <w:t xml:space="preserve">För det fall att aktieägarna erhållit inköpsrätter och handel med dessa ägt rum, </w:t>
      </w:r>
      <w:r>
        <w:rPr>
          <w:lang w:val="sv-SE"/>
        </w:rPr>
        <w:t>ska</w:t>
      </w:r>
      <w:r w:rsidRPr="00A50800">
        <w:rPr>
          <w:lang w:val="sv-SE"/>
        </w:rPr>
        <w:t xml:space="preserve"> värdet av rätten </w:t>
      </w:r>
      <w:r w:rsidRPr="00A05113">
        <w:rPr>
          <w:lang w:val="sv-SE"/>
        </w:rPr>
        <w:t>till</w:t>
      </w:r>
      <w:r w:rsidRPr="00A50800">
        <w:rPr>
          <w:lang w:val="sv-SE"/>
        </w:rPr>
        <w:t xml:space="preserve"> deltagande i erbjudandet anses motsvara inköpsrättens värde. Inköpsrättens värde </w:t>
      </w:r>
      <w:r>
        <w:rPr>
          <w:lang w:val="sv-SE"/>
        </w:rPr>
        <w:t>ska</w:t>
      </w:r>
      <w:r w:rsidRPr="00A50800">
        <w:rPr>
          <w:lang w:val="sv-SE"/>
        </w:rPr>
        <w:t xml:space="preserve"> härvid anses motsvara genomsnittet av det för varje handelsdag under anmälningstiden framräknade medeltalet av den under dagen noterade högsta och lägsta betalkursen för inköpsrätten enligt marknadsnotering. I avsaknad av notering av betalkurs </w:t>
      </w:r>
      <w:r>
        <w:rPr>
          <w:lang w:val="sv-SE"/>
        </w:rPr>
        <w:t>ska</w:t>
      </w:r>
      <w:r w:rsidRPr="00A50800">
        <w:rPr>
          <w:lang w:val="sv-SE"/>
        </w:rPr>
        <w:t xml:space="preserve"> i stället den som slutkurs noterade köpkursen ingå i beräkningen. Dag utan notering av vare sig betalkurs eller köpkurs </w:t>
      </w:r>
      <w:r>
        <w:rPr>
          <w:lang w:val="sv-SE"/>
        </w:rPr>
        <w:t>ska</w:t>
      </w:r>
      <w:r w:rsidRPr="00A50800">
        <w:rPr>
          <w:lang w:val="sv-SE"/>
        </w:rPr>
        <w:t xml:space="preserve"> inte ingå i beräkningen.</w:t>
      </w:r>
      <w:r w:rsidRPr="00A50800">
        <w:rPr>
          <w:lang w:val="sv-SE"/>
        </w:rPr>
        <w:br/>
      </w:r>
      <w:r w:rsidRPr="00437F01">
        <w:rPr>
          <w:i/>
        </w:rPr>
        <w:t xml:space="preserve">In the event the shareholders received purchase rights </w:t>
      </w:r>
      <w:proofErr w:type="gramStart"/>
      <w:r w:rsidRPr="00437F01">
        <w:rPr>
          <w:i/>
        </w:rPr>
        <w:t>and trading</w:t>
      </w:r>
      <w:proofErr w:type="gramEnd"/>
      <w:r w:rsidRPr="00437F01">
        <w:rPr>
          <w:i/>
        </w:rPr>
        <w:t xml:space="preserve"> in such rights has taken place, the value of the right to participate in the offer shall be deemed to be equivalent to the value of the purchase right. The value of the purchase right in such circumstances shall be deemed to correspond to the average mean value of the highest and lowest prices paid each trading day during the application period according to market quotation. In the event no paid price is quoted, the bid price quoted as the closing price shall be used in the calculation instead. Days when no paid price or bid price is quoted, shall be excluded from such calculation.</w:t>
      </w:r>
    </w:p>
    <w:p w14:paraId="4FEF3CF6" w14:textId="77777777" w:rsidR="006350FE" w:rsidRPr="00437F01" w:rsidRDefault="006350FE" w:rsidP="006350FE">
      <w:pPr>
        <w:pStyle w:val="BodyText"/>
        <w:ind w:left="720"/>
      </w:pPr>
      <w:r w:rsidRPr="00A50800">
        <w:rPr>
          <w:lang w:val="sv-SE"/>
        </w:rPr>
        <w:t xml:space="preserve">För det </w:t>
      </w:r>
      <w:proofErr w:type="gramStart"/>
      <w:r w:rsidRPr="00A50800">
        <w:rPr>
          <w:lang w:val="sv-SE"/>
        </w:rPr>
        <w:t>fall aktieägarna</w:t>
      </w:r>
      <w:proofErr w:type="gramEnd"/>
      <w:r w:rsidRPr="00A50800">
        <w:rPr>
          <w:lang w:val="sv-SE"/>
        </w:rPr>
        <w:t xml:space="preserve"> ej erhållit inköpsrätter eller eljest sådan handel med inköpsrätter som avses i föregående stycke ej ägt rum, </w:t>
      </w:r>
      <w:r>
        <w:rPr>
          <w:lang w:val="sv-SE"/>
        </w:rPr>
        <w:t>ska</w:t>
      </w:r>
      <w:r w:rsidRPr="00A50800">
        <w:rPr>
          <w:lang w:val="sv-SE"/>
        </w:rPr>
        <w:t xml:space="preserve"> omräkning av Teckningskursen och det antal Aktier som varje Teckningsoption berättigar till Teckning av </w:t>
      </w:r>
      <w:proofErr w:type="gramStart"/>
      <w:r w:rsidRPr="00A50800">
        <w:rPr>
          <w:lang w:val="sv-SE"/>
        </w:rPr>
        <w:t>ske</w:t>
      </w:r>
      <w:proofErr w:type="gramEnd"/>
      <w:r w:rsidRPr="00A50800">
        <w:rPr>
          <w:lang w:val="sv-SE"/>
        </w:rPr>
        <w:t xml:space="preserve"> med tillämpning så långt möjligt av de principer som anges ovan i de</w:t>
      </w:r>
      <w:r>
        <w:rPr>
          <w:lang w:val="sv-SE"/>
        </w:rPr>
        <w:t>nn</w:t>
      </w:r>
      <w:r w:rsidRPr="00A50800">
        <w:rPr>
          <w:lang w:val="sv-SE"/>
        </w:rPr>
        <w:t xml:space="preserve">a </w:t>
      </w:r>
      <w:r>
        <w:rPr>
          <w:lang w:val="sv-SE"/>
        </w:rPr>
        <w:t>punkt</w:t>
      </w:r>
      <w:r w:rsidRPr="00A50800">
        <w:rPr>
          <w:lang w:val="sv-SE"/>
        </w:rPr>
        <w:t xml:space="preserve"> </w:t>
      </w:r>
      <w:r>
        <w:rPr>
          <w:szCs w:val="22"/>
        </w:rPr>
        <w:fldChar w:fldCharType="begin"/>
      </w:r>
      <w:r>
        <w:rPr>
          <w:lang w:val="sv-SE"/>
        </w:rPr>
        <w:instrText xml:space="preserve"> REF _Ref445997940 \r \h </w:instrText>
      </w:r>
      <w:r>
        <w:rPr>
          <w:szCs w:val="22"/>
        </w:rPr>
      </w:r>
      <w:r>
        <w:rPr>
          <w:szCs w:val="22"/>
        </w:rPr>
        <w:fldChar w:fldCharType="separate"/>
      </w:r>
      <w:r>
        <w:rPr>
          <w:lang w:val="sv-SE"/>
        </w:rPr>
        <w:t>8.2.6</w:t>
      </w:r>
      <w:r>
        <w:rPr>
          <w:szCs w:val="22"/>
        </w:rPr>
        <w:fldChar w:fldCharType="end"/>
      </w:r>
      <w:r w:rsidRPr="00A50800">
        <w:rPr>
          <w:lang w:val="sv-SE"/>
        </w:rPr>
        <w:t xml:space="preserve">, varvid följande </w:t>
      </w:r>
      <w:r>
        <w:rPr>
          <w:lang w:val="sv-SE"/>
        </w:rPr>
        <w:t>ska</w:t>
      </w:r>
      <w:r w:rsidRPr="00A50800">
        <w:rPr>
          <w:lang w:val="sv-SE"/>
        </w:rPr>
        <w:t xml:space="preserve"> gälla. Om en marknadsnotering sker av de värdepapper eller rättigheter som erbjuds aktieägarna, </w:t>
      </w:r>
      <w:r>
        <w:rPr>
          <w:lang w:val="sv-SE"/>
        </w:rPr>
        <w:t>ska</w:t>
      </w:r>
      <w:r w:rsidRPr="00A50800">
        <w:rPr>
          <w:lang w:val="sv-SE"/>
        </w:rPr>
        <w:t xml:space="preserve"> värdet av rätten till deltagande i erbjudandet anses motsvara genomsnittet av det för varje handelsdag under 25 handelsdagar från och med första dag för marknadsnotering framräknade medeltalet av den under dagen noterade högsta och lägsta betalkursen vid affärer i dessa värdepapper eller rättigheter enligt marknadsnotering, i förekommande fall minskat med det vederlag som betalats för dessa i samband med erbjudandet. I avsaknad av notering av betalkurs </w:t>
      </w:r>
      <w:r>
        <w:rPr>
          <w:lang w:val="sv-SE"/>
        </w:rPr>
        <w:t>ska</w:t>
      </w:r>
      <w:r w:rsidRPr="00A50800">
        <w:rPr>
          <w:lang w:val="sv-SE"/>
        </w:rPr>
        <w:t xml:space="preserve"> i stället den som slutkurs noterade köpkursen ingå i beräkningen. Noteras varken betalkurs eller köpkurs under viss eller vissa dagar, </w:t>
      </w:r>
      <w:r>
        <w:rPr>
          <w:lang w:val="sv-SE"/>
        </w:rPr>
        <w:t>ska</w:t>
      </w:r>
      <w:r w:rsidRPr="00A50800">
        <w:rPr>
          <w:lang w:val="sv-SE"/>
        </w:rPr>
        <w:t xml:space="preserve"> vid beräkningen av värdet av rätten till deltagande i </w:t>
      </w:r>
      <w:r w:rsidRPr="00A50800">
        <w:rPr>
          <w:lang w:val="sv-SE"/>
        </w:rPr>
        <w:lastRenderedPageBreak/>
        <w:t xml:space="preserve">erbjudandet bortses från sådan dag. Den i erbjudandet fastställda anmälningstiden </w:t>
      </w:r>
      <w:r>
        <w:rPr>
          <w:lang w:val="sv-SE"/>
        </w:rPr>
        <w:t>ska</w:t>
      </w:r>
      <w:r w:rsidRPr="00A50800">
        <w:rPr>
          <w:lang w:val="sv-SE"/>
        </w:rPr>
        <w:t xml:space="preserve"> vid omräkning av Teckningskurs och antal Aktier enligt detta stycke anses motsvara den ovan i </w:t>
      </w:r>
      <w:r w:rsidRPr="00A05113">
        <w:rPr>
          <w:lang w:val="sv-SE"/>
        </w:rPr>
        <w:t>detta</w:t>
      </w:r>
      <w:r w:rsidRPr="00A50800">
        <w:rPr>
          <w:lang w:val="sv-SE"/>
        </w:rPr>
        <w:t xml:space="preserve"> stycke nämnda perioden om 25 handelsdagar. Om sådan marknadsnotering ej äger rum, </w:t>
      </w:r>
      <w:r>
        <w:rPr>
          <w:lang w:val="sv-SE"/>
        </w:rPr>
        <w:t>ska</w:t>
      </w:r>
      <w:r w:rsidRPr="00A50800">
        <w:rPr>
          <w:lang w:val="sv-SE"/>
        </w:rPr>
        <w:t xml:space="preserve"> värdet av rätten till deltagande i erbjudandet så långt möjligt fastställas med ledning av den marknadsvärdesförändring avseende Bolagets Aktier som kan bedömas ha uppkommit till följd av erbjudandet.</w:t>
      </w:r>
      <w:r w:rsidRPr="00A50800">
        <w:rPr>
          <w:lang w:val="sv-SE"/>
        </w:rPr>
        <w:br/>
      </w:r>
      <w:r w:rsidRPr="00437F01">
        <w:rPr>
          <w:i/>
        </w:rPr>
        <w:t xml:space="preserve">In the event the shareholders have not received purchase rights or where such trading in purchase rights mentioned in the previous paragraph has otherwise not taken place, recalculation of the Subscription Price and number of Shares shall take place, thereby applying, to the greatest extent possible, the principles set forth above in this section </w:t>
      </w:r>
      <w:r>
        <w:rPr>
          <w:i/>
          <w:szCs w:val="22"/>
        </w:rPr>
        <w:fldChar w:fldCharType="begin"/>
      </w:r>
      <w:r>
        <w:rPr>
          <w:i/>
        </w:rPr>
        <w:instrText xml:space="preserve"> REF _Ref445997940 \r \h </w:instrText>
      </w:r>
      <w:r>
        <w:rPr>
          <w:i/>
          <w:szCs w:val="22"/>
        </w:rPr>
      </w:r>
      <w:r>
        <w:rPr>
          <w:i/>
          <w:szCs w:val="22"/>
        </w:rPr>
        <w:fldChar w:fldCharType="separate"/>
      </w:r>
      <w:r>
        <w:rPr>
          <w:i/>
        </w:rPr>
        <w:t>8.2.6</w:t>
      </w:r>
      <w:r>
        <w:rPr>
          <w:i/>
          <w:szCs w:val="22"/>
        </w:rPr>
        <w:fldChar w:fldCharType="end"/>
      </w:r>
      <w:r w:rsidRPr="00437F01">
        <w:rPr>
          <w:i/>
        </w:rPr>
        <w:t xml:space="preserve">, whereupon the following shall apply. If market quotation of the securities or rights which are offered to the shareholders takes place, the value of the right to participate in the offer shall be deemed to correspond to the average of the calculated mean values, for each trading day during a period of 25 trading days commencing on the first day for the market quotation, of the highest and lowest price paid during the said day, for transactions in these securities or rights at the market place, where applicable, decreased by any consideration paid for such securities or rights in connection with the offer. In the absence of a quotation of paid price, the last bid price quoted shall be used in the calculation instead. If neither a selling price nor a bid price is quoted on certain given day or days, such day shall be excluded from the calculation of the value of the right to participate in the offer. When recalculation of the Subscription Price and the number of Shares is made according to this paragraph, the </w:t>
      </w:r>
      <w:proofErr w:type="gramStart"/>
      <w:r w:rsidRPr="00437F01">
        <w:rPr>
          <w:i/>
        </w:rPr>
        <w:t>above mentioned</w:t>
      </w:r>
      <w:proofErr w:type="gramEnd"/>
      <w:r w:rsidRPr="00437F01">
        <w:rPr>
          <w:i/>
        </w:rPr>
        <w:t xml:space="preserve"> period of 25 trading days shall be deemed to correspond to the application period determined in the offer. In the event no such market quotation takes place, the value of the right to participate in the offer shall, to the greatest extent possible, be based upon the change in the market value of the Company's Shares, which may be deemed to have occurred </w:t>
      </w:r>
      <w:proofErr w:type="gramStart"/>
      <w:r w:rsidRPr="00437F01">
        <w:rPr>
          <w:i/>
        </w:rPr>
        <w:t>as a consequence of</w:t>
      </w:r>
      <w:proofErr w:type="gramEnd"/>
      <w:r w:rsidRPr="00437F01">
        <w:rPr>
          <w:i/>
        </w:rPr>
        <w:t xml:space="preserve"> the offer.</w:t>
      </w:r>
    </w:p>
    <w:p w14:paraId="28029C89" w14:textId="77777777" w:rsidR="006350FE" w:rsidRPr="00437F01" w:rsidRDefault="006350FE" w:rsidP="006350FE">
      <w:pPr>
        <w:pStyle w:val="BodyText"/>
        <w:ind w:left="720"/>
      </w:pPr>
      <w:r w:rsidRPr="00A05113">
        <w:rPr>
          <w:lang w:val="sv-SE"/>
        </w:rPr>
        <w:t>Enligt</w:t>
      </w:r>
      <w:r w:rsidRPr="00A50800">
        <w:rPr>
          <w:lang w:val="sv-SE"/>
        </w:rPr>
        <w:t xml:space="preserve"> ovan omräknad Teckningskurs och omräknat antal Aktier </w:t>
      </w:r>
      <w:r>
        <w:rPr>
          <w:lang w:val="sv-SE"/>
        </w:rPr>
        <w:t>ska</w:t>
      </w:r>
      <w:r w:rsidRPr="00A50800">
        <w:rPr>
          <w:lang w:val="sv-SE"/>
        </w:rPr>
        <w:t xml:space="preserve"> fastställas av Bolaget snarast möjligt efter erbjudandetidens utgång och </w:t>
      </w:r>
      <w:r>
        <w:rPr>
          <w:lang w:val="sv-SE"/>
        </w:rPr>
        <w:t>ska</w:t>
      </w:r>
      <w:r w:rsidRPr="00A50800">
        <w:rPr>
          <w:lang w:val="sv-SE"/>
        </w:rPr>
        <w:t xml:space="preserve"> tillämpas vid Teckning, som verkställs efter ett sådant fastställande har skett.</w:t>
      </w:r>
      <w:r w:rsidRPr="00A50800">
        <w:rPr>
          <w:lang w:val="sv-SE"/>
        </w:rPr>
        <w:br/>
      </w:r>
      <w:r w:rsidRPr="00437F01">
        <w:rPr>
          <w:i/>
        </w:rPr>
        <w:t xml:space="preserve">The Subscription Price and number of Shares recalculated in accordance with the above shall be determined by the Company as soon as possible after the expiration of the </w:t>
      </w:r>
      <w:proofErr w:type="gramStart"/>
      <w:r w:rsidRPr="00437F01">
        <w:rPr>
          <w:i/>
        </w:rPr>
        <w:t>offer and</w:t>
      </w:r>
      <w:proofErr w:type="gramEnd"/>
      <w:r w:rsidRPr="00437F01">
        <w:rPr>
          <w:i/>
        </w:rPr>
        <w:t xml:space="preserve"> shall be applied on Subscriptions effected after such determination.</w:t>
      </w:r>
    </w:p>
    <w:p w14:paraId="073BEE38" w14:textId="77777777" w:rsidR="006350FE" w:rsidRPr="00437F01" w:rsidRDefault="006350FE" w:rsidP="006350FE">
      <w:pPr>
        <w:pStyle w:val="BodyText"/>
        <w:ind w:left="720"/>
      </w:pPr>
      <w:r w:rsidRPr="00A50800">
        <w:rPr>
          <w:lang w:val="sv-SE"/>
        </w:rPr>
        <w:t xml:space="preserve">Vid </w:t>
      </w:r>
      <w:r w:rsidRPr="00A05113">
        <w:rPr>
          <w:lang w:val="sv-SE"/>
        </w:rPr>
        <w:t>anmälan</w:t>
      </w:r>
      <w:r w:rsidRPr="00A50800">
        <w:rPr>
          <w:lang w:val="sv-SE"/>
        </w:rPr>
        <w:t xml:space="preserve"> om Teckning som sker under tiden till dess att omräknad Teckningskurs och omräknat antal Aktier varje Teckningsoption berättigar till Teckning av fastställts, </w:t>
      </w:r>
      <w:r>
        <w:rPr>
          <w:lang w:val="sv-SE"/>
        </w:rPr>
        <w:t>ska</w:t>
      </w:r>
      <w:r w:rsidRPr="00A50800">
        <w:rPr>
          <w:lang w:val="sv-SE"/>
        </w:rPr>
        <w:t xml:space="preserve"> bestämmelserna i </w:t>
      </w:r>
      <w:r>
        <w:rPr>
          <w:lang w:val="sv-SE"/>
        </w:rPr>
        <w:t>punkt</w:t>
      </w:r>
      <w:r w:rsidRPr="00A50800">
        <w:rPr>
          <w:lang w:val="sv-SE"/>
        </w:rPr>
        <w:t xml:space="preserve">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sista stycket ovan, äga motsvarande tillämpning.</w:t>
      </w:r>
      <w:r w:rsidRPr="00A50800">
        <w:rPr>
          <w:lang w:val="sv-SE"/>
        </w:rPr>
        <w:br/>
      </w:r>
      <w:r w:rsidRPr="00437F01">
        <w:rPr>
          <w:i/>
        </w:rPr>
        <w:t xml:space="preserve">In relation to Subscriptions which are effected during the period until the re-calculated Subscription Price and recalculated number of Shares have been determined, the provisions set forth in the final paragraph of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 shall apply correspondingly.</w:t>
      </w:r>
    </w:p>
    <w:p w14:paraId="212E8189" w14:textId="77777777" w:rsidR="006350FE" w:rsidRPr="00437F01" w:rsidRDefault="006350FE" w:rsidP="006350FE">
      <w:pPr>
        <w:pStyle w:val="BodyText"/>
        <w:numPr>
          <w:ilvl w:val="2"/>
          <w:numId w:val="55"/>
        </w:numPr>
        <w:spacing w:after="0"/>
        <w:rPr>
          <w:b/>
        </w:rPr>
      </w:pPr>
      <w:proofErr w:type="spellStart"/>
      <w:r w:rsidRPr="006B6AC0">
        <w:rPr>
          <w:b/>
          <w:lang w:val="en-US"/>
        </w:rPr>
        <w:t>Optionsinnehavares</w:t>
      </w:r>
      <w:proofErr w:type="spellEnd"/>
      <w:r w:rsidRPr="006B6AC0">
        <w:rPr>
          <w:b/>
          <w:lang w:val="en-US"/>
        </w:rPr>
        <w:t xml:space="preserve"> </w:t>
      </w:r>
      <w:proofErr w:type="spellStart"/>
      <w:r w:rsidRPr="006B6AC0">
        <w:rPr>
          <w:b/>
          <w:lang w:val="en-US"/>
        </w:rPr>
        <w:t>rätt</w:t>
      </w:r>
      <w:proofErr w:type="spellEnd"/>
      <w:r w:rsidRPr="006B6AC0">
        <w:rPr>
          <w:b/>
          <w:lang w:val="en-US"/>
        </w:rPr>
        <w:t xml:space="preserve"> vid </w:t>
      </w:r>
      <w:proofErr w:type="spellStart"/>
      <w:r w:rsidRPr="006B6AC0">
        <w:rPr>
          <w:b/>
          <w:lang w:val="en-US"/>
        </w:rPr>
        <w:t>nyemission</w:t>
      </w:r>
      <w:proofErr w:type="spellEnd"/>
      <w:r w:rsidRPr="006B6AC0">
        <w:rPr>
          <w:b/>
          <w:lang w:val="en-US"/>
        </w:rPr>
        <w:t xml:space="preserve"> av </w:t>
      </w:r>
      <w:proofErr w:type="spellStart"/>
      <w:r w:rsidRPr="006B6AC0">
        <w:rPr>
          <w:b/>
          <w:lang w:val="en-US"/>
        </w:rPr>
        <w:t>teckningsoptioner</w:t>
      </w:r>
      <w:proofErr w:type="spellEnd"/>
      <w:r w:rsidRPr="006B6AC0">
        <w:rPr>
          <w:b/>
          <w:lang w:val="en-US"/>
        </w:rPr>
        <w:t xml:space="preserve"> </w:t>
      </w:r>
      <w:proofErr w:type="spellStart"/>
      <w:r w:rsidRPr="006B6AC0">
        <w:rPr>
          <w:b/>
          <w:lang w:val="en-US"/>
        </w:rPr>
        <w:t>eller</w:t>
      </w:r>
      <w:proofErr w:type="spellEnd"/>
      <w:r w:rsidRPr="006B6AC0">
        <w:rPr>
          <w:b/>
          <w:lang w:val="en-US"/>
        </w:rPr>
        <w:t xml:space="preserve"> </w:t>
      </w:r>
      <w:proofErr w:type="spellStart"/>
      <w:r w:rsidRPr="006B6AC0">
        <w:rPr>
          <w:b/>
          <w:lang w:val="en-US"/>
        </w:rPr>
        <w:t>konvertibler</w:t>
      </w:r>
      <w:proofErr w:type="spellEnd"/>
      <w:r w:rsidRPr="006B6AC0">
        <w:rPr>
          <w:b/>
          <w:lang w:val="en-US"/>
        </w:rPr>
        <w:t xml:space="preserve"> med </w:t>
      </w:r>
      <w:proofErr w:type="spellStart"/>
      <w:r w:rsidRPr="006B6AC0">
        <w:rPr>
          <w:b/>
          <w:lang w:val="en-US"/>
        </w:rPr>
        <w:t>företrädesrätt</w:t>
      </w:r>
      <w:proofErr w:type="spellEnd"/>
      <w:r w:rsidRPr="00437F01">
        <w:rPr>
          <w:b/>
        </w:rPr>
        <w:t>/</w:t>
      </w:r>
      <w:r>
        <w:rPr>
          <w:b/>
          <w:i/>
        </w:rPr>
        <w:t>Warrant Holder</w:t>
      </w:r>
      <w:r w:rsidRPr="00437F01">
        <w:rPr>
          <w:b/>
          <w:i/>
        </w:rPr>
        <w:t>s' rights at an issue of warrants and convertibles in accordance with the shareholders' priority rights</w:t>
      </w:r>
    </w:p>
    <w:p w14:paraId="102C182C" w14:textId="77777777" w:rsidR="006350FE" w:rsidRPr="00437F01" w:rsidRDefault="006350FE" w:rsidP="006350FE">
      <w:pPr>
        <w:pStyle w:val="BodyText"/>
        <w:ind w:left="720"/>
      </w:pPr>
      <w:r w:rsidRPr="00A05113">
        <w:rPr>
          <w:lang w:val="sv-SE"/>
        </w:rPr>
        <w:t>Genomför</w:t>
      </w:r>
      <w:r w:rsidRPr="00A50800">
        <w:rPr>
          <w:lang w:val="sv-SE"/>
        </w:rPr>
        <w:t xml:space="preserve"> Bolaget en </w:t>
      </w:r>
      <w:r w:rsidRPr="00A50800">
        <w:rPr>
          <w:u w:val="single"/>
          <w:lang w:val="sv-SE"/>
        </w:rPr>
        <w:t xml:space="preserve">nyemission eller emission enligt 14 kap. eller 15 kap. </w:t>
      </w:r>
      <w:r>
        <w:rPr>
          <w:u w:val="single"/>
          <w:lang w:val="sv-SE"/>
        </w:rPr>
        <w:t>A</w:t>
      </w:r>
      <w:r w:rsidRPr="00A50800">
        <w:rPr>
          <w:u w:val="single"/>
          <w:lang w:val="sv-SE"/>
        </w:rPr>
        <w:t>ktiebolagslagen – med företrädesrätt för aktieägarna</w:t>
      </w:r>
      <w:r w:rsidRPr="00A50800">
        <w:rPr>
          <w:lang w:val="sv-SE"/>
        </w:rPr>
        <w:t xml:space="preserve"> och mot kontant betalning eller genom kvittning – äger Bolaget besluta att ge samtliga </w:t>
      </w:r>
      <w:r>
        <w:rPr>
          <w:lang w:val="sv-SE"/>
        </w:rPr>
        <w:t>Optionsinnehavare</w:t>
      </w:r>
      <w:r w:rsidRPr="00A50800">
        <w:rPr>
          <w:lang w:val="sv-SE"/>
        </w:rPr>
        <w:t xml:space="preserve"> </w:t>
      </w:r>
      <w:r>
        <w:rPr>
          <w:lang w:val="sv-SE"/>
        </w:rPr>
        <w:t xml:space="preserve">av </w:t>
      </w:r>
      <w:r w:rsidRPr="00A50800">
        <w:rPr>
          <w:lang w:val="sv-SE"/>
        </w:rPr>
        <w:t xml:space="preserve">samma företrädesrätt som enligt beslutet tillkommer aktieägarna. Därvid </w:t>
      </w:r>
      <w:r>
        <w:rPr>
          <w:lang w:val="sv-SE"/>
        </w:rPr>
        <w:t>ska</w:t>
      </w:r>
      <w:r w:rsidRPr="00A50800">
        <w:rPr>
          <w:lang w:val="sv-SE"/>
        </w:rPr>
        <w:t xml:space="preserve"> varje </w:t>
      </w:r>
      <w:r>
        <w:rPr>
          <w:lang w:val="sv-SE"/>
        </w:rPr>
        <w:t>Optionsinnehavare</w:t>
      </w:r>
      <w:r w:rsidRPr="00A50800">
        <w:rPr>
          <w:lang w:val="sv-SE"/>
        </w:rPr>
        <w:t xml:space="preserve">, oaktat sålunda att Teckning ej verkställts, anses vara ägare till det antal Aktier som </w:t>
      </w:r>
      <w:r>
        <w:rPr>
          <w:lang w:val="sv-SE"/>
        </w:rPr>
        <w:t>Optionsinnehavaren</w:t>
      </w:r>
      <w:r w:rsidRPr="00A50800">
        <w:rPr>
          <w:lang w:val="sv-SE"/>
        </w:rPr>
        <w:t xml:space="preserve"> skulle ha erhållit, om Teckning på grund av Teckningsoption verkställts av det antal Aktier, som varje Teckningsoption berättigade till Teckning av vid tidpunkten för beslutet om emission.</w:t>
      </w:r>
      <w:r w:rsidRPr="00A50800">
        <w:rPr>
          <w:lang w:val="sv-SE"/>
        </w:rPr>
        <w:br/>
      </w:r>
      <w:r w:rsidRPr="00437F01">
        <w:rPr>
          <w:i/>
        </w:rPr>
        <w:t xml:space="preserve">Where the Company carries out a </w:t>
      </w:r>
      <w:r w:rsidRPr="00437F01">
        <w:rPr>
          <w:i/>
          <w:u w:val="single"/>
        </w:rPr>
        <w:t xml:space="preserve">new share issue or an issue in accordance with Ch. 14 or Ch. 15 of the </w:t>
      </w:r>
      <w:r>
        <w:rPr>
          <w:i/>
          <w:u w:val="single"/>
        </w:rPr>
        <w:t xml:space="preserve">Swedish </w:t>
      </w:r>
      <w:r w:rsidRPr="00437F01">
        <w:rPr>
          <w:i/>
          <w:u w:val="single"/>
        </w:rPr>
        <w:t>Companies Act – with priority rights for the shareholders</w:t>
      </w:r>
      <w:r w:rsidRPr="00437F01">
        <w:rPr>
          <w:i/>
        </w:rPr>
        <w:t xml:space="preserve"> to subscribe for new Shares in exchange for cash payment or payment through set-off of claims – the </w:t>
      </w:r>
      <w:r w:rsidRPr="00437F01">
        <w:rPr>
          <w:i/>
        </w:rPr>
        <w:lastRenderedPageBreak/>
        <w:t xml:space="preserve">Company is entitled to decide that all </w:t>
      </w:r>
      <w:r>
        <w:rPr>
          <w:i/>
        </w:rPr>
        <w:t>Warrant Holder</w:t>
      </w:r>
      <w:r w:rsidRPr="00437F01">
        <w:rPr>
          <w:i/>
        </w:rPr>
        <w:t xml:space="preserve">s are entitled to the same priority rights that are bestowed upon the shareholders. In connection with this, each </w:t>
      </w:r>
      <w:r>
        <w:rPr>
          <w:i/>
        </w:rPr>
        <w:t>Warrant Holder</w:t>
      </w:r>
      <w:r w:rsidRPr="00437F01">
        <w:rPr>
          <w:i/>
        </w:rPr>
        <w:t xml:space="preserve">, disregarding that Subscription has not been made, will be considered as owners of the number of Shares that the </w:t>
      </w:r>
      <w:r>
        <w:rPr>
          <w:i/>
        </w:rPr>
        <w:t>Warrant Holder</w:t>
      </w:r>
      <w:r w:rsidRPr="00437F01">
        <w:rPr>
          <w:i/>
        </w:rPr>
        <w:t xml:space="preserve"> would have received if the Subscription had been executed before the issue.</w:t>
      </w:r>
    </w:p>
    <w:p w14:paraId="06A81AB1" w14:textId="77777777" w:rsidR="006350FE" w:rsidRPr="00437F01" w:rsidRDefault="006350FE" w:rsidP="006350FE">
      <w:pPr>
        <w:pStyle w:val="BodyText"/>
        <w:ind w:left="720"/>
      </w:pPr>
      <w:r w:rsidRPr="00A05113">
        <w:rPr>
          <w:lang w:val="sv-SE"/>
        </w:rPr>
        <w:t>Skulle</w:t>
      </w:r>
      <w:r w:rsidRPr="00A50800">
        <w:rPr>
          <w:lang w:val="sv-SE"/>
        </w:rPr>
        <w:t xml:space="preserve"> Bolaget besluta att till aktieägarna rikta ett sådant erbjudande som avses i </w:t>
      </w:r>
      <w:r>
        <w:rPr>
          <w:lang w:val="sv-SE"/>
        </w:rPr>
        <w:t>punkt</w:t>
      </w:r>
      <w:r w:rsidRPr="00A50800">
        <w:rPr>
          <w:lang w:val="sv-SE"/>
        </w:rPr>
        <w:t xml:space="preserve"> </w:t>
      </w:r>
      <w:r>
        <w:rPr>
          <w:szCs w:val="22"/>
        </w:rPr>
        <w:fldChar w:fldCharType="begin"/>
      </w:r>
      <w:r>
        <w:rPr>
          <w:lang w:val="sv-SE"/>
        </w:rPr>
        <w:instrText xml:space="preserve"> REF _Ref445997940 \r \h </w:instrText>
      </w:r>
      <w:r>
        <w:rPr>
          <w:szCs w:val="22"/>
        </w:rPr>
      </w:r>
      <w:r>
        <w:rPr>
          <w:szCs w:val="22"/>
        </w:rPr>
        <w:fldChar w:fldCharType="separate"/>
      </w:r>
      <w:r>
        <w:rPr>
          <w:lang w:val="sv-SE"/>
        </w:rPr>
        <w:t>8.2.6</w:t>
      </w:r>
      <w:r>
        <w:rPr>
          <w:szCs w:val="22"/>
        </w:rPr>
        <w:fldChar w:fldCharType="end"/>
      </w:r>
      <w:r w:rsidRPr="00A50800">
        <w:rPr>
          <w:lang w:val="sv-SE"/>
        </w:rPr>
        <w:t xml:space="preserve"> ovan, </w:t>
      </w:r>
      <w:r>
        <w:rPr>
          <w:lang w:val="sv-SE"/>
        </w:rPr>
        <w:t>ska</w:t>
      </w:r>
      <w:r w:rsidRPr="00A50800">
        <w:rPr>
          <w:lang w:val="sv-SE"/>
        </w:rPr>
        <w:t xml:space="preserve"> vad i föregående stycke sagts äga motsvarande tillämpning, dock att det antal Aktier som </w:t>
      </w:r>
      <w:r>
        <w:rPr>
          <w:lang w:val="sv-SE"/>
        </w:rPr>
        <w:t>Optionsinnehavaren</w:t>
      </w:r>
      <w:r w:rsidRPr="00A50800">
        <w:rPr>
          <w:lang w:val="sv-SE"/>
        </w:rPr>
        <w:t xml:space="preserve"> anses vara ägare till i sådant fall </w:t>
      </w:r>
      <w:r>
        <w:rPr>
          <w:lang w:val="sv-SE"/>
        </w:rPr>
        <w:t>ska</w:t>
      </w:r>
      <w:r w:rsidRPr="00A50800">
        <w:rPr>
          <w:lang w:val="sv-SE"/>
        </w:rPr>
        <w:t xml:space="preserve"> fastställas efter den Teckningskurs, som gällde vid tidpunkten för beslutet om erbjudandet.</w:t>
      </w:r>
      <w:r w:rsidRPr="00A50800">
        <w:rPr>
          <w:lang w:val="sv-SE"/>
        </w:rPr>
        <w:br/>
      </w:r>
      <w:r w:rsidRPr="00437F01">
        <w:rPr>
          <w:i/>
        </w:rPr>
        <w:t xml:space="preserve">Should the Company direct such an offer intended in section </w:t>
      </w:r>
      <w:r>
        <w:rPr>
          <w:i/>
          <w:szCs w:val="22"/>
        </w:rPr>
        <w:fldChar w:fldCharType="begin"/>
      </w:r>
      <w:r>
        <w:rPr>
          <w:i/>
        </w:rPr>
        <w:instrText xml:space="preserve"> REF _Ref445997940 \r \h </w:instrText>
      </w:r>
      <w:r>
        <w:rPr>
          <w:i/>
          <w:szCs w:val="22"/>
        </w:rPr>
      </w:r>
      <w:r>
        <w:rPr>
          <w:i/>
          <w:szCs w:val="22"/>
        </w:rPr>
        <w:fldChar w:fldCharType="separate"/>
      </w:r>
      <w:r>
        <w:rPr>
          <w:i/>
        </w:rPr>
        <w:t>8.2.6</w:t>
      </w:r>
      <w:r>
        <w:rPr>
          <w:i/>
          <w:szCs w:val="22"/>
        </w:rPr>
        <w:fldChar w:fldCharType="end"/>
      </w:r>
      <w:r w:rsidRPr="00437F01">
        <w:rPr>
          <w:i/>
        </w:rPr>
        <w:t xml:space="preserve"> above, to its shareholders, the provisions set forth in previous paragraph will apply correspondingly. However, the number of Shares which the </w:t>
      </w:r>
      <w:r>
        <w:rPr>
          <w:i/>
        </w:rPr>
        <w:t>Warrant Holder</w:t>
      </w:r>
      <w:r w:rsidRPr="00437F01">
        <w:rPr>
          <w:i/>
        </w:rPr>
        <w:t xml:space="preserve"> shall be deemed to be owner of shall be determined after the Subscription Price which applied at the time of the resolution of the offer.</w:t>
      </w:r>
    </w:p>
    <w:p w14:paraId="7A14AF72" w14:textId="77777777" w:rsidR="006350FE" w:rsidRPr="00437F01" w:rsidRDefault="006350FE" w:rsidP="006350FE">
      <w:pPr>
        <w:pStyle w:val="BodyText"/>
        <w:ind w:left="720"/>
      </w:pPr>
      <w:r w:rsidRPr="00A05113">
        <w:rPr>
          <w:lang w:val="sv-SE"/>
        </w:rPr>
        <w:t>Om</w:t>
      </w:r>
      <w:r w:rsidRPr="00A50800">
        <w:rPr>
          <w:lang w:val="sv-SE"/>
        </w:rPr>
        <w:t xml:space="preserve"> Bolaget skulle besluta att ge </w:t>
      </w:r>
      <w:r>
        <w:rPr>
          <w:lang w:val="sv-SE"/>
        </w:rPr>
        <w:t>Optionsinnehavarna</w:t>
      </w:r>
      <w:r w:rsidRPr="00A50800">
        <w:rPr>
          <w:lang w:val="sv-SE"/>
        </w:rPr>
        <w:t xml:space="preserve"> företrädesrätt i enlighet med bestämmelserna i de</w:t>
      </w:r>
      <w:r>
        <w:rPr>
          <w:lang w:val="sv-SE"/>
        </w:rPr>
        <w:t>nn</w:t>
      </w:r>
      <w:r w:rsidRPr="00A50800">
        <w:rPr>
          <w:lang w:val="sv-SE"/>
        </w:rPr>
        <w:t xml:space="preserve">a </w:t>
      </w:r>
      <w:r>
        <w:rPr>
          <w:lang w:val="sv-SE"/>
        </w:rPr>
        <w:t>punkt</w:t>
      </w:r>
      <w:r w:rsidRPr="00A50800">
        <w:rPr>
          <w:lang w:val="sv-SE"/>
        </w:rPr>
        <w:t xml:space="preserve"> </w:t>
      </w:r>
      <w:r>
        <w:rPr>
          <w:lang w:val="sv-SE"/>
        </w:rPr>
        <w:fldChar w:fldCharType="begin"/>
      </w:r>
      <w:r>
        <w:rPr>
          <w:lang w:val="sv-SE"/>
        </w:rPr>
        <w:instrText xml:space="preserve"> REF _Ref167358698 \r \h </w:instrText>
      </w:r>
      <w:r>
        <w:rPr>
          <w:lang w:val="sv-SE"/>
        </w:rPr>
      </w:r>
      <w:r>
        <w:rPr>
          <w:lang w:val="sv-SE"/>
        </w:rPr>
        <w:fldChar w:fldCharType="separate"/>
      </w:r>
      <w:r>
        <w:rPr>
          <w:lang w:val="sv-SE"/>
        </w:rPr>
        <w:t>8.2.7</w:t>
      </w:r>
      <w:r>
        <w:rPr>
          <w:lang w:val="sv-SE"/>
        </w:rPr>
        <w:fldChar w:fldCharType="end"/>
      </w:r>
      <w:r w:rsidRPr="00A50800">
        <w:rPr>
          <w:lang w:val="sv-SE"/>
        </w:rPr>
        <w:t xml:space="preserve">, </w:t>
      </w:r>
      <w:r>
        <w:rPr>
          <w:lang w:val="sv-SE"/>
        </w:rPr>
        <w:t>ska</w:t>
      </w:r>
      <w:r w:rsidRPr="00A50800">
        <w:rPr>
          <w:lang w:val="sv-SE"/>
        </w:rPr>
        <w:t xml:space="preserve"> någon omräkning enligt punkterna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szCs w:val="22"/>
          <w:lang w:val="sv-SE"/>
        </w:rPr>
        <w:t xml:space="preserve">, </w:t>
      </w:r>
      <w:r>
        <w:rPr>
          <w:szCs w:val="22"/>
        </w:rPr>
        <w:fldChar w:fldCharType="begin"/>
      </w:r>
      <w:r>
        <w:rPr>
          <w:szCs w:val="22"/>
          <w:lang w:val="sv-SE"/>
        </w:rPr>
        <w:instrText xml:space="preserve"> REF _Ref445997868 \r \h </w:instrText>
      </w:r>
      <w:r>
        <w:rPr>
          <w:szCs w:val="22"/>
        </w:rPr>
      </w:r>
      <w:r>
        <w:rPr>
          <w:szCs w:val="22"/>
        </w:rPr>
        <w:fldChar w:fldCharType="separate"/>
      </w:r>
      <w:r>
        <w:rPr>
          <w:szCs w:val="22"/>
          <w:lang w:val="sv-SE"/>
        </w:rPr>
        <w:t>8.2.5</w:t>
      </w:r>
      <w:r>
        <w:rPr>
          <w:szCs w:val="22"/>
        </w:rPr>
        <w:fldChar w:fldCharType="end"/>
      </w:r>
      <w:r w:rsidRPr="00291EEE">
        <w:rPr>
          <w:szCs w:val="22"/>
          <w:lang w:val="sv-SE"/>
        </w:rPr>
        <w:t xml:space="preserve"> </w:t>
      </w:r>
      <w:r w:rsidRPr="00A50800">
        <w:rPr>
          <w:lang w:val="sv-SE"/>
        </w:rPr>
        <w:t xml:space="preserve">eller </w:t>
      </w:r>
      <w:r>
        <w:rPr>
          <w:szCs w:val="22"/>
        </w:rPr>
        <w:fldChar w:fldCharType="begin"/>
      </w:r>
      <w:r>
        <w:rPr>
          <w:lang w:val="sv-SE"/>
        </w:rPr>
        <w:instrText xml:space="preserve"> REF _Ref445997940 \r \h </w:instrText>
      </w:r>
      <w:r>
        <w:rPr>
          <w:szCs w:val="22"/>
        </w:rPr>
      </w:r>
      <w:r>
        <w:rPr>
          <w:szCs w:val="22"/>
        </w:rPr>
        <w:fldChar w:fldCharType="separate"/>
      </w:r>
      <w:r>
        <w:rPr>
          <w:lang w:val="sv-SE"/>
        </w:rPr>
        <w:t>8.2.6</w:t>
      </w:r>
      <w:r>
        <w:rPr>
          <w:szCs w:val="22"/>
        </w:rPr>
        <w:fldChar w:fldCharType="end"/>
      </w:r>
      <w:r w:rsidRPr="00A50800">
        <w:rPr>
          <w:lang w:val="sv-SE"/>
        </w:rPr>
        <w:t xml:space="preserve"> ovan inte äga rum.</w:t>
      </w:r>
      <w:r w:rsidRPr="00A50800">
        <w:rPr>
          <w:lang w:val="sv-SE"/>
        </w:rPr>
        <w:br/>
      </w:r>
      <w:r w:rsidRPr="00437F01">
        <w:rPr>
          <w:i/>
        </w:rPr>
        <w:t xml:space="preserve">If the Company resolves to give the </w:t>
      </w:r>
      <w:r>
        <w:rPr>
          <w:i/>
        </w:rPr>
        <w:t>Warrant Holder</w:t>
      </w:r>
      <w:r w:rsidRPr="00437F01">
        <w:rPr>
          <w:i/>
        </w:rPr>
        <w:t xml:space="preserve">s' priority rights, in accordance to the provisions set forth in this section </w:t>
      </w:r>
      <w:r>
        <w:rPr>
          <w:i/>
        </w:rPr>
        <w:fldChar w:fldCharType="begin"/>
      </w:r>
      <w:r>
        <w:rPr>
          <w:i/>
        </w:rPr>
        <w:instrText xml:space="preserve"> REF _Ref167358698 \r \h </w:instrText>
      </w:r>
      <w:r>
        <w:rPr>
          <w:i/>
        </w:rPr>
      </w:r>
      <w:r>
        <w:rPr>
          <w:i/>
        </w:rPr>
        <w:fldChar w:fldCharType="separate"/>
      </w:r>
      <w:r>
        <w:rPr>
          <w:i/>
        </w:rPr>
        <w:t>8.2.7</w:t>
      </w:r>
      <w:r>
        <w:rPr>
          <w:i/>
        </w:rPr>
        <w:fldChar w:fldCharType="end"/>
      </w:r>
      <w:r w:rsidRPr="00437F01">
        <w:rPr>
          <w:i/>
        </w:rPr>
        <w:t xml:space="preserve">, recalculation according to sections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w:t>
      </w:r>
      <w:r>
        <w:rPr>
          <w:i/>
          <w:szCs w:val="22"/>
        </w:rPr>
        <w:fldChar w:fldCharType="begin"/>
      </w:r>
      <w:r>
        <w:rPr>
          <w:i/>
        </w:rPr>
        <w:instrText xml:space="preserve"> REF _Ref445997868 \r \h </w:instrText>
      </w:r>
      <w:r>
        <w:rPr>
          <w:i/>
          <w:szCs w:val="22"/>
        </w:rPr>
      </w:r>
      <w:r>
        <w:rPr>
          <w:i/>
          <w:szCs w:val="22"/>
        </w:rPr>
        <w:fldChar w:fldCharType="separate"/>
      </w:r>
      <w:r>
        <w:rPr>
          <w:i/>
        </w:rPr>
        <w:t>8.2.5</w:t>
      </w:r>
      <w:r>
        <w:rPr>
          <w:i/>
          <w:szCs w:val="22"/>
        </w:rPr>
        <w:fldChar w:fldCharType="end"/>
      </w:r>
      <w:r w:rsidRPr="00437F01">
        <w:rPr>
          <w:i/>
          <w:szCs w:val="22"/>
        </w:rPr>
        <w:t xml:space="preserve"> </w:t>
      </w:r>
      <w:r w:rsidRPr="00437F01">
        <w:rPr>
          <w:i/>
        </w:rPr>
        <w:t xml:space="preserve">or </w:t>
      </w:r>
      <w:r>
        <w:rPr>
          <w:i/>
          <w:szCs w:val="22"/>
        </w:rPr>
        <w:fldChar w:fldCharType="begin"/>
      </w:r>
      <w:r>
        <w:rPr>
          <w:i/>
        </w:rPr>
        <w:instrText xml:space="preserve"> REF _Ref445997940 \r \h </w:instrText>
      </w:r>
      <w:r>
        <w:rPr>
          <w:i/>
          <w:szCs w:val="22"/>
        </w:rPr>
      </w:r>
      <w:r>
        <w:rPr>
          <w:i/>
          <w:szCs w:val="22"/>
        </w:rPr>
        <w:fldChar w:fldCharType="separate"/>
      </w:r>
      <w:r>
        <w:rPr>
          <w:i/>
        </w:rPr>
        <w:t>8.2.6</w:t>
      </w:r>
      <w:r>
        <w:rPr>
          <w:i/>
          <w:szCs w:val="22"/>
        </w:rPr>
        <w:fldChar w:fldCharType="end"/>
      </w:r>
      <w:r w:rsidRPr="00437F01">
        <w:rPr>
          <w:i/>
        </w:rPr>
        <w:t>, shall not be made.</w:t>
      </w:r>
    </w:p>
    <w:p w14:paraId="069B9CA2" w14:textId="77777777" w:rsidR="006350FE" w:rsidRPr="00437F01" w:rsidRDefault="006350FE" w:rsidP="006350FE">
      <w:pPr>
        <w:pStyle w:val="BodyText"/>
        <w:numPr>
          <w:ilvl w:val="2"/>
          <w:numId w:val="55"/>
        </w:numPr>
        <w:spacing w:after="0"/>
        <w:rPr>
          <w:b/>
        </w:rPr>
      </w:pPr>
      <w:proofErr w:type="spellStart"/>
      <w:r w:rsidRPr="00437F01">
        <w:rPr>
          <w:b/>
        </w:rPr>
        <w:t>Utdelning</w:t>
      </w:r>
      <w:proofErr w:type="spellEnd"/>
      <w:r w:rsidRPr="00437F01">
        <w:rPr>
          <w:b/>
        </w:rPr>
        <w:t>/</w:t>
      </w:r>
      <w:r w:rsidRPr="00437F01">
        <w:rPr>
          <w:b/>
          <w:i/>
        </w:rPr>
        <w:t>Dividend</w:t>
      </w:r>
    </w:p>
    <w:p w14:paraId="1AD49BD7" w14:textId="77777777" w:rsidR="006350FE" w:rsidRPr="00437F01" w:rsidRDefault="006350FE" w:rsidP="006350FE">
      <w:pPr>
        <w:pStyle w:val="BodyText"/>
        <w:numPr>
          <w:ilvl w:val="0"/>
          <w:numId w:val="52"/>
        </w:numPr>
        <w:ind w:left="720" w:firstLine="0"/>
      </w:pPr>
      <w:r w:rsidRPr="00A50800">
        <w:rPr>
          <w:rFonts w:eastAsia="Times New Roman"/>
          <w:lang w:val="sv-SE"/>
        </w:rPr>
        <w:t xml:space="preserve">Om Bolagets Aktier inte är föremål för marknadsnotering, och det beslutas om </w:t>
      </w:r>
      <w:r w:rsidRPr="00A50800">
        <w:rPr>
          <w:rFonts w:eastAsia="Times New Roman"/>
          <w:u w:val="single"/>
          <w:lang w:val="sv-SE"/>
        </w:rPr>
        <w:t>utdelning</w:t>
      </w:r>
      <w:r w:rsidRPr="00A50800">
        <w:rPr>
          <w:rFonts w:eastAsia="Times New Roman"/>
          <w:lang w:val="sv-SE"/>
        </w:rPr>
        <w:t xml:space="preserve"> till aktieägarna, oavsett om det rör sig om en kontant eller </w:t>
      </w:r>
      <w:proofErr w:type="spellStart"/>
      <w:r w:rsidRPr="00A50800">
        <w:rPr>
          <w:rFonts w:eastAsia="Times New Roman"/>
          <w:lang w:val="sv-SE"/>
        </w:rPr>
        <w:t>sakutdelning</w:t>
      </w:r>
      <w:proofErr w:type="spellEnd"/>
      <w:r w:rsidRPr="00A50800">
        <w:rPr>
          <w:rFonts w:eastAsia="Times New Roman"/>
          <w:lang w:val="sv-SE"/>
        </w:rPr>
        <w:t xml:space="preserve">, </w:t>
      </w:r>
      <w:r>
        <w:rPr>
          <w:rFonts w:eastAsia="Times New Roman"/>
          <w:lang w:val="sv-SE"/>
        </w:rPr>
        <w:t>ska</w:t>
      </w:r>
      <w:r w:rsidRPr="00A50800">
        <w:rPr>
          <w:rFonts w:eastAsia="Times New Roman"/>
          <w:lang w:val="sv-SE"/>
        </w:rPr>
        <w:t xml:space="preserve"> en omräkning av Teckningskursen utföras av Bolaget varigenom Teckningskursen </w:t>
      </w:r>
      <w:r>
        <w:rPr>
          <w:rFonts w:eastAsia="Times New Roman"/>
          <w:lang w:val="sv-SE"/>
        </w:rPr>
        <w:t>ska</w:t>
      </w:r>
      <w:r w:rsidRPr="00A50800">
        <w:rPr>
          <w:rFonts w:eastAsia="Times New Roman"/>
          <w:lang w:val="sv-SE"/>
        </w:rPr>
        <w:t xml:space="preserve"> reduceras med ett belopp motsvarande utdelningen per Aktie.</w:t>
      </w:r>
      <w:r w:rsidRPr="00A50800">
        <w:rPr>
          <w:rFonts w:eastAsia="Times New Roman"/>
          <w:lang w:val="sv-SE"/>
        </w:rPr>
        <w:br/>
      </w:r>
      <w:r w:rsidRPr="00437F01">
        <w:rPr>
          <w:i/>
        </w:rPr>
        <w:t xml:space="preserve">Should the Company's Shares not be listed, and the Company resolves to pay a </w:t>
      </w:r>
      <w:r w:rsidRPr="00437F01">
        <w:rPr>
          <w:i/>
          <w:u w:val="single"/>
        </w:rPr>
        <w:t>dividend</w:t>
      </w:r>
      <w:r w:rsidRPr="00437F01">
        <w:rPr>
          <w:i/>
        </w:rPr>
        <w:t xml:space="preserve"> to the shareholders whether in cash or in kind, the Company shall, recalculate the Subscription Price shall be reduced by the dividend per Share.</w:t>
      </w:r>
    </w:p>
    <w:p w14:paraId="696B484A" w14:textId="77777777" w:rsidR="006350FE" w:rsidRPr="00437F01" w:rsidRDefault="006350FE" w:rsidP="006350FE">
      <w:pPr>
        <w:pStyle w:val="BodyText"/>
        <w:numPr>
          <w:ilvl w:val="0"/>
          <w:numId w:val="52"/>
        </w:numPr>
        <w:ind w:left="720" w:firstLine="0"/>
      </w:pPr>
      <w:r w:rsidRPr="00A50800">
        <w:rPr>
          <w:rFonts w:eastAsia="Times New Roman"/>
          <w:lang w:val="sv-SE"/>
        </w:rPr>
        <w:t xml:space="preserve">Om Bolagets Aktier är föremål för marknadsnotering och beslutas om </w:t>
      </w:r>
      <w:r w:rsidRPr="00A50800">
        <w:rPr>
          <w:rFonts w:eastAsia="Times New Roman"/>
          <w:u w:val="single"/>
          <w:lang w:val="sv-SE"/>
        </w:rPr>
        <w:t>utdelning</w:t>
      </w:r>
      <w:r w:rsidRPr="00A50800">
        <w:rPr>
          <w:rFonts w:eastAsia="Times New Roman"/>
          <w:lang w:val="sv-SE"/>
        </w:rPr>
        <w:t xml:space="preserve"> till aktieägarna </w:t>
      </w:r>
      <w:r>
        <w:rPr>
          <w:rFonts w:eastAsia="Times New Roman"/>
          <w:lang w:val="sv-SE"/>
        </w:rPr>
        <w:t>ska</w:t>
      </w:r>
      <w:r w:rsidRPr="00A50800">
        <w:rPr>
          <w:rFonts w:eastAsia="Times New Roman"/>
          <w:lang w:val="sv-SE"/>
        </w:rPr>
        <w:t xml:space="preserve">, där anmälan om Teckning som görs på sådan tid, att därigenom erhållen Aktie inte medför rätt till erhållande av sådan utdelning, tillämpas en omräknad Teckningskurs och ett omräknat antal Aktier som varje Teckningsoption berättigar till Teckning av. </w:t>
      </w:r>
      <w:proofErr w:type="spellStart"/>
      <w:r w:rsidRPr="00437F01">
        <w:rPr>
          <w:rFonts w:eastAsia="Times New Roman"/>
        </w:rPr>
        <w:t>Omräkningen</w:t>
      </w:r>
      <w:proofErr w:type="spellEnd"/>
      <w:r w:rsidRPr="00437F01">
        <w:rPr>
          <w:rFonts w:eastAsia="Times New Roman"/>
        </w:rPr>
        <w:t xml:space="preserve"> </w:t>
      </w:r>
      <w:r>
        <w:rPr>
          <w:rFonts w:eastAsia="Times New Roman"/>
        </w:rPr>
        <w:t>ska</w:t>
      </w:r>
      <w:r w:rsidRPr="00437F01">
        <w:rPr>
          <w:rFonts w:eastAsia="Times New Roman"/>
        </w:rPr>
        <w:t xml:space="preserve"> </w:t>
      </w:r>
      <w:proofErr w:type="spellStart"/>
      <w:r w:rsidRPr="00437F01">
        <w:rPr>
          <w:rFonts w:eastAsia="Times New Roman"/>
        </w:rPr>
        <w:t>baseras</w:t>
      </w:r>
      <w:proofErr w:type="spellEnd"/>
      <w:r w:rsidRPr="00437F01">
        <w:rPr>
          <w:rFonts w:eastAsia="Times New Roman"/>
        </w:rPr>
        <w:t xml:space="preserve"> </w:t>
      </w:r>
      <w:proofErr w:type="spellStart"/>
      <w:r w:rsidRPr="00437F01">
        <w:rPr>
          <w:rFonts w:eastAsia="Times New Roman"/>
        </w:rPr>
        <w:t>på</w:t>
      </w:r>
      <w:proofErr w:type="spellEnd"/>
      <w:r w:rsidRPr="00437F01">
        <w:rPr>
          <w:rFonts w:eastAsia="Times New Roman"/>
        </w:rPr>
        <w:t xml:space="preserve"> den </w:t>
      </w:r>
      <w:proofErr w:type="spellStart"/>
      <w:r w:rsidRPr="00437F01">
        <w:rPr>
          <w:rFonts w:eastAsia="Times New Roman"/>
        </w:rPr>
        <w:t>sammanlagda</w:t>
      </w:r>
      <w:proofErr w:type="spellEnd"/>
      <w:r w:rsidRPr="00437F01">
        <w:rPr>
          <w:rFonts w:eastAsia="Times New Roman"/>
        </w:rPr>
        <w:t xml:space="preserve"> </w:t>
      </w:r>
      <w:proofErr w:type="spellStart"/>
      <w:r w:rsidRPr="00437F01">
        <w:rPr>
          <w:rFonts w:eastAsia="Times New Roman"/>
        </w:rPr>
        <w:t>utdelningen</w:t>
      </w:r>
      <w:proofErr w:type="spellEnd"/>
      <w:r w:rsidRPr="00437F01">
        <w:rPr>
          <w:rFonts w:eastAsia="Times New Roman"/>
        </w:rPr>
        <w:t xml:space="preserve">. </w:t>
      </w:r>
      <w:proofErr w:type="spellStart"/>
      <w:r w:rsidRPr="00437F01">
        <w:rPr>
          <w:rFonts w:eastAsia="Times New Roman"/>
        </w:rPr>
        <w:t>Omräkningarna</w:t>
      </w:r>
      <w:proofErr w:type="spellEnd"/>
      <w:r w:rsidRPr="00437F01">
        <w:rPr>
          <w:rFonts w:eastAsia="Times New Roman"/>
        </w:rPr>
        <w:t xml:space="preserve"> </w:t>
      </w:r>
      <w:proofErr w:type="spellStart"/>
      <w:r w:rsidRPr="00437F01">
        <w:rPr>
          <w:rFonts w:eastAsia="Times New Roman"/>
        </w:rPr>
        <w:t>utförs</w:t>
      </w:r>
      <w:proofErr w:type="spellEnd"/>
      <w:r w:rsidRPr="00437F01">
        <w:rPr>
          <w:rFonts w:eastAsia="Times New Roman"/>
        </w:rPr>
        <w:t xml:space="preserve"> </w:t>
      </w:r>
      <w:proofErr w:type="spellStart"/>
      <w:r w:rsidRPr="00437F01">
        <w:rPr>
          <w:rFonts w:eastAsia="Times New Roman"/>
        </w:rPr>
        <w:t>av</w:t>
      </w:r>
      <w:proofErr w:type="spellEnd"/>
      <w:r w:rsidRPr="00437F01">
        <w:rPr>
          <w:rFonts w:eastAsia="Times New Roman"/>
        </w:rPr>
        <w:t xml:space="preserve"> </w:t>
      </w:r>
      <w:proofErr w:type="spellStart"/>
      <w:r w:rsidRPr="00437F01">
        <w:rPr>
          <w:rFonts w:eastAsia="Times New Roman"/>
        </w:rPr>
        <w:t>Bolaget</w:t>
      </w:r>
      <w:proofErr w:type="spellEnd"/>
      <w:r w:rsidRPr="00437F01">
        <w:rPr>
          <w:rFonts w:eastAsia="Times New Roman"/>
        </w:rPr>
        <w:t xml:space="preserve"> </w:t>
      </w:r>
      <w:proofErr w:type="spellStart"/>
      <w:r w:rsidRPr="00437F01">
        <w:rPr>
          <w:rFonts w:eastAsia="Times New Roman"/>
        </w:rPr>
        <w:t>enligt</w:t>
      </w:r>
      <w:proofErr w:type="spellEnd"/>
      <w:r w:rsidRPr="00437F01">
        <w:rPr>
          <w:rFonts w:eastAsia="Times New Roman"/>
        </w:rPr>
        <w:t xml:space="preserve"> </w:t>
      </w:r>
      <w:proofErr w:type="spellStart"/>
      <w:r w:rsidRPr="00437F01">
        <w:rPr>
          <w:rFonts w:eastAsia="Times New Roman"/>
        </w:rPr>
        <w:t>följande</w:t>
      </w:r>
      <w:proofErr w:type="spellEnd"/>
      <w:r w:rsidRPr="00437F01">
        <w:rPr>
          <w:rFonts w:eastAsia="Times New Roman"/>
        </w:rPr>
        <w:t xml:space="preserve"> </w:t>
      </w:r>
      <w:proofErr w:type="spellStart"/>
      <w:r w:rsidRPr="00437F01">
        <w:rPr>
          <w:rFonts w:eastAsia="Times New Roman"/>
        </w:rPr>
        <w:t>formler</w:t>
      </w:r>
      <w:proofErr w:type="spellEnd"/>
      <w:r w:rsidRPr="00437F01">
        <w:rPr>
          <w:rFonts w:eastAsia="Times New Roman"/>
        </w:rPr>
        <w:t>:</w:t>
      </w:r>
      <w:r w:rsidRPr="00437F01">
        <w:rPr>
          <w:rFonts w:eastAsia="Times New Roman"/>
        </w:rPr>
        <w:br/>
      </w:r>
      <w:r w:rsidRPr="00437F01">
        <w:rPr>
          <w:i/>
        </w:rPr>
        <w:t xml:space="preserve">Should the Company's shares be listed, at the time of the issuance, and in the event the Company resolves to pay a </w:t>
      </w:r>
      <w:r w:rsidRPr="00437F01">
        <w:rPr>
          <w:i/>
          <w:u w:val="single"/>
        </w:rPr>
        <w:t>dividend</w:t>
      </w:r>
      <w:r w:rsidRPr="00437F01">
        <w:rPr>
          <w:i/>
        </w:rPr>
        <w:t xml:space="preserve"> to the shareholders recalculation of the Subscription Price and the number of Shares each Warrant entitles the </w:t>
      </w:r>
      <w:r>
        <w:rPr>
          <w:i/>
        </w:rPr>
        <w:t>Warrant Holder</w:t>
      </w:r>
      <w:r w:rsidRPr="00437F01">
        <w:rPr>
          <w:i/>
        </w:rPr>
        <w:t xml:space="preserve"> to Subscribe for, shall be made regarding Subscriptions requested at such a time that the Shares thereby received do not carry rights to receive such dividend. The recalculation shall be based upon the total dividend. The recalculation shall be made by the Company in accordance with the following formulas:</w:t>
      </w:r>
    </w:p>
    <w:tbl>
      <w:tblPr>
        <w:tblW w:w="8280" w:type="dxa"/>
        <w:tblInd w:w="720" w:type="dxa"/>
        <w:tblBorders>
          <w:top w:val="nil"/>
          <w:left w:val="nil"/>
          <w:bottom w:val="nil"/>
          <w:right w:val="nil"/>
          <w:insideH w:val="nil"/>
          <w:insideV w:val="nil"/>
        </w:tblBorders>
        <w:tblLook w:val="04A0" w:firstRow="1" w:lastRow="0" w:firstColumn="1" w:lastColumn="0" w:noHBand="0" w:noVBand="1"/>
      </w:tblPr>
      <w:tblGrid>
        <w:gridCol w:w="2610"/>
        <w:gridCol w:w="540"/>
        <w:gridCol w:w="5130"/>
      </w:tblGrid>
      <w:tr w:rsidR="006350FE" w:rsidRPr="00D00630" w14:paraId="278B09DF" w14:textId="77777777" w:rsidTr="00695A7D">
        <w:trPr>
          <w:cantSplit/>
        </w:trPr>
        <w:tc>
          <w:tcPr>
            <w:tcW w:w="2610" w:type="dxa"/>
            <w:vMerge w:val="restart"/>
            <w:vAlign w:val="center"/>
          </w:tcPr>
          <w:p w14:paraId="53C14022" w14:textId="77777777" w:rsidR="006350FE" w:rsidRPr="00437F01" w:rsidRDefault="006350FE" w:rsidP="00695A7D">
            <w:pPr>
              <w:pStyle w:val="TableText"/>
              <w:spacing w:after="0"/>
            </w:pPr>
            <w:proofErr w:type="spellStart"/>
            <w:r w:rsidRPr="00437F01">
              <w:t>Omräknad</w:t>
            </w:r>
            <w:proofErr w:type="spellEnd"/>
            <w:r w:rsidRPr="00437F01">
              <w:t xml:space="preserve"> </w:t>
            </w:r>
            <w:proofErr w:type="spellStart"/>
            <w:r w:rsidRPr="00437F01">
              <w:t>Teckningskurs</w:t>
            </w:r>
            <w:proofErr w:type="spellEnd"/>
          </w:p>
        </w:tc>
        <w:tc>
          <w:tcPr>
            <w:tcW w:w="540" w:type="dxa"/>
            <w:vMerge w:val="restart"/>
            <w:vAlign w:val="center"/>
          </w:tcPr>
          <w:p w14:paraId="37C63EDB" w14:textId="77777777" w:rsidR="006350FE" w:rsidRPr="00437F01" w:rsidRDefault="006350FE" w:rsidP="00695A7D">
            <w:pPr>
              <w:pStyle w:val="TableText"/>
              <w:spacing w:before="360" w:after="0"/>
            </w:pPr>
            <w:r w:rsidRPr="00437F01">
              <w:t>=</w:t>
            </w:r>
          </w:p>
        </w:tc>
        <w:tc>
          <w:tcPr>
            <w:tcW w:w="5130" w:type="dxa"/>
            <w:tcBorders>
              <w:bottom w:val="single" w:sz="4" w:space="0" w:color="auto"/>
            </w:tcBorders>
          </w:tcPr>
          <w:p w14:paraId="4B661D9E" w14:textId="77777777" w:rsidR="006350FE" w:rsidRPr="00A50800" w:rsidRDefault="006350F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Aktiens genomsnittliga aktiekurs under en period om 25 handelsdagar räknat fr.o.m. den dag då Aktien noteras utan rätt till utdelning (Aktiens genomsnittskurs)</w:t>
            </w:r>
          </w:p>
        </w:tc>
      </w:tr>
      <w:tr w:rsidR="006350FE" w:rsidRPr="00D00630" w14:paraId="071D9923" w14:textId="77777777" w:rsidTr="00695A7D">
        <w:trPr>
          <w:cantSplit/>
        </w:trPr>
        <w:tc>
          <w:tcPr>
            <w:tcW w:w="2610" w:type="dxa"/>
            <w:vMerge/>
          </w:tcPr>
          <w:p w14:paraId="1C0670D4" w14:textId="77777777" w:rsidR="006350FE" w:rsidRPr="00A50800" w:rsidRDefault="006350FE" w:rsidP="00695A7D">
            <w:pPr>
              <w:pStyle w:val="TableText"/>
              <w:spacing w:after="0"/>
              <w:rPr>
                <w:lang w:val="sv-SE"/>
              </w:rPr>
            </w:pPr>
          </w:p>
        </w:tc>
        <w:tc>
          <w:tcPr>
            <w:tcW w:w="540" w:type="dxa"/>
            <w:vMerge/>
            <w:tcBorders>
              <w:right w:val="nil"/>
            </w:tcBorders>
          </w:tcPr>
          <w:p w14:paraId="3E232D10" w14:textId="77777777" w:rsidR="006350FE" w:rsidRPr="00A50800" w:rsidRDefault="006350FE" w:rsidP="00695A7D">
            <w:pPr>
              <w:pStyle w:val="TableText"/>
              <w:spacing w:after="0"/>
              <w:rPr>
                <w:lang w:val="sv-SE"/>
              </w:rPr>
            </w:pPr>
          </w:p>
        </w:tc>
        <w:tc>
          <w:tcPr>
            <w:tcW w:w="5130" w:type="dxa"/>
            <w:tcBorders>
              <w:top w:val="single" w:sz="4" w:space="0" w:color="auto"/>
              <w:left w:val="nil"/>
              <w:bottom w:val="nil"/>
              <w:right w:val="nil"/>
            </w:tcBorders>
          </w:tcPr>
          <w:p w14:paraId="6684938E" w14:textId="77777777" w:rsidR="006350FE" w:rsidRPr="00A50800" w:rsidRDefault="006350FE" w:rsidP="00695A7D">
            <w:pPr>
              <w:pStyle w:val="TableText"/>
              <w:spacing w:after="0"/>
              <w:rPr>
                <w:lang w:val="sv-SE"/>
              </w:rPr>
            </w:pPr>
            <w:r w:rsidRPr="00A50800">
              <w:rPr>
                <w:lang w:val="sv-SE"/>
              </w:rPr>
              <w:t>Aktiens genomsnittskurs ökad med den utdelning som utbetalas per Aktie</w:t>
            </w:r>
          </w:p>
        </w:tc>
      </w:tr>
      <w:tr w:rsidR="006350FE" w:rsidRPr="00D00630" w14:paraId="139025FA" w14:textId="77777777" w:rsidTr="00695A7D">
        <w:trPr>
          <w:cantSplit/>
        </w:trPr>
        <w:tc>
          <w:tcPr>
            <w:tcW w:w="2610" w:type="dxa"/>
          </w:tcPr>
          <w:p w14:paraId="1588926F" w14:textId="77777777" w:rsidR="006350FE" w:rsidRPr="00A50800" w:rsidRDefault="006350FE" w:rsidP="00695A7D">
            <w:pPr>
              <w:pStyle w:val="TableText"/>
              <w:spacing w:after="0"/>
              <w:rPr>
                <w:lang w:val="sv-SE"/>
              </w:rPr>
            </w:pPr>
          </w:p>
        </w:tc>
        <w:tc>
          <w:tcPr>
            <w:tcW w:w="540" w:type="dxa"/>
          </w:tcPr>
          <w:p w14:paraId="33666113" w14:textId="77777777" w:rsidR="006350FE" w:rsidRPr="00A50800" w:rsidRDefault="006350FE" w:rsidP="00695A7D">
            <w:pPr>
              <w:pStyle w:val="TableText"/>
              <w:spacing w:after="0"/>
              <w:rPr>
                <w:lang w:val="sv-SE"/>
              </w:rPr>
            </w:pPr>
          </w:p>
        </w:tc>
        <w:tc>
          <w:tcPr>
            <w:tcW w:w="5130" w:type="dxa"/>
            <w:tcBorders>
              <w:top w:val="nil"/>
            </w:tcBorders>
          </w:tcPr>
          <w:p w14:paraId="79A6EAF1" w14:textId="77777777" w:rsidR="006350FE" w:rsidRPr="00A50800" w:rsidRDefault="006350FE" w:rsidP="00695A7D">
            <w:pPr>
              <w:pStyle w:val="TableText"/>
              <w:spacing w:after="0"/>
              <w:rPr>
                <w:lang w:val="sv-SE"/>
              </w:rPr>
            </w:pPr>
          </w:p>
        </w:tc>
      </w:tr>
      <w:tr w:rsidR="006350FE" w:rsidRPr="00D00630" w14:paraId="3323564C" w14:textId="77777777" w:rsidTr="00695A7D">
        <w:trPr>
          <w:cantSplit/>
        </w:trPr>
        <w:tc>
          <w:tcPr>
            <w:tcW w:w="2610" w:type="dxa"/>
            <w:vMerge w:val="restart"/>
            <w:vAlign w:val="center"/>
          </w:tcPr>
          <w:p w14:paraId="1C0D9634" w14:textId="77777777" w:rsidR="006350FE" w:rsidRPr="00A50800" w:rsidRDefault="006350FE" w:rsidP="00695A7D">
            <w:pPr>
              <w:pStyle w:val="TableText"/>
              <w:spacing w:after="0"/>
              <w:rPr>
                <w:lang w:val="sv-SE"/>
              </w:rPr>
            </w:pPr>
            <w:r w:rsidRPr="00A50800">
              <w:rPr>
                <w:lang w:val="sv-SE"/>
              </w:rPr>
              <w:lastRenderedPageBreak/>
              <w:t>Omräknat antal Aktier som varje Teckningsoption berättigar till Teckning av</w:t>
            </w:r>
          </w:p>
        </w:tc>
        <w:tc>
          <w:tcPr>
            <w:tcW w:w="540" w:type="dxa"/>
            <w:vMerge w:val="restart"/>
            <w:vAlign w:val="center"/>
          </w:tcPr>
          <w:p w14:paraId="50480D13" w14:textId="77777777" w:rsidR="006350FE" w:rsidRPr="00437F01" w:rsidRDefault="006350FE" w:rsidP="00695A7D">
            <w:pPr>
              <w:pStyle w:val="TableText"/>
              <w:spacing w:before="360" w:after="0"/>
            </w:pPr>
            <w:r w:rsidRPr="00437F01">
              <w:t>=</w:t>
            </w:r>
          </w:p>
        </w:tc>
        <w:tc>
          <w:tcPr>
            <w:tcW w:w="5130" w:type="dxa"/>
            <w:tcBorders>
              <w:bottom w:val="single" w:sz="4" w:space="0" w:color="auto"/>
            </w:tcBorders>
          </w:tcPr>
          <w:p w14:paraId="772A76FA" w14:textId="77777777" w:rsidR="006350FE" w:rsidRPr="00A50800" w:rsidRDefault="006350F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den utdelning som utbetalas per Aktie)</w:t>
            </w:r>
          </w:p>
        </w:tc>
      </w:tr>
      <w:tr w:rsidR="006350FE" w:rsidRPr="00437F01" w14:paraId="3BD62FB0" w14:textId="77777777" w:rsidTr="00695A7D">
        <w:trPr>
          <w:cantSplit/>
        </w:trPr>
        <w:tc>
          <w:tcPr>
            <w:tcW w:w="2610" w:type="dxa"/>
            <w:vMerge/>
          </w:tcPr>
          <w:p w14:paraId="6DB276A7" w14:textId="77777777" w:rsidR="006350FE" w:rsidRPr="00A50800" w:rsidRDefault="006350FE" w:rsidP="00695A7D">
            <w:pPr>
              <w:pStyle w:val="TableText"/>
              <w:spacing w:after="0"/>
              <w:rPr>
                <w:lang w:val="sv-SE"/>
              </w:rPr>
            </w:pPr>
          </w:p>
        </w:tc>
        <w:tc>
          <w:tcPr>
            <w:tcW w:w="540" w:type="dxa"/>
            <w:vMerge/>
          </w:tcPr>
          <w:p w14:paraId="727EC4B9" w14:textId="77777777" w:rsidR="006350FE" w:rsidRPr="00A50800" w:rsidRDefault="006350FE" w:rsidP="00695A7D">
            <w:pPr>
              <w:pStyle w:val="TableText"/>
              <w:spacing w:after="0"/>
              <w:rPr>
                <w:lang w:val="sv-SE"/>
              </w:rPr>
            </w:pPr>
          </w:p>
        </w:tc>
        <w:tc>
          <w:tcPr>
            <w:tcW w:w="5130" w:type="dxa"/>
            <w:tcBorders>
              <w:top w:val="single" w:sz="4" w:space="0" w:color="auto"/>
              <w:bottom w:val="nil"/>
            </w:tcBorders>
          </w:tcPr>
          <w:p w14:paraId="044DE851" w14:textId="77777777" w:rsidR="006350FE" w:rsidRPr="00437F01" w:rsidRDefault="006350FE" w:rsidP="00695A7D">
            <w:pPr>
              <w:pStyle w:val="TableText"/>
              <w:spacing w:after="0"/>
            </w:pPr>
            <w:proofErr w:type="spellStart"/>
            <w:r w:rsidRPr="00437F01">
              <w:t>Aktiens</w:t>
            </w:r>
            <w:proofErr w:type="spellEnd"/>
            <w:r w:rsidRPr="00437F01">
              <w:t xml:space="preserve"> </w:t>
            </w:r>
            <w:proofErr w:type="spellStart"/>
            <w:r w:rsidRPr="00437F01">
              <w:t>genomsnittskurs</w:t>
            </w:r>
            <w:proofErr w:type="spellEnd"/>
          </w:p>
        </w:tc>
      </w:tr>
      <w:tr w:rsidR="006350FE" w:rsidRPr="003D73C9" w14:paraId="65AEECF1" w14:textId="77777777" w:rsidTr="00695A7D">
        <w:trPr>
          <w:cantSplit/>
        </w:trPr>
        <w:tc>
          <w:tcPr>
            <w:tcW w:w="2610" w:type="dxa"/>
            <w:vMerge w:val="restart"/>
            <w:vAlign w:val="center"/>
          </w:tcPr>
          <w:p w14:paraId="22F0389F" w14:textId="77777777" w:rsidR="006350FE" w:rsidRPr="00437F01" w:rsidRDefault="006350FE" w:rsidP="00695A7D">
            <w:pPr>
              <w:pStyle w:val="TableText"/>
              <w:spacing w:after="0"/>
            </w:pPr>
            <w:r w:rsidRPr="00437F01">
              <w:rPr>
                <w:i/>
              </w:rPr>
              <w:t>Recalculated Subscription</w:t>
            </w:r>
            <w:r>
              <w:rPr>
                <w:i/>
              </w:rPr>
              <w:t xml:space="preserve"> </w:t>
            </w:r>
            <w:r w:rsidRPr="00437F01">
              <w:rPr>
                <w:i/>
              </w:rPr>
              <w:t>Price</w:t>
            </w:r>
          </w:p>
        </w:tc>
        <w:tc>
          <w:tcPr>
            <w:tcW w:w="540" w:type="dxa"/>
            <w:vMerge w:val="restart"/>
            <w:tcBorders>
              <w:right w:val="nil"/>
            </w:tcBorders>
            <w:vAlign w:val="center"/>
          </w:tcPr>
          <w:p w14:paraId="74B902C0" w14:textId="77777777" w:rsidR="006350FE" w:rsidRPr="00437F01" w:rsidRDefault="006350FE" w:rsidP="00695A7D">
            <w:pPr>
              <w:pStyle w:val="TableText"/>
              <w:spacing w:before="240" w:after="0"/>
            </w:pPr>
            <w:r w:rsidRPr="00437F01">
              <w:t>=</w:t>
            </w:r>
          </w:p>
        </w:tc>
        <w:tc>
          <w:tcPr>
            <w:tcW w:w="5130" w:type="dxa"/>
            <w:tcBorders>
              <w:top w:val="nil"/>
              <w:left w:val="nil"/>
              <w:bottom w:val="single" w:sz="4" w:space="0" w:color="auto"/>
              <w:right w:val="nil"/>
            </w:tcBorders>
          </w:tcPr>
          <w:p w14:paraId="78AB7B87" w14:textId="77777777" w:rsidR="006350FE" w:rsidRPr="00437F01" w:rsidRDefault="006350FE" w:rsidP="00695A7D">
            <w:pPr>
              <w:pStyle w:val="TableText"/>
              <w:spacing w:after="0"/>
            </w:pPr>
            <w:r w:rsidRPr="00437F01">
              <w:rPr>
                <w:i/>
              </w:rPr>
              <w:t>Previous Subscription Price x the average share price of the Share during a period of 25 trading days calculated from the day on which the Share is quoted</w:t>
            </w:r>
            <w:r>
              <w:rPr>
                <w:i/>
              </w:rPr>
              <w:t xml:space="preserve"> </w:t>
            </w:r>
            <w:r w:rsidRPr="00437F01">
              <w:rPr>
                <w:i/>
              </w:rPr>
              <w:t>without any right to dividend (the average price of Share)</w:t>
            </w:r>
          </w:p>
        </w:tc>
      </w:tr>
      <w:tr w:rsidR="006350FE" w:rsidRPr="003D73C9" w14:paraId="45AB959F" w14:textId="77777777" w:rsidTr="00695A7D">
        <w:trPr>
          <w:cantSplit/>
        </w:trPr>
        <w:tc>
          <w:tcPr>
            <w:tcW w:w="2610" w:type="dxa"/>
            <w:vMerge/>
          </w:tcPr>
          <w:p w14:paraId="02C4BFFB" w14:textId="77777777" w:rsidR="006350FE" w:rsidRPr="00437F01" w:rsidRDefault="006350FE" w:rsidP="00695A7D">
            <w:pPr>
              <w:pStyle w:val="TableText"/>
              <w:spacing w:after="0"/>
            </w:pPr>
          </w:p>
        </w:tc>
        <w:tc>
          <w:tcPr>
            <w:tcW w:w="540" w:type="dxa"/>
            <w:vMerge/>
          </w:tcPr>
          <w:p w14:paraId="5105BF46" w14:textId="77777777" w:rsidR="006350FE" w:rsidRPr="00437F01" w:rsidRDefault="006350FE" w:rsidP="00695A7D">
            <w:pPr>
              <w:pStyle w:val="TableText"/>
              <w:spacing w:after="0"/>
            </w:pPr>
          </w:p>
        </w:tc>
        <w:tc>
          <w:tcPr>
            <w:tcW w:w="5130" w:type="dxa"/>
            <w:tcBorders>
              <w:top w:val="single" w:sz="4" w:space="0" w:color="auto"/>
              <w:bottom w:val="nil"/>
            </w:tcBorders>
          </w:tcPr>
          <w:p w14:paraId="6487B805" w14:textId="77777777" w:rsidR="006350FE" w:rsidRPr="00437F01" w:rsidRDefault="006350FE" w:rsidP="00695A7D">
            <w:pPr>
              <w:pStyle w:val="TableText"/>
              <w:spacing w:after="0"/>
            </w:pPr>
            <w:r w:rsidRPr="00437F01">
              <w:rPr>
                <w:i/>
              </w:rPr>
              <w:t>Average price of Share increased by the dividend paid per Share</w:t>
            </w:r>
          </w:p>
        </w:tc>
      </w:tr>
      <w:tr w:rsidR="006350FE" w:rsidRPr="003D73C9" w14:paraId="329A81F9" w14:textId="77777777" w:rsidTr="00695A7D">
        <w:trPr>
          <w:cantSplit/>
        </w:trPr>
        <w:tc>
          <w:tcPr>
            <w:tcW w:w="2610" w:type="dxa"/>
          </w:tcPr>
          <w:p w14:paraId="6297CDA0" w14:textId="77777777" w:rsidR="006350FE" w:rsidRPr="00437F01" w:rsidRDefault="006350FE" w:rsidP="00695A7D">
            <w:pPr>
              <w:pStyle w:val="TableText"/>
              <w:spacing w:after="0"/>
            </w:pPr>
          </w:p>
        </w:tc>
        <w:tc>
          <w:tcPr>
            <w:tcW w:w="540" w:type="dxa"/>
            <w:tcBorders>
              <w:right w:val="nil"/>
            </w:tcBorders>
          </w:tcPr>
          <w:p w14:paraId="74B85D4C" w14:textId="77777777" w:rsidR="006350FE" w:rsidRPr="00437F01" w:rsidRDefault="006350FE" w:rsidP="00695A7D">
            <w:pPr>
              <w:pStyle w:val="TableText"/>
              <w:spacing w:after="0"/>
            </w:pPr>
          </w:p>
        </w:tc>
        <w:tc>
          <w:tcPr>
            <w:tcW w:w="5130" w:type="dxa"/>
            <w:tcBorders>
              <w:top w:val="nil"/>
              <w:left w:val="nil"/>
              <w:bottom w:val="nil"/>
              <w:right w:val="nil"/>
            </w:tcBorders>
          </w:tcPr>
          <w:p w14:paraId="5FE01535" w14:textId="77777777" w:rsidR="006350FE" w:rsidRPr="00437F01" w:rsidRDefault="006350FE" w:rsidP="00695A7D">
            <w:pPr>
              <w:pStyle w:val="TableText"/>
              <w:spacing w:after="0"/>
              <w:rPr>
                <w:i/>
              </w:rPr>
            </w:pPr>
          </w:p>
        </w:tc>
      </w:tr>
      <w:tr w:rsidR="006350FE" w:rsidRPr="003D73C9" w14:paraId="705CBDFB" w14:textId="77777777" w:rsidTr="00695A7D">
        <w:trPr>
          <w:cantSplit/>
        </w:trPr>
        <w:tc>
          <w:tcPr>
            <w:tcW w:w="2610" w:type="dxa"/>
            <w:vMerge w:val="restart"/>
            <w:vAlign w:val="center"/>
          </w:tcPr>
          <w:p w14:paraId="6C7900A0" w14:textId="77777777" w:rsidR="006350FE" w:rsidRPr="00437F01" w:rsidRDefault="006350FE" w:rsidP="00695A7D">
            <w:pPr>
              <w:pStyle w:val="TableText"/>
              <w:spacing w:after="0"/>
            </w:pPr>
            <w:r w:rsidRPr="00437F01">
              <w:rPr>
                <w:i/>
              </w:rPr>
              <w:t>Re-calculated number of</w:t>
            </w:r>
            <w:r>
              <w:rPr>
                <w:i/>
              </w:rPr>
              <w:t xml:space="preserve"> </w:t>
            </w:r>
            <w:r w:rsidRPr="00437F01">
              <w:rPr>
                <w:i/>
              </w:rPr>
              <w:t>Shares that each Warrant entitles to Subscribe for</w:t>
            </w:r>
          </w:p>
        </w:tc>
        <w:tc>
          <w:tcPr>
            <w:tcW w:w="540" w:type="dxa"/>
            <w:vMerge w:val="restart"/>
            <w:vAlign w:val="center"/>
          </w:tcPr>
          <w:p w14:paraId="7919EBCA" w14:textId="77777777" w:rsidR="006350FE" w:rsidRPr="00437F01" w:rsidRDefault="006350FE" w:rsidP="00695A7D">
            <w:pPr>
              <w:pStyle w:val="TableText"/>
              <w:spacing w:before="360" w:after="0"/>
            </w:pPr>
            <w:r w:rsidRPr="00437F01">
              <w:t>=</w:t>
            </w:r>
          </w:p>
        </w:tc>
        <w:tc>
          <w:tcPr>
            <w:tcW w:w="5130" w:type="dxa"/>
            <w:tcBorders>
              <w:top w:val="nil"/>
              <w:bottom w:val="single" w:sz="4" w:space="0" w:color="auto"/>
            </w:tcBorders>
          </w:tcPr>
          <w:p w14:paraId="72779359" w14:textId="77777777" w:rsidR="006350FE" w:rsidRPr="00437F01" w:rsidRDefault="006350FE" w:rsidP="00695A7D">
            <w:pPr>
              <w:pStyle w:val="TableText"/>
              <w:spacing w:after="0"/>
            </w:pPr>
            <w:r w:rsidRPr="00437F01">
              <w:rPr>
                <w:i/>
              </w:rPr>
              <w:t>Previous number of Shares that each Warrant entitles to subscribe for x (the average price of Share increased by the dividend paid per Share)</w:t>
            </w:r>
          </w:p>
        </w:tc>
      </w:tr>
      <w:tr w:rsidR="006350FE" w:rsidRPr="00437F01" w14:paraId="1344F0DB" w14:textId="77777777" w:rsidTr="00695A7D">
        <w:trPr>
          <w:cantSplit/>
        </w:trPr>
        <w:tc>
          <w:tcPr>
            <w:tcW w:w="2610" w:type="dxa"/>
            <w:vMerge/>
          </w:tcPr>
          <w:p w14:paraId="30F141BE" w14:textId="77777777" w:rsidR="006350FE" w:rsidRPr="00437F01" w:rsidRDefault="006350FE" w:rsidP="00695A7D">
            <w:pPr>
              <w:pStyle w:val="TableText"/>
              <w:spacing w:after="0"/>
            </w:pPr>
          </w:p>
        </w:tc>
        <w:tc>
          <w:tcPr>
            <w:tcW w:w="540" w:type="dxa"/>
            <w:vMerge/>
          </w:tcPr>
          <w:p w14:paraId="3273DDBB" w14:textId="77777777" w:rsidR="006350FE" w:rsidRPr="00437F01" w:rsidRDefault="006350FE" w:rsidP="00695A7D">
            <w:pPr>
              <w:pStyle w:val="TableText"/>
              <w:spacing w:after="0"/>
            </w:pPr>
          </w:p>
        </w:tc>
        <w:tc>
          <w:tcPr>
            <w:tcW w:w="5130" w:type="dxa"/>
            <w:tcBorders>
              <w:top w:val="single" w:sz="4" w:space="0" w:color="auto"/>
              <w:bottom w:val="nil"/>
            </w:tcBorders>
          </w:tcPr>
          <w:p w14:paraId="220E2242" w14:textId="77777777" w:rsidR="006350FE" w:rsidRPr="00437F01" w:rsidRDefault="006350FE" w:rsidP="00695A7D">
            <w:pPr>
              <w:pStyle w:val="TableText"/>
              <w:spacing w:after="0"/>
            </w:pPr>
            <w:r w:rsidRPr="00437F01">
              <w:rPr>
                <w:i/>
              </w:rPr>
              <w:t>Average price of Share</w:t>
            </w:r>
          </w:p>
        </w:tc>
      </w:tr>
      <w:tr w:rsidR="006350FE" w:rsidRPr="00437F01" w14:paraId="2C3C5F73" w14:textId="77777777" w:rsidTr="00695A7D">
        <w:trPr>
          <w:cantSplit/>
        </w:trPr>
        <w:tc>
          <w:tcPr>
            <w:tcW w:w="2610" w:type="dxa"/>
          </w:tcPr>
          <w:p w14:paraId="56D8C1D9" w14:textId="77777777" w:rsidR="006350FE" w:rsidRPr="00437F01" w:rsidRDefault="006350FE" w:rsidP="00695A7D">
            <w:pPr>
              <w:pStyle w:val="TableText"/>
              <w:spacing w:after="120"/>
            </w:pPr>
          </w:p>
        </w:tc>
        <w:tc>
          <w:tcPr>
            <w:tcW w:w="540" w:type="dxa"/>
            <w:tcBorders>
              <w:right w:val="nil"/>
            </w:tcBorders>
          </w:tcPr>
          <w:p w14:paraId="549175D3" w14:textId="77777777" w:rsidR="006350FE" w:rsidRPr="00437F01" w:rsidRDefault="006350FE" w:rsidP="00695A7D">
            <w:pPr>
              <w:pStyle w:val="TableText"/>
              <w:spacing w:after="120"/>
            </w:pPr>
          </w:p>
        </w:tc>
        <w:tc>
          <w:tcPr>
            <w:tcW w:w="5130" w:type="dxa"/>
            <w:tcBorders>
              <w:top w:val="nil"/>
              <w:left w:val="nil"/>
              <w:bottom w:val="nil"/>
              <w:right w:val="nil"/>
            </w:tcBorders>
          </w:tcPr>
          <w:p w14:paraId="6B62113E" w14:textId="77777777" w:rsidR="006350FE" w:rsidRPr="00437F01" w:rsidRDefault="006350FE" w:rsidP="00695A7D">
            <w:pPr>
              <w:pStyle w:val="TableText"/>
              <w:spacing w:after="120"/>
              <w:rPr>
                <w:i/>
              </w:rPr>
            </w:pPr>
          </w:p>
        </w:tc>
      </w:tr>
    </w:tbl>
    <w:p w14:paraId="23269639" w14:textId="77777777" w:rsidR="006350FE" w:rsidRPr="00437F01" w:rsidRDefault="006350FE" w:rsidP="006350FE">
      <w:pPr>
        <w:pStyle w:val="BodyText"/>
        <w:ind w:left="720"/>
      </w:pPr>
      <w:r w:rsidRPr="00A05113">
        <w:rPr>
          <w:lang w:val="sv-SE"/>
        </w:rPr>
        <w:t>Enligt</w:t>
      </w:r>
      <w:r w:rsidRPr="00A50800">
        <w:rPr>
          <w:lang w:val="sv-SE"/>
        </w:rPr>
        <w:t xml:space="preserve"> ovan omräknad Teckningskurs och omräknat antal Aktier </w:t>
      </w:r>
      <w:r>
        <w:rPr>
          <w:lang w:val="sv-SE"/>
        </w:rPr>
        <w:t>ska</w:t>
      </w:r>
      <w:r w:rsidRPr="00A50800">
        <w:rPr>
          <w:lang w:val="sv-SE"/>
        </w:rPr>
        <w:t xml:space="preserve"> fastställas av Bolaget senast vid tidpunkten för utbetalning av utdelningen och </w:t>
      </w:r>
      <w:r>
        <w:rPr>
          <w:lang w:val="sv-SE"/>
        </w:rPr>
        <w:t>ska</w:t>
      </w:r>
      <w:r w:rsidRPr="00A50800">
        <w:rPr>
          <w:lang w:val="sv-SE"/>
        </w:rPr>
        <w:t xml:space="preserve"> tillämpas vid Teckning som verkställs därefter.</w:t>
      </w:r>
      <w:r w:rsidRPr="00A50800">
        <w:rPr>
          <w:lang w:val="sv-SE"/>
        </w:rPr>
        <w:br/>
      </w:r>
      <w:r w:rsidRPr="00437F01">
        <w:rPr>
          <w:i/>
        </w:rPr>
        <w:t xml:space="preserve">The recalculated Subscription Price and the recalculated number of Shares </w:t>
      </w:r>
      <w:proofErr w:type="gramStart"/>
      <w:r w:rsidRPr="00437F01">
        <w:rPr>
          <w:i/>
        </w:rPr>
        <w:t>as set</w:t>
      </w:r>
      <w:proofErr w:type="gramEnd"/>
      <w:r w:rsidRPr="00437F01">
        <w:rPr>
          <w:i/>
        </w:rPr>
        <w:t xml:space="preserve"> out above shall be determined by the Company at the latest by the time of payment of the dividend in question and shall apply to Subscriptions executed thereafter.</w:t>
      </w:r>
    </w:p>
    <w:p w14:paraId="1A5DBB36" w14:textId="77777777" w:rsidR="006350FE" w:rsidRPr="00437F01" w:rsidRDefault="006350FE" w:rsidP="006350FE">
      <w:pPr>
        <w:pStyle w:val="BodyText"/>
        <w:ind w:left="720"/>
      </w:pPr>
      <w:r w:rsidRPr="00A50800">
        <w:rPr>
          <w:lang w:val="sv-SE"/>
        </w:rPr>
        <w:t xml:space="preserve">Har anmälan om Teckning ägt rum men, p.g.a. bestämmelserna i punkt </w:t>
      </w:r>
      <w:r>
        <w:fldChar w:fldCharType="begin"/>
      </w:r>
      <w:r>
        <w:rPr>
          <w:lang w:val="sv-SE"/>
        </w:rPr>
        <w:instrText xml:space="preserve"> REF _Ref420689968 \r \h </w:instrText>
      </w:r>
      <w:r>
        <w:fldChar w:fldCharType="separate"/>
      </w:r>
      <w:r>
        <w:rPr>
          <w:lang w:val="sv-SE"/>
        </w:rPr>
        <w:t>7</w:t>
      </w:r>
      <w:r>
        <w:fldChar w:fldCharType="end"/>
      </w:r>
      <w:r w:rsidRPr="00A50800">
        <w:rPr>
          <w:lang w:val="sv-SE"/>
        </w:rPr>
        <w:t xml:space="preserve"> ovan, slutlig registrering på avstämningskonto ej skett, </w:t>
      </w:r>
      <w:r>
        <w:rPr>
          <w:lang w:val="sv-SE"/>
        </w:rPr>
        <w:t>ska</w:t>
      </w:r>
      <w:r w:rsidRPr="00A50800">
        <w:rPr>
          <w:lang w:val="sv-SE"/>
        </w:rPr>
        <w:t xml:space="preserve"> särskilt noteras att varje Teckningsoption efter omräkningar kan berättiga Optionsinnehavare till ytterligare Aktier. Slutlig registrering på avstämningskonto sker sedan omräkningarna fastställts, dock tidigast vid den tidpunkt som </w:t>
      </w:r>
      <w:r w:rsidRPr="00A05113">
        <w:rPr>
          <w:lang w:val="sv-SE"/>
        </w:rPr>
        <w:t>anges</w:t>
      </w:r>
      <w:r w:rsidRPr="00A50800">
        <w:rPr>
          <w:lang w:val="sv-SE"/>
        </w:rPr>
        <w:t xml:space="preserve"> i punkt </w:t>
      </w:r>
      <w:r>
        <w:fldChar w:fldCharType="begin"/>
      </w:r>
      <w:r>
        <w:rPr>
          <w:lang w:val="sv-SE"/>
        </w:rPr>
        <w:instrText xml:space="preserve"> REF _Ref420689968 \r \h </w:instrText>
      </w:r>
      <w:r>
        <w:fldChar w:fldCharType="separate"/>
      </w:r>
      <w:r>
        <w:rPr>
          <w:lang w:val="sv-SE"/>
        </w:rPr>
        <w:t>7</w:t>
      </w:r>
      <w:r>
        <w:fldChar w:fldCharType="end"/>
      </w:r>
      <w:r w:rsidRPr="00A50800">
        <w:rPr>
          <w:lang w:val="sv-SE"/>
        </w:rPr>
        <w:t xml:space="preserve"> ovan. Om Bolaget inte längre är avstämningsbolag verkställs Teckning genom att de nya Aktierna upptas i aktieboken som interimsaktier. Slutlig registrering i aktieboken sker sedan omräknad Teckningskurs och omräknat antal Aktier som varje Teckningsoption berättigar till Teckning av fastställts.</w:t>
      </w:r>
      <w:r w:rsidRPr="00A50800">
        <w:rPr>
          <w:lang w:val="sv-SE"/>
        </w:rPr>
        <w:br/>
      </w:r>
      <w:r w:rsidRPr="00437F01">
        <w:rPr>
          <w:i/>
        </w:rPr>
        <w:t>In the event that notice for Subscription has been made but, due to the regulations in section </w:t>
      </w:r>
      <w:r>
        <w:rPr>
          <w:i/>
        </w:rPr>
        <w:fldChar w:fldCharType="begin"/>
      </w:r>
      <w:r>
        <w:rPr>
          <w:i/>
        </w:rPr>
        <w:instrText xml:space="preserve"> REF _Ref420689968 \r \h </w:instrText>
      </w:r>
      <w:r>
        <w:rPr>
          <w:i/>
        </w:rPr>
      </w:r>
      <w:r>
        <w:rPr>
          <w:i/>
        </w:rPr>
        <w:fldChar w:fldCharType="separate"/>
      </w:r>
      <w:r>
        <w:rPr>
          <w:i/>
        </w:rPr>
        <w:t>7</w:t>
      </w:r>
      <w:r>
        <w:rPr>
          <w:i/>
        </w:rPr>
        <w:fldChar w:fldCharType="end"/>
      </w:r>
      <w:r w:rsidRPr="00437F01">
        <w:rPr>
          <w:i/>
        </w:rPr>
        <w:t xml:space="preserve"> above, final registration on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ry account</w:t>
      </w:r>
      <w:r w:rsidRPr="00437F01" w:rsidDel="009F3CC8">
        <w:rPr>
          <w:i/>
        </w:rPr>
        <w:t xml:space="preserve"> </w:t>
      </w:r>
      <w:r w:rsidRPr="00437F01">
        <w:rPr>
          <w:i/>
        </w:rPr>
        <w:t xml:space="preserve">has not been made, it shall be specifically noted that each Warrant after recalculations may entitle the </w:t>
      </w:r>
      <w:r>
        <w:rPr>
          <w:i/>
        </w:rPr>
        <w:t>Warrant Holder</w:t>
      </w:r>
      <w:r w:rsidRPr="00437F01">
        <w:rPr>
          <w:i/>
        </w:rPr>
        <w:t xml:space="preserve"> to additional Shares. Final registration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is made after the recalculations has been determined, but in no event earlier than the time stated in section </w:t>
      </w:r>
      <w:r>
        <w:rPr>
          <w:i/>
        </w:rPr>
        <w:fldChar w:fldCharType="begin"/>
      </w:r>
      <w:r>
        <w:rPr>
          <w:i/>
        </w:rPr>
        <w:instrText xml:space="preserve"> REF _Ref420689968 \r \h </w:instrText>
      </w:r>
      <w:r>
        <w:rPr>
          <w:i/>
        </w:rPr>
      </w:r>
      <w:r>
        <w:rPr>
          <w:i/>
        </w:rPr>
        <w:fldChar w:fldCharType="separate"/>
      </w:r>
      <w:r>
        <w:rPr>
          <w:i/>
        </w:rPr>
        <w:t>7</w:t>
      </w:r>
      <w:r>
        <w:rPr>
          <w:i/>
        </w:rPr>
        <w:fldChar w:fldCharType="end"/>
      </w:r>
      <w:r w:rsidRPr="00437F01">
        <w:rPr>
          <w:i/>
        </w:rPr>
        <w:t xml:space="preserve"> above. </w:t>
      </w:r>
      <w:proofErr w:type="gramStart"/>
      <w:r w:rsidRPr="00437F01">
        <w:rPr>
          <w:i/>
        </w:rPr>
        <w:t>In the event that</w:t>
      </w:r>
      <w:proofErr w:type="gramEnd"/>
      <w:r w:rsidRPr="00437F01">
        <w:rPr>
          <w:i/>
        </w:rPr>
        <w:t xml:space="preserve"> the Company is no longer a company registered with Euroclear, Subscription for Shares is </w:t>
      </w:r>
      <w:proofErr w:type="gramStart"/>
      <w:r w:rsidRPr="00437F01">
        <w:rPr>
          <w:i/>
        </w:rPr>
        <w:t>effected</w:t>
      </w:r>
      <w:proofErr w:type="gramEnd"/>
      <w:r w:rsidRPr="00437F01">
        <w:rPr>
          <w:i/>
        </w:rPr>
        <w:t xml:space="preserve"> by the new Shares being registered as interim shares in the Company's share register. Final registration in the share register is made after the recalculated Subscription Price and the recalculated number of Shares which each Warrant entitles to have been determined.</w:t>
      </w:r>
    </w:p>
    <w:p w14:paraId="18E3CA6E" w14:textId="77777777" w:rsidR="006350FE" w:rsidRPr="00437F01" w:rsidRDefault="006350FE" w:rsidP="006350FE">
      <w:pPr>
        <w:pStyle w:val="BodyText"/>
        <w:numPr>
          <w:ilvl w:val="2"/>
          <w:numId w:val="55"/>
        </w:numPr>
        <w:spacing w:after="0"/>
        <w:rPr>
          <w:b/>
        </w:rPr>
      </w:pPr>
      <w:r w:rsidRPr="006B6AC0">
        <w:rPr>
          <w:b/>
          <w:lang w:val="sv-SE"/>
        </w:rPr>
        <w:t xml:space="preserve">Återbetalning till aktieägarna med obligatorisk </w:t>
      </w:r>
      <w:proofErr w:type="spellStart"/>
      <w:r w:rsidRPr="006B6AC0">
        <w:rPr>
          <w:b/>
          <w:lang w:val="sv-SE"/>
        </w:rPr>
        <w:t>minsking</w:t>
      </w:r>
      <w:proofErr w:type="spellEnd"/>
      <w:r w:rsidRPr="006B6AC0">
        <w:rPr>
          <w:b/>
          <w:lang w:val="sv-SE"/>
        </w:rPr>
        <w:t xml:space="preserve"> av aktiekapital </w:t>
      </w:r>
      <w:proofErr w:type="gramStart"/>
      <w:r w:rsidRPr="006B6AC0">
        <w:rPr>
          <w:b/>
          <w:lang w:val="sv-SE"/>
        </w:rPr>
        <w:t>m.m.</w:t>
      </w:r>
      <w:proofErr w:type="gramEnd"/>
      <w:r w:rsidRPr="00437F01">
        <w:rPr>
          <w:b/>
        </w:rPr>
        <w:t>/</w:t>
      </w:r>
      <w:r w:rsidRPr="00437F01">
        <w:rPr>
          <w:b/>
          <w:i/>
        </w:rPr>
        <w:t>Repayment to the shareholders by reduction of share capital</w:t>
      </w:r>
    </w:p>
    <w:p w14:paraId="75D9A032" w14:textId="77777777" w:rsidR="006350FE" w:rsidRPr="00437F01" w:rsidRDefault="006350FE" w:rsidP="006350FE">
      <w:pPr>
        <w:pStyle w:val="BodyText"/>
        <w:ind w:left="720"/>
      </w:pPr>
      <w:r w:rsidRPr="006B6AC0">
        <w:rPr>
          <w:lang w:val="en-US"/>
        </w:rPr>
        <w:t xml:space="preserve">Om </w:t>
      </w:r>
      <w:proofErr w:type="spellStart"/>
      <w:r w:rsidRPr="006B6AC0">
        <w:rPr>
          <w:lang w:val="en-US"/>
        </w:rPr>
        <w:t>Bolagets</w:t>
      </w:r>
      <w:proofErr w:type="spellEnd"/>
      <w:r w:rsidRPr="006B6AC0">
        <w:rPr>
          <w:lang w:val="en-US"/>
        </w:rPr>
        <w:t xml:space="preserve"> </w:t>
      </w:r>
      <w:proofErr w:type="spellStart"/>
      <w:r w:rsidRPr="006B6AC0">
        <w:rPr>
          <w:u w:val="single"/>
          <w:lang w:val="en-US"/>
        </w:rPr>
        <w:t>aktiekapital</w:t>
      </w:r>
      <w:proofErr w:type="spellEnd"/>
      <w:r w:rsidRPr="006B6AC0">
        <w:rPr>
          <w:u w:val="single"/>
          <w:lang w:val="en-US"/>
        </w:rPr>
        <w:t xml:space="preserve"> </w:t>
      </w:r>
      <w:proofErr w:type="spellStart"/>
      <w:r w:rsidRPr="006B6AC0">
        <w:rPr>
          <w:u w:val="single"/>
          <w:lang w:val="en-US"/>
        </w:rPr>
        <w:t>eller</w:t>
      </w:r>
      <w:proofErr w:type="spellEnd"/>
      <w:r w:rsidRPr="006B6AC0">
        <w:rPr>
          <w:u w:val="single"/>
          <w:lang w:val="en-US"/>
        </w:rPr>
        <w:t xml:space="preserve"> </w:t>
      </w:r>
      <w:proofErr w:type="spellStart"/>
      <w:r w:rsidRPr="006B6AC0">
        <w:rPr>
          <w:u w:val="single"/>
          <w:lang w:val="en-US"/>
        </w:rPr>
        <w:t>reservfond</w:t>
      </w:r>
      <w:proofErr w:type="spellEnd"/>
      <w:r w:rsidRPr="006B6AC0">
        <w:rPr>
          <w:u w:val="single"/>
          <w:lang w:val="en-US"/>
        </w:rPr>
        <w:t xml:space="preserve"> </w:t>
      </w:r>
      <w:proofErr w:type="spellStart"/>
      <w:r w:rsidRPr="006B6AC0">
        <w:rPr>
          <w:u w:val="single"/>
          <w:lang w:val="en-US"/>
        </w:rPr>
        <w:t>skulle</w:t>
      </w:r>
      <w:proofErr w:type="spellEnd"/>
      <w:r w:rsidRPr="006B6AC0">
        <w:rPr>
          <w:u w:val="single"/>
          <w:lang w:val="en-US"/>
        </w:rPr>
        <w:t xml:space="preserve"> </w:t>
      </w:r>
      <w:proofErr w:type="spellStart"/>
      <w:r w:rsidRPr="006B6AC0">
        <w:rPr>
          <w:u w:val="single"/>
          <w:lang w:val="en-US"/>
        </w:rPr>
        <w:t>minskas</w:t>
      </w:r>
      <w:proofErr w:type="spellEnd"/>
      <w:r w:rsidRPr="006B6AC0">
        <w:rPr>
          <w:u w:val="single"/>
          <w:lang w:val="en-US"/>
        </w:rPr>
        <w:t xml:space="preserve"> med </w:t>
      </w:r>
      <w:proofErr w:type="spellStart"/>
      <w:r w:rsidRPr="006B6AC0">
        <w:rPr>
          <w:u w:val="single"/>
          <w:lang w:val="en-US"/>
        </w:rPr>
        <w:t>återbetalning</w:t>
      </w:r>
      <w:proofErr w:type="spellEnd"/>
      <w:r w:rsidRPr="006B6AC0">
        <w:rPr>
          <w:u w:val="single"/>
          <w:lang w:val="en-US"/>
        </w:rPr>
        <w:t xml:space="preserve"> till </w:t>
      </w:r>
      <w:proofErr w:type="spellStart"/>
      <w:r w:rsidRPr="006B6AC0">
        <w:rPr>
          <w:u w:val="single"/>
          <w:lang w:val="en-US"/>
        </w:rPr>
        <w:t>aktieägarna</w:t>
      </w:r>
      <w:proofErr w:type="spellEnd"/>
      <w:r w:rsidRPr="006B6AC0">
        <w:rPr>
          <w:lang w:val="en-US"/>
        </w:rPr>
        <w:t xml:space="preserve"> 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w:t>
      </w:r>
      <w:r w:rsidRPr="00437F01">
        <w:br/>
      </w:r>
      <w:r w:rsidRPr="00437F01">
        <w:rPr>
          <w:i/>
        </w:rPr>
        <w:t>In the event the Company's s</w:t>
      </w:r>
      <w:r w:rsidRPr="00437F01">
        <w:rPr>
          <w:i/>
          <w:u w:val="single"/>
        </w:rPr>
        <w:t>hare capital or statutory reserve is reduced through a repayment to the shareholders</w:t>
      </w:r>
      <w:r w:rsidRPr="00437F01">
        <w:rPr>
          <w:i/>
        </w:rPr>
        <w:t>, the following shall apply:</w:t>
      </w:r>
    </w:p>
    <w:p w14:paraId="38E38DE2" w14:textId="77777777" w:rsidR="006350FE" w:rsidRPr="00437F01" w:rsidRDefault="006350FE" w:rsidP="006350FE">
      <w:pPr>
        <w:pStyle w:val="BodyText"/>
        <w:numPr>
          <w:ilvl w:val="0"/>
          <w:numId w:val="53"/>
        </w:numPr>
        <w:ind w:left="720" w:firstLine="0"/>
        <w:rPr>
          <w:rFonts w:eastAsia="Times New Roman"/>
        </w:rPr>
      </w:pPr>
      <w:r w:rsidRPr="00A50800">
        <w:rPr>
          <w:rFonts w:eastAsia="Times New Roman"/>
          <w:lang w:val="sv-SE"/>
        </w:rPr>
        <w:t xml:space="preserve">Om Bolagets Aktier inte är föremål för marknadsnotering, </w:t>
      </w:r>
      <w:r>
        <w:rPr>
          <w:rFonts w:eastAsia="Times New Roman"/>
          <w:lang w:val="sv-SE"/>
        </w:rPr>
        <w:t>ska</w:t>
      </w:r>
      <w:r w:rsidRPr="00A50800">
        <w:rPr>
          <w:rFonts w:eastAsia="Times New Roman"/>
          <w:lang w:val="sv-SE"/>
        </w:rPr>
        <w:t xml:space="preserve"> omräkning ske, dels av Teckningskursen, dels av det antal Aktier som varje Teckningsoption ger rätt att teckna i enlighet med denna punkt </w:t>
      </w:r>
      <w:r>
        <w:fldChar w:fldCharType="begin"/>
      </w:r>
      <w:r>
        <w:rPr>
          <w:rFonts w:eastAsia="Times New Roman"/>
          <w:lang w:val="sv-SE"/>
        </w:rPr>
        <w:instrText xml:space="preserve"> REF _Ref445831730 \r \h </w:instrText>
      </w:r>
      <w:r>
        <w:fldChar w:fldCharType="separate"/>
      </w:r>
      <w:r>
        <w:rPr>
          <w:rFonts w:eastAsia="Times New Roman"/>
          <w:lang w:val="sv-SE"/>
        </w:rPr>
        <w:t>8.2.9</w:t>
      </w:r>
      <w:r>
        <w:fldChar w:fldCharType="end"/>
      </w:r>
      <w:r w:rsidRPr="00A50800">
        <w:rPr>
          <w:rFonts w:eastAsia="Times New Roman"/>
          <w:lang w:val="sv-SE"/>
        </w:rPr>
        <w:t xml:space="preserve"> angivna principer. Omräkningen som </w:t>
      </w:r>
      <w:r>
        <w:rPr>
          <w:rFonts w:eastAsia="Times New Roman"/>
          <w:lang w:val="sv-SE"/>
        </w:rPr>
        <w:t>ska</w:t>
      </w:r>
      <w:r w:rsidRPr="00A50800">
        <w:rPr>
          <w:rFonts w:eastAsia="Times New Roman"/>
          <w:lang w:val="sv-SE"/>
        </w:rPr>
        <w:t xml:space="preserve"> utföras av Bolaget, </w:t>
      </w:r>
      <w:r>
        <w:rPr>
          <w:rFonts w:eastAsia="Times New Roman"/>
          <w:lang w:val="sv-SE"/>
        </w:rPr>
        <w:t>ska</w:t>
      </w:r>
      <w:r w:rsidRPr="00A50800">
        <w:rPr>
          <w:rFonts w:eastAsia="Times New Roman"/>
          <w:lang w:val="sv-SE"/>
        </w:rPr>
        <w:t xml:space="preserve"> ha som utgångspunkt att värdet på Teckningsoptionerna </w:t>
      </w:r>
      <w:r>
        <w:rPr>
          <w:rFonts w:eastAsia="Times New Roman"/>
          <w:lang w:val="sv-SE"/>
        </w:rPr>
        <w:t>ska</w:t>
      </w:r>
      <w:r w:rsidRPr="00A50800">
        <w:rPr>
          <w:rFonts w:eastAsia="Times New Roman"/>
          <w:lang w:val="sv-SE"/>
        </w:rPr>
        <w:t xml:space="preserve"> lämnas oförändrat.</w:t>
      </w:r>
      <w:r w:rsidRPr="00A50800">
        <w:rPr>
          <w:rFonts w:eastAsia="Times New Roman"/>
          <w:lang w:val="sv-SE"/>
        </w:rPr>
        <w:br/>
      </w:r>
      <w:r w:rsidRPr="00437F01">
        <w:rPr>
          <w:rFonts w:eastAsia="Times New Roman"/>
          <w:i/>
        </w:rPr>
        <w:lastRenderedPageBreak/>
        <w:t xml:space="preserve">Should the Company's Shares not be listed, a recalculation of the Subscription Price and the number of Shares each Warrant entitles to subscribe for shall be effected in accordance with the principles set forth in this section </w:t>
      </w:r>
      <w:r>
        <w:rPr>
          <w:i/>
        </w:rPr>
        <w:fldChar w:fldCharType="begin"/>
      </w:r>
      <w:r>
        <w:rPr>
          <w:rFonts w:eastAsia="Times New Roman"/>
          <w:i/>
        </w:rPr>
        <w:instrText xml:space="preserve"> REF _Ref445831730 \r \h </w:instrText>
      </w:r>
      <w:r>
        <w:rPr>
          <w:i/>
        </w:rPr>
      </w:r>
      <w:r>
        <w:rPr>
          <w:i/>
        </w:rPr>
        <w:fldChar w:fldCharType="separate"/>
      </w:r>
      <w:r>
        <w:rPr>
          <w:rFonts w:eastAsia="Times New Roman"/>
          <w:i/>
        </w:rPr>
        <w:t>8.2.9</w:t>
      </w:r>
      <w:r>
        <w:rPr>
          <w:i/>
        </w:rPr>
        <w:fldChar w:fldCharType="end"/>
      </w:r>
      <w:r w:rsidRPr="00437F01">
        <w:rPr>
          <w:rFonts w:eastAsia="Times New Roman"/>
          <w:i/>
        </w:rPr>
        <w:t>. The recalculation shall be made by the Company and shall be made on the basis that the value of the Warrants shall remain unchanged.</w:t>
      </w:r>
    </w:p>
    <w:p w14:paraId="0CC6EA5A" w14:textId="77777777" w:rsidR="006350FE" w:rsidRPr="00437F01" w:rsidRDefault="006350FE" w:rsidP="006350FE">
      <w:pPr>
        <w:pStyle w:val="BodyText"/>
        <w:numPr>
          <w:ilvl w:val="0"/>
          <w:numId w:val="53"/>
        </w:numPr>
        <w:ind w:left="720" w:firstLine="0"/>
      </w:pPr>
      <w:r w:rsidRPr="00F40CE0">
        <w:rPr>
          <w:rFonts w:eastAsia="Times New Roman"/>
          <w:lang w:val="sv-SE"/>
        </w:rPr>
        <w:t xml:space="preserve">Om Bolagets Aktier är föremål för marknadsnotering, ska tillämpas en omräknad Teckningskurs liksom en omräkning av det antal Aktier som varje Teckningsoption berättigar till Teckning av. </w:t>
      </w:r>
      <w:proofErr w:type="spellStart"/>
      <w:r w:rsidRPr="006B6AC0">
        <w:rPr>
          <w:rFonts w:eastAsia="Times New Roman"/>
          <w:lang w:val="en-US"/>
        </w:rPr>
        <w:t>Omräkningarna</w:t>
      </w:r>
      <w:proofErr w:type="spellEnd"/>
      <w:r w:rsidRPr="006B6AC0">
        <w:rPr>
          <w:rFonts w:eastAsia="Times New Roman"/>
          <w:lang w:val="en-US"/>
        </w:rPr>
        <w:t xml:space="preserve"> </w:t>
      </w:r>
      <w:proofErr w:type="spellStart"/>
      <w:r w:rsidRPr="006B6AC0">
        <w:rPr>
          <w:rFonts w:eastAsia="Times New Roman"/>
          <w:lang w:val="en-US"/>
        </w:rPr>
        <w:t>utförs</w:t>
      </w:r>
      <w:proofErr w:type="spellEnd"/>
      <w:r w:rsidRPr="006B6AC0">
        <w:rPr>
          <w:rFonts w:eastAsia="Times New Roman"/>
          <w:lang w:val="en-US"/>
        </w:rPr>
        <w:t xml:space="preserve"> av </w:t>
      </w:r>
      <w:proofErr w:type="spellStart"/>
      <w:r w:rsidRPr="006B6AC0">
        <w:rPr>
          <w:rFonts w:eastAsia="Times New Roman"/>
          <w:lang w:val="en-US"/>
        </w:rPr>
        <w:t>Bolaget</w:t>
      </w:r>
      <w:proofErr w:type="spellEnd"/>
      <w:r w:rsidRPr="006B6AC0">
        <w:rPr>
          <w:rFonts w:eastAsia="Times New Roman"/>
          <w:lang w:val="en-US"/>
        </w:rPr>
        <w:t xml:space="preserve"> </w:t>
      </w:r>
      <w:proofErr w:type="spellStart"/>
      <w:r w:rsidRPr="006B6AC0">
        <w:rPr>
          <w:rFonts w:eastAsia="Times New Roman"/>
          <w:lang w:val="en-US"/>
        </w:rPr>
        <w:t>och</w:t>
      </w:r>
      <w:proofErr w:type="spellEnd"/>
      <w:r w:rsidRPr="006B6AC0">
        <w:rPr>
          <w:rFonts w:eastAsia="Times New Roman"/>
          <w:lang w:val="en-US"/>
        </w:rPr>
        <w:t xml:space="preserve"> </w:t>
      </w:r>
      <w:proofErr w:type="spellStart"/>
      <w:r w:rsidRPr="006B6AC0">
        <w:rPr>
          <w:rFonts w:eastAsia="Times New Roman"/>
          <w:lang w:val="en-US"/>
        </w:rPr>
        <w:t>enligt</w:t>
      </w:r>
      <w:proofErr w:type="spellEnd"/>
      <w:r w:rsidRPr="006B6AC0">
        <w:rPr>
          <w:rFonts w:eastAsia="Times New Roman"/>
          <w:lang w:val="en-US"/>
        </w:rPr>
        <w:t xml:space="preserve"> </w:t>
      </w:r>
      <w:proofErr w:type="spellStart"/>
      <w:r w:rsidRPr="006B6AC0">
        <w:rPr>
          <w:rFonts w:eastAsia="Times New Roman"/>
          <w:lang w:val="en-US"/>
        </w:rPr>
        <w:t>följande</w:t>
      </w:r>
      <w:proofErr w:type="spellEnd"/>
      <w:r w:rsidRPr="006B6AC0">
        <w:rPr>
          <w:rFonts w:eastAsia="Times New Roman"/>
          <w:lang w:val="en-US"/>
        </w:rPr>
        <w:t xml:space="preserve"> </w:t>
      </w:r>
      <w:proofErr w:type="spellStart"/>
      <w:r w:rsidRPr="006B6AC0">
        <w:rPr>
          <w:rFonts w:eastAsia="Times New Roman"/>
          <w:lang w:val="en-US"/>
        </w:rPr>
        <w:t>formler</w:t>
      </w:r>
      <w:proofErr w:type="spellEnd"/>
      <w:r w:rsidRPr="006B6AC0">
        <w:rPr>
          <w:rFonts w:eastAsia="Times New Roman"/>
          <w:lang w:val="en-US"/>
        </w:rPr>
        <w:t>:</w:t>
      </w:r>
      <w:r w:rsidRPr="00437F01">
        <w:rPr>
          <w:rFonts w:eastAsia="Times New Roman"/>
        </w:rPr>
        <w:br/>
      </w:r>
      <w:r w:rsidRPr="00437F01">
        <w:rPr>
          <w:rFonts w:eastAsia="Times New Roman"/>
          <w:i/>
        </w:rPr>
        <w:t>Should the Compan</w:t>
      </w:r>
      <w:r w:rsidRPr="00437F01">
        <w:rPr>
          <w:i/>
        </w:rPr>
        <w:t>y's Shares be listed, a recalculated Subscription Price as well as a recalculated number of Shares which each Warrant entitles to Subscribe for shall be applied. Recalculations shall be made by the Company in accordance with the following formulas:</w:t>
      </w:r>
    </w:p>
    <w:tbl>
      <w:tblPr>
        <w:tblW w:w="8370" w:type="dxa"/>
        <w:tblInd w:w="630" w:type="dxa"/>
        <w:tblBorders>
          <w:top w:val="nil"/>
          <w:left w:val="nil"/>
          <w:bottom w:val="nil"/>
          <w:right w:val="nil"/>
          <w:insideH w:val="nil"/>
          <w:insideV w:val="nil"/>
        </w:tblBorders>
        <w:tblLook w:val="04A0" w:firstRow="1" w:lastRow="0" w:firstColumn="1" w:lastColumn="0" w:noHBand="0" w:noVBand="1"/>
      </w:tblPr>
      <w:tblGrid>
        <w:gridCol w:w="2430"/>
        <w:gridCol w:w="450"/>
        <w:gridCol w:w="5490"/>
      </w:tblGrid>
      <w:tr w:rsidR="006350FE" w:rsidRPr="00D00630" w14:paraId="0105F1FC" w14:textId="77777777" w:rsidTr="00695A7D">
        <w:trPr>
          <w:cantSplit/>
        </w:trPr>
        <w:tc>
          <w:tcPr>
            <w:tcW w:w="2430" w:type="dxa"/>
            <w:vMerge w:val="restart"/>
            <w:vAlign w:val="center"/>
          </w:tcPr>
          <w:p w14:paraId="46192A9A" w14:textId="77777777" w:rsidR="006350FE" w:rsidRPr="006B6AC0" w:rsidRDefault="006350FE" w:rsidP="00695A7D">
            <w:pPr>
              <w:pStyle w:val="TableText"/>
              <w:spacing w:after="0"/>
              <w:rPr>
                <w:lang w:val="sv-SE"/>
              </w:rPr>
            </w:pPr>
            <w:r w:rsidRPr="006B6AC0">
              <w:rPr>
                <w:lang w:val="sv-SE"/>
              </w:rPr>
              <w:t>Omräknad Teckningskurs</w:t>
            </w:r>
          </w:p>
        </w:tc>
        <w:tc>
          <w:tcPr>
            <w:tcW w:w="450" w:type="dxa"/>
            <w:vMerge w:val="restart"/>
            <w:vAlign w:val="center"/>
          </w:tcPr>
          <w:p w14:paraId="4E8440B8" w14:textId="77777777" w:rsidR="006350FE" w:rsidRPr="00437F01" w:rsidRDefault="006350FE" w:rsidP="00695A7D">
            <w:pPr>
              <w:pStyle w:val="TableText"/>
              <w:spacing w:before="240" w:after="0"/>
            </w:pPr>
            <w:r w:rsidRPr="00437F01">
              <w:t>=</w:t>
            </w:r>
          </w:p>
        </w:tc>
        <w:tc>
          <w:tcPr>
            <w:tcW w:w="5490" w:type="dxa"/>
            <w:tcBorders>
              <w:bottom w:val="single" w:sz="4" w:space="0" w:color="auto"/>
            </w:tcBorders>
          </w:tcPr>
          <w:p w14:paraId="42B3A677" w14:textId="77777777" w:rsidR="006350FE" w:rsidRPr="00A50800" w:rsidRDefault="006350F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Aktiens genomsnittliga aktiekurs under en period om 25 handelsdagar räknat fr.o.m. den dag då Aktien noteras utan rätt till återbetalning (Aktiens genomsnittskurs)</w:t>
            </w:r>
          </w:p>
        </w:tc>
      </w:tr>
      <w:tr w:rsidR="006350FE" w:rsidRPr="00D00630" w14:paraId="67057211" w14:textId="77777777" w:rsidTr="00695A7D">
        <w:trPr>
          <w:cantSplit/>
        </w:trPr>
        <w:tc>
          <w:tcPr>
            <w:tcW w:w="2430" w:type="dxa"/>
            <w:vMerge/>
          </w:tcPr>
          <w:p w14:paraId="5C21005A" w14:textId="77777777" w:rsidR="006350FE" w:rsidRPr="00A50800" w:rsidRDefault="006350FE" w:rsidP="00695A7D">
            <w:pPr>
              <w:pStyle w:val="TableText"/>
              <w:spacing w:after="0"/>
              <w:rPr>
                <w:lang w:val="sv-SE"/>
              </w:rPr>
            </w:pPr>
          </w:p>
        </w:tc>
        <w:tc>
          <w:tcPr>
            <w:tcW w:w="450" w:type="dxa"/>
            <w:vMerge/>
            <w:tcBorders>
              <w:right w:val="nil"/>
            </w:tcBorders>
          </w:tcPr>
          <w:p w14:paraId="79175230" w14:textId="77777777" w:rsidR="006350FE" w:rsidRPr="00A50800" w:rsidRDefault="006350FE" w:rsidP="00695A7D">
            <w:pPr>
              <w:pStyle w:val="TableText"/>
              <w:spacing w:after="0"/>
              <w:rPr>
                <w:lang w:val="sv-SE"/>
              </w:rPr>
            </w:pPr>
          </w:p>
        </w:tc>
        <w:tc>
          <w:tcPr>
            <w:tcW w:w="5490" w:type="dxa"/>
            <w:tcBorders>
              <w:top w:val="single" w:sz="4" w:space="0" w:color="auto"/>
              <w:left w:val="nil"/>
              <w:bottom w:val="nil"/>
              <w:right w:val="nil"/>
            </w:tcBorders>
          </w:tcPr>
          <w:p w14:paraId="0EB8EA69" w14:textId="77777777" w:rsidR="006350FE" w:rsidRPr="00A50800" w:rsidRDefault="006350FE" w:rsidP="00695A7D">
            <w:pPr>
              <w:pStyle w:val="TableText"/>
              <w:spacing w:after="0"/>
              <w:rPr>
                <w:lang w:val="sv-SE"/>
              </w:rPr>
            </w:pPr>
            <w:r w:rsidRPr="00A50800">
              <w:rPr>
                <w:lang w:val="sv-SE"/>
              </w:rPr>
              <w:t>Aktiens genomsnittskurs ökad med det belopp som återbetalas per Aktie</w:t>
            </w:r>
          </w:p>
        </w:tc>
      </w:tr>
      <w:tr w:rsidR="006350FE" w:rsidRPr="00D00630" w14:paraId="7FA216B8" w14:textId="77777777" w:rsidTr="00695A7D">
        <w:trPr>
          <w:cantSplit/>
        </w:trPr>
        <w:tc>
          <w:tcPr>
            <w:tcW w:w="2430" w:type="dxa"/>
            <w:vAlign w:val="center"/>
          </w:tcPr>
          <w:p w14:paraId="56F5F1A8" w14:textId="77777777" w:rsidR="006350FE" w:rsidRPr="00A50800" w:rsidRDefault="006350FE" w:rsidP="00695A7D">
            <w:pPr>
              <w:pStyle w:val="TableText"/>
              <w:spacing w:after="0"/>
              <w:rPr>
                <w:lang w:val="sv-SE"/>
              </w:rPr>
            </w:pPr>
          </w:p>
        </w:tc>
        <w:tc>
          <w:tcPr>
            <w:tcW w:w="450" w:type="dxa"/>
            <w:tcBorders>
              <w:right w:val="nil"/>
            </w:tcBorders>
            <w:vAlign w:val="center"/>
          </w:tcPr>
          <w:p w14:paraId="3444A10F" w14:textId="77777777" w:rsidR="006350FE" w:rsidRPr="006B6AC0" w:rsidRDefault="006350FE" w:rsidP="00695A7D">
            <w:pPr>
              <w:pStyle w:val="TableText"/>
              <w:spacing w:after="0"/>
              <w:rPr>
                <w:lang w:val="sv-SE"/>
              </w:rPr>
            </w:pPr>
          </w:p>
        </w:tc>
        <w:tc>
          <w:tcPr>
            <w:tcW w:w="5490" w:type="dxa"/>
            <w:tcBorders>
              <w:top w:val="nil"/>
              <w:left w:val="nil"/>
              <w:bottom w:val="nil"/>
              <w:right w:val="nil"/>
            </w:tcBorders>
          </w:tcPr>
          <w:p w14:paraId="47E38CEC" w14:textId="77777777" w:rsidR="006350FE" w:rsidRPr="00A50800" w:rsidRDefault="006350FE" w:rsidP="00695A7D">
            <w:pPr>
              <w:pStyle w:val="TableText"/>
              <w:spacing w:after="0"/>
              <w:rPr>
                <w:lang w:val="sv-SE"/>
              </w:rPr>
            </w:pPr>
          </w:p>
        </w:tc>
      </w:tr>
      <w:tr w:rsidR="006350FE" w:rsidRPr="00D00630" w14:paraId="23C9C436" w14:textId="77777777" w:rsidTr="00695A7D">
        <w:trPr>
          <w:cantSplit/>
        </w:trPr>
        <w:tc>
          <w:tcPr>
            <w:tcW w:w="2430" w:type="dxa"/>
            <w:vMerge w:val="restart"/>
            <w:vAlign w:val="center"/>
          </w:tcPr>
          <w:p w14:paraId="084E7AA5" w14:textId="77777777" w:rsidR="006350FE" w:rsidRPr="00A50800" w:rsidRDefault="006350FE" w:rsidP="00695A7D">
            <w:pPr>
              <w:pStyle w:val="TableText"/>
              <w:spacing w:after="0"/>
              <w:rPr>
                <w:lang w:val="sv-SE"/>
              </w:rPr>
            </w:pPr>
            <w:r w:rsidRPr="00A50800">
              <w:rPr>
                <w:lang w:val="sv-SE"/>
              </w:rPr>
              <w:t>Omräknat antal Aktier som varje Teckningsoption berättigar till Teckning av</w:t>
            </w:r>
          </w:p>
        </w:tc>
        <w:tc>
          <w:tcPr>
            <w:tcW w:w="450" w:type="dxa"/>
            <w:vMerge w:val="restart"/>
            <w:vAlign w:val="center"/>
          </w:tcPr>
          <w:p w14:paraId="45C3D1B3" w14:textId="77777777" w:rsidR="006350FE" w:rsidRPr="00437F01" w:rsidRDefault="006350FE" w:rsidP="00695A7D">
            <w:pPr>
              <w:pStyle w:val="TableText"/>
              <w:spacing w:after="0"/>
            </w:pPr>
            <w:r w:rsidRPr="00437F01">
              <w:t>=</w:t>
            </w:r>
          </w:p>
        </w:tc>
        <w:tc>
          <w:tcPr>
            <w:tcW w:w="5490" w:type="dxa"/>
            <w:tcBorders>
              <w:top w:val="nil"/>
              <w:bottom w:val="single" w:sz="4" w:space="0" w:color="auto"/>
            </w:tcBorders>
          </w:tcPr>
          <w:p w14:paraId="04509DFE" w14:textId="77777777" w:rsidR="006350FE" w:rsidRPr="00A50800" w:rsidRDefault="006350F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det belopp som återbetalas per Aktie)</w:t>
            </w:r>
          </w:p>
        </w:tc>
      </w:tr>
      <w:tr w:rsidR="006350FE" w:rsidRPr="00437F01" w14:paraId="0DD5CF63" w14:textId="77777777" w:rsidTr="00695A7D">
        <w:trPr>
          <w:cantSplit/>
        </w:trPr>
        <w:tc>
          <w:tcPr>
            <w:tcW w:w="2430" w:type="dxa"/>
            <w:vMerge/>
          </w:tcPr>
          <w:p w14:paraId="0E79022B" w14:textId="77777777" w:rsidR="006350FE" w:rsidRPr="00A50800" w:rsidRDefault="006350FE" w:rsidP="00695A7D">
            <w:pPr>
              <w:pStyle w:val="TableText"/>
              <w:spacing w:after="0"/>
              <w:rPr>
                <w:lang w:val="sv-SE"/>
              </w:rPr>
            </w:pPr>
          </w:p>
        </w:tc>
        <w:tc>
          <w:tcPr>
            <w:tcW w:w="450" w:type="dxa"/>
            <w:vMerge/>
          </w:tcPr>
          <w:p w14:paraId="5354E816" w14:textId="77777777" w:rsidR="006350FE" w:rsidRPr="00A50800" w:rsidRDefault="006350FE" w:rsidP="00695A7D">
            <w:pPr>
              <w:pStyle w:val="TableText"/>
              <w:spacing w:after="0"/>
              <w:rPr>
                <w:lang w:val="sv-SE"/>
              </w:rPr>
            </w:pPr>
          </w:p>
        </w:tc>
        <w:tc>
          <w:tcPr>
            <w:tcW w:w="5490" w:type="dxa"/>
            <w:tcBorders>
              <w:top w:val="single" w:sz="4" w:space="0" w:color="auto"/>
            </w:tcBorders>
          </w:tcPr>
          <w:p w14:paraId="7B58843B" w14:textId="77777777" w:rsidR="006350FE" w:rsidRPr="00437F01" w:rsidRDefault="006350FE" w:rsidP="00695A7D">
            <w:pPr>
              <w:pStyle w:val="TableText"/>
              <w:spacing w:after="0"/>
            </w:pPr>
            <w:proofErr w:type="spellStart"/>
            <w:r w:rsidRPr="00437F01">
              <w:t>Aktiens</w:t>
            </w:r>
            <w:proofErr w:type="spellEnd"/>
            <w:r w:rsidRPr="00437F01">
              <w:t xml:space="preserve"> </w:t>
            </w:r>
            <w:proofErr w:type="spellStart"/>
            <w:r w:rsidRPr="00437F01">
              <w:t>genomsnittskurs</w:t>
            </w:r>
            <w:proofErr w:type="spellEnd"/>
          </w:p>
        </w:tc>
      </w:tr>
      <w:tr w:rsidR="006350FE" w:rsidRPr="003D73C9" w14:paraId="4D64846D" w14:textId="77777777" w:rsidTr="00695A7D">
        <w:trPr>
          <w:cantSplit/>
        </w:trPr>
        <w:tc>
          <w:tcPr>
            <w:tcW w:w="2430" w:type="dxa"/>
            <w:vMerge w:val="restart"/>
            <w:vAlign w:val="center"/>
          </w:tcPr>
          <w:p w14:paraId="5E81B77E" w14:textId="77777777" w:rsidR="006350FE" w:rsidRPr="00437F01" w:rsidRDefault="006350FE" w:rsidP="00695A7D">
            <w:pPr>
              <w:pStyle w:val="TableText"/>
              <w:spacing w:after="0"/>
            </w:pPr>
            <w:r w:rsidRPr="00437F01">
              <w:rPr>
                <w:i/>
              </w:rPr>
              <w:t>Recalculated Subscription</w:t>
            </w:r>
            <w:r>
              <w:rPr>
                <w:i/>
              </w:rPr>
              <w:t xml:space="preserve"> </w:t>
            </w:r>
            <w:r w:rsidRPr="00437F01">
              <w:rPr>
                <w:i/>
              </w:rPr>
              <w:t>Price</w:t>
            </w:r>
          </w:p>
        </w:tc>
        <w:tc>
          <w:tcPr>
            <w:tcW w:w="450" w:type="dxa"/>
            <w:vMerge w:val="restart"/>
            <w:vAlign w:val="center"/>
          </w:tcPr>
          <w:p w14:paraId="31695542" w14:textId="77777777" w:rsidR="006350FE" w:rsidRPr="00437F01" w:rsidRDefault="006350FE" w:rsidP="00695A7D">
            <w:pPr>
              <w:pStyle w:val="TableText"/>
              <w:spacing w:before="360" w:after="0"/>
            </w:pPr>
            <w:r w:rsidRPr="00437F01">
              <w:t>=</w:t>
            </w:r>
          </w:p>
        </w:tc>
        <w:tc>
          <w:tcPr>
            <w:tcW w:w="5490" w:type="dxa"/>
            <w:tcBorders>
              <w:bottom w:val="single" w:sz="4" w:space="0" w:color="auto"/>
            </w:tcBorders>
          </w:tcPr>
          <w:p w14:paraId="30F8A1D0" w14:textId="77777777" w:rsidR="006350FE" w:rsidRPr="00437F01" w:rsidRDefault="006350FE" w:rsidP="00695A7D">
            <w:pPr>
              <w:pStyle w:val="TableText"/>
              <w:spacing w:after="0"/>
            </w:pPr>
            <w:r w:rsidRPr="00437F01">
              <w:rPr>
                <w:i/>
              </w:rPr>
              <w:t>Previous Subscription Price x the average share price of the Share during a period of 25 trading days calculated from the day of which the Share is quoted without any right to participate in the distribution (the average price of Share)</w:t>
            </w:r>
          </w:p>
        </w:tc>
      </w:tr>
      <w:tr w:rsidR="006350FE" w:rsidRPr="003D73C9" w14:paraId="1B30ECC1" w14:textId="77777777" w:rsidTr="00695A7D">
        <w:trPr>
          <w:cantSplit/>
        </w:trPr>
        <w:tc>
          <w:tcPr>
            <w:tcW w:w="2430" w:type="dxa"/>
            <w:vMerge/>
          </w:tcPr>
          <w:p w14:paraId="2439179A" w14:textId="77777777" w:rsidR="006350FE" w:rsidRPr="00437F01" w:rsidRDefault="006350FE" w:rsidP="00695A7D">
            <w:pPr>
              <w:pStyle w:val="TableText"/>
              <w:spacing w:after="0"/>
            </w:pPr>
          </w:p>
        </w:tc>
        <w:tc>
          <w:tcPr>
            <w:tcW w:w="450" w:type="dxa"/>
            <w:vMerge/>
          </w:tcPr>
          <w:p w14:paraId="3D4B25CB" w14:textId="77777777" w:rsidR="006350FE" w:rsidRPr="00437F01" w:rsidRDefault="006350FE" w:rsidP="00695A7D">
            <w:pPr>
              <w:pStyle w:val="TableText"/>
              <w:spacing w:after="0"/>
            </w:pPr>
          </w:p>
        </w:tc>
        <w:tc>
          <w:tcPr>
            <w:tcW w:w="5490" w:type="dxa"/>
            <w:tcBorders>
              <w:top w:val="single" w:sz="4" w:space="0" w:color="auto"/>
              <w:bottom w:val="nil"/>
            </w:tcBorders>
          </w:tcPr>
          <w:p w14:paraId="06F5B517" w14:textId="77777777" w:rsidR="006350FE" w:rsidRPr="00437F01" w:rsidRDefault="006350FE" w:rsidP="00695A7D">
            <w:pPr>
              <w:pStyle w:val="TableText"/>
              <w:spacing w:after="0"/>
            </w:pPr>
            <w:r w:rsidRPr="00437F01">
              <w:rPr>
                <w:i/>
              </w:rPr>
              <w:t>Average price of Share increased by the amount repaid per Share</w:t>
            </w:r>
          </w:p>
        </w:tc>
      </w:tr>
      <w:tr w:rsidR="006350FE" w:rsidRPr="003D73C9" w14:paraId="48E2EBBE" w14:textId="77777777" w:rsidTr="00695A7D">
        <w:trPr>
          <w:cantSplit/>
        </w:trPr>
        <w:tc>
          <w:tcPr>
            <w:tcW w:w="2430" w:type="dxa"/>
            <w:vAlign w:val="center"/>
          </w:tcPr>
          <w:p w14:paraId="3EF760D6" w14:textId="77777777" w:rsidR="006350FE" w:rsidRPr="00437F01" w:rsidRDefault="006350FE" w:rsidP="00695A7D">
            <w:pPr>
              <w:pStyle w:val="TableText"/>
              <w:spacing w:after="0"/>
              <w:rPr>
                <w:i/>
              </w:rPr>
            </w:pPr>
          </w:p>
        </w:tc>
        <w:tc>
          <w:tcPr>
            <w:tcW w:w="450" w:type="dxa"/>
            <w:tcBorders>
              <w:right w:val="nil"/>
            </w:tcBorders>
            <w:vAlign w:val="center"/>
          </w:tcPr>
          <w:p w14:paraId="334AB87A" w14:textId="77777777" w:rsidR="006350FE" w:rsidRPr="00437F01" w:rsidRDefault="006350FE" w:rsidP="00695A7D">
            <w:pPr>
              <w:pStyle w:val="TableText"/>
              <w:spacing w:after="0"/>
            </w:pPr>
          </w:p>
        </w:tc>
        <w:tc>
          <w:tcPr>
            <w:tcW w:w="5490" w:type="dxa"/>
            <w:tcBorders>
              <w:top w:val="nil"/>
              <w:left w:val="nil"/>
              <w:bottom w:val="nil"/>
              <w:right w:val="nil"/>
            </w:tcBorders>
          </w:tcPr>
          <w:p w14:paraId="5493E5C7" w14:textId="77777777" w:rsidR="006350FE" w:rsidRPr="00437F01" w:rsidRDefault="006350FE" w:rsidP="00695A7D">
            <w:pPr>
              <w:pStyle w:val="TableText"/>
              <w:spacing w:after="0"/>
              <w:rPr>
                <w:i/>
              </w:rPr>
            </w:pPr>
          </w:p>
        </w:tc>
      </w:tr>
      <w:tr w:rsidR="006350FE" w:rsidRPr="003D73C9" w14:paraId="5A479269" w14:textId="77777777" w:rsidTr="00695A7D">
        <w:trPr>
          <w:cantSplit/>
        </w:trPr>
        <w:tc>
          <w:tcPr>
            <w:tcW w:w="2430" w:type="dxa"/>
            <w:vMerge w:val="restart"/>
            <w:vAlign w:val="center"/>
          </w:tcPr>
          <w:p w14:paraId="447AB9CE" w14:textId="77777777" w:rsidR="006350FE" w:rsidRPr="00437F01" w:rsidRDefault="006350FE" w:rsidP="00695A7D">
            <w:pPr>
              <w:pStyle w:val="TableText"/>
              <w:spacing w:after="0"/>
            </w:pPr>
            <w:r w:rsidRPr="00437F01">
              <w:rPr>
                <w:i/>
              </w:rPr>
              <w:t>Recalculated number of</w:t>
            </w:r>
            <w:r>
              <w:rPr>
                <w:i/>
              </w:rPr>
              <w:t xml:space="preserve"> </w:t>
            </w:r>
            <w:r w:rsidRPr="00437F01">
              <w:rPr>
                <w:i/>
              </w:rPr>
              <w:t>Shares that each Warrant entitles to Subscribe for</w:t>
            </w:r>
          </w:p>
        </w:tc>
        <w:tc>
          <w:tcPr>
            <w:tcW w:w="450" w:type="dxa"/>
            <w:vMerge w:val="restart"/>
            <w:vAlign w:val="center"/>
          </w:tcPr>
          <w:p w14:paraId="3336EF40" w14:textId="77777777" w:rsidR="006350FE" w:rsidRPr="00437F01" w:rsidRDefault="006350FE" w:rsidP="00695A7D">
            <w:pPr>
              <w:pStyle w:val="TableText"/>
              <w:spacing w:before="360" w:after="0"/>
            </w:pPr>
            <w:r w:rsidRPr="00437F01">
              <w:t>=</w:t>
            </w:r>
          </w:p>
        </w:tc>
        <w:tc>
          <w:tcPr>
            <w:tcW w:w="5490" w:type="dxa"/>
            <w:tcBorders>
              <w:top w:val="nil"/>
              <w:bottom w:val="single" w:sz="4" w:space="0" w:color="auto"/>
            </w:tcBorders>
          </w:tcPr>
          <w:p w14:paraId="5D8534CD" w14:textId="77777777" w:rsidR="006350FE" w:rsidRPr="00437F01" w:rsidRDefault="006350FE" w:rsidP="00695A7D">
            <w:pPr>
              <w:pStyle w:val="TableText"/>
              <w:spacing w:after="0"/>
            </w:pPr>
            <w:r w:rsidRPr="00437F01">
              <w:rPr>
                <w:i/>
              </w:rPr>
              <w:t>Previous number of Shares that the Warrant entitles to Subscribe for x (the average price of Share</w:t>
            </w:r>
            <w:r w:rsidRPr="00437F01">
              <w:t xml:space="preserve"> </w:t>
            </w:r>
            <w:r w:rsidRPr="00437F01">
              <w:rPr>
                <w:i/>
              </w:rPr>
              <w:t>increased by the amount repaid per Share)</w:t>
            </w:r>
          </w:p>
        </w:tc>
      </w:tr>
      <w:tr w:rsidR="006350FE" w:rsidRPr="00437F01" w14:paraId="3CE19162" w14:textId="77777777" w:rsidTr="00695A7D">
        <w:trPr>
          <w:cantSplit/>
        </w:trPr>
        <w:tc>
          <w:tcPr>
            <w:tcW w:w="2430" w:type="dxa"/>
            <w:vMerge/>
          </w:tcPr>
          <w:p w14:paraId="06C89C3E" w14:textId="77777777" w:rsidR="006350FE" w:rsidRPr="00437F01" w:rsidRDefault="006350FE" w:rsidP="00695A7D">
            <w:pPr>
              <w:pStyle w:val="TableText"/>
              <w:spacing w:after="0"/>
            </w:pPr>
          </w:p>
        </w:tc>
        <w:tc>
          <w:tcPr>
            <w:tcW w:w="450" w:type="dxa"/>
            <w:vMerge/>
          </w:tcPr>
          <w:p w14:paraId="591E9EAF" w14:textId="77777777" w:rsidR="006350FE" w:rsidRPr="00437F01" w:rsidRDefault="006350FE" w:rsidP="00695A7D">
            <w:pPr>
              <w:pStyle w:val="TableText"/>
              <w:spacing w:after="0"/>
            </w:pPr>
          </w:p>
        </w:tc>
        <w:tc>
          <w:tcPr>
            <w:tcW w:w="5490" w:type="dxa"/>
            <w:tcBorders>
              <w:top w:val="single" w:sz="4" w:space="0" w:color="auto"/>
              <w:bottom w:val="nil"/>
            </w:tcBorders>
          </w:tcPr>
          <w:p w14:paraId="06BA8734" w14:textId="77777777" w:rsidR="006350FE" w:rsidRPr="00437F01" w:rsidRDefault="006350FE" w:rsidP="00695A7D">
            <w:pPr>
              <w:pStyle w:val="TableText"/>
              <w:spacing w:after="0"/>
            </w:pPr>
            <w:r w:rsidRPr="00437F01">
              <w:rPr>
                <w:i/>
              </w:rPr>
              <w:t>Average price of Share</w:t>
            </w:r>
          </w:p>
        </w:tc>
      </w:tr>
      <w:tr w:rsidR="006350FE" w:rsidRPr="00437F01" w14:paraId="02B44AED" w14:textId="77777777" w:rsidTr="00695A7D">
        <w:trPr>
          <w:cantSplit/>
        </w:trPr>
        <w:tc>
          <w:tcPr>
            <w:tcW w:w="2430" w:type="dxa"/>
          </w:tcPr>
          <w:p w14:paraId="34933EFC" w14:textId="77777777" w:rsidR="006350FE" w:rsidRPr="00437F01" w:rsidRDefault="006350FE" w:rsidP="00695A7D">
            <w:pPr>
              <w:pStyle w:val="TableText"/>
              <w:spacing w:after="0"/>
            </w:pPr>
          </w:p>
        </w:tc>
        <w:tc>
          <w:tcPr>
            <w:tcW w:w="450" w:type="dxa"/>
            <w:tcBorders>
              <w:right w:val="nil"/>
            </w:tcBorders>
          </w:tcPr>
          <w:p w14:paraId="0FE40FFC" w14:textId="77777777" w:rsidR="006350FE" w:rsidRPr="00437F01" w:rsidRDefault="006350FE" w:rsidP="00695A7D">
            <w:pPr>
              <w:pStyle w:val="TableText"/>
              <w:spacing w:after="0"/>
            </w:pPr>
          </w:p>
        </w:tc>
        <w:tc>
          <w:tcPr>
            <w:tcW w:w="5490" w:type="dxa"/>
            <w:tcBorders>
              <w:top w:val="nil"/>
              <w:left w:val="nil"/>
              <w:bottom w:val="nil"/>
              <w:right w:val="nil"/>
            </w:tcBorders>
          </w:tcPr>
          <w:p w14:paraId="3B45E022" w14:textId="77777777" w:rsidR="006350FE" w:rsidRPr="00437F01" w:rsidRDefault="006350FE" w:rsidP="00695A7D">
            <w:pPr>
              <w:pStyle w:val="TableText"/>
              <w:spacing w:after="0"/>
              <w:rPr>
                <w:i/>
              </w:rPr>
            </w:pPr>
          </w:p>
        </w:tc>
      </w:tr>
    </w:tbl>
    <w:p w14:paraId="59AB2004" w14:textId="77777777" w:rsidR="006350FE" w:rsidRPr="00437F01" w:rsidRDefault="006350FE" w:rsidP="006350FE">
      <w:pPr>
        <w:pStyle w:val="BodyText"/>
        <w:ind w:left="720"/>
      </w:pPr>
      <w:r w:rsidRPr="00EB7BAC">
        <w:rPr>
          <w:szCs w:val="22"/>
          <w:lang w:val="sv-SE"/>
        </w:rPr>
        <w:t>Aktiens</w:t>
      </w:r>
      <w:r w:rsidRPr="00A50800">
        <w:rPr>
          <w:lang w:val="sv-SE"/>
        </w:rPr>
        <w:t xml:space="preserve"> genomsnittskurs beräknas i enlighet med vad som angivits i </w:t>
      </w:r>
      <w:r>
        <w:rPr>
          <w:lang w:val="sv-SE"/>
        </w:rPr>
        <w:t>punkt</w:t>
      </w:r>
      <w:r w:rsidRPr="00A50800">
        <w:rPr>
          <w:lang w:val="sv-SE"/>
        </w:rPr>
        <w:t xml:space="preserve">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xml:space="preserve"> ovan.</w:t>
      </w:r>
      <w:r w:rsidRPr="00A50800">
        <w:rPr>
          <w:lang w:val="sv-SE"/>
        </w:rPr>
        <w:br/>
      </w:r>
      <w:r w:rsidRPr="00437F01">
        <w:rPr>
          <w:i/>
        </w:rPr>
        <w:t xml:space="preserve">The average price of Share is calculated in accordance with the provisions set forth in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w:t>
      </w:r>
    </w:p>
    <w:p w14:paraId="14F822F5" w14:textId="77777777" w:rsidR="006350FE" w:rsidRDefault="006350FE" w:rsidP="006350FE">
      <w:pPr>
        <w:pStyle w:val="BodyText"/>
        <w:ind w:left="720"/>
        <w:rPr>
          <w:i/>
        </w:rPr>
      </w:pPr>
      <w:r w:rsidRPr="006B6AC0">
        <w:rPr>
          <w:lang w:val="en-US"/>
        </w:rPr>
        <w:t xml:space="preserve">Vid </w:t>
      </w:r>
      <w:proofErr w:type="spellStart"/>
      <w:r w:rsidRPr="006B6AC0">
        <w:rPr>
          <w:lang w:val="en-US"/>
        </w:rPr>
        <w:t>omräkning</w:t>
      </w:r>
      <w:proofErr w:type="spellEnd"/>
      <w:r w:rsidRPr="006B6AC0">
        <w:rPr>
          <w:lang w:val="en-US"/>
        </w:rPr>
        <w:t xml:space="preserve"> </w:t>
      </w:r>
      <w:proofErr w:type="spellStart"/>
      <w:r w:rsidRPr="006B6AC0">
        <w:rPr>
          <w:lang w:val="en-US"/>
        </w:rPr>
        <w:t>enligt</w:t>
      </w:r>
      <w:proofErr w:type="spellEnd"/>
      <w:r w:rsidRPr="006B6AC0">
        <w:rPr>
          <w:lang w:val="en-US"/>
        </w:rPr>
        <w:t xml:space="preserve"> </w:t>
      </w:r>
      <w:proofErr w:type="spellStart"/>
      <w:r w:rsidRPr="006B6AC0">
        <w:rPr>
          <w:lang w:val="en-US"/>
        </w:rPr>
        <w:t>ovan</w:t>
      </w:r>
      <w:proofErr w:type="spellEnd"/>
      <w:r w:rsidRPr="006B6AC0">
        <w:rPr>
          <w:lang w:val="en-US"/>
        </w:rPr>
        <w:t xml:space="preserve"> </w:t>
      </w:r>
      <w:proofErr w:type="spellStart"/>
      <w:r w:rsidRPr="006B6AC0">
        <w:rPr>
          <w:lang w:val="en-US"/>
        </w:rPr>
        <w:t>och</w:t>
      </w:r>
      <w:proofErr w:type="spellEnd"/>
      <w:r w:rsidRPr="006B6AC0">
        <w:rPr>
          <w:lang w:val="en-US"/>
        </w:rPr>
        <w:t xml:space="preserve"> </w:t>
      </w:r>
      <w:proofErr w:type="spellStart"/>
      <w:r w:rsidRPr="006B6AC0">
        <w:rPr>
          <w:lang w:val="en-US"/>
        </w:rPr>
        <w:t>där</w:t>
      </w:r>
      <w:proofErr w:type="spellEnd"/>
      <w:r w:rsidRPr="006B6AC0">
        <w:rPr>
          <w:lang w:val="en-US"/>
        </w:rPr>
        <w:t xml:space="preserve"> </w:t>
      </w:r>
      <w:proofErr w:type="spellStart"/>
      <w:r w:rsidRPr="006B6AC0">
        <w:rPr>
          <w:lang w:val="en-US"/>
        </w:rPr>
        <w:t>minskningen</w:t>
      </w:r>
      <w:proofErr w:type="spellEnd"/>
      <w:r w:rsidRPr="006B6AC0">
        <w:rPr>
          <w:lang w:val="en-US"/>
        </w:rPr>
        <w:t xml:space="preserve"> </w:t>
      </w:r>
      <w:proofErr w:type="spellStart"/>
      <w:r w:rsidRPr="006B6AC0">
        <w:rPr>
          <w:lang w:val="en-US"/>
        </w:rPr>
        <w:t>sker</w:t>
      </w:r>
      <w:proofErr w:type="spellEnd"/>
      <w:r w:rsidRPr="006B6AC0">
        <w:rPr>
          <w:lang w:val="en-US"/>
        </w:rPr>
        <w:t xml:space="preserve"> </w:t>
      </w:r>
      <w:proofErr w:type="spellStart"/>
      <w:r w:rsidRPr="006B6AC0">
        <w:rPr>
          <w:lang w:val="en-US"/>
        </w:rPr>
        <w:t>genom</w:t>
      </w:r>
      <w:proofErr w:type="spellEnd"/>
      <w:r w:rsidRPr="006B6AC0">
        <w:rPr>
          <w:lang w:val="en-US"/>
        </w:rPr>
        <w:t xml:space="preserve"> </w:t>
      </w:r>
      <w:proofErr w:type="spellStart"/>
      <w:r w:rsidRPr="006B6AC0">
        <w:rPr>
          <w:u w:val="single"/>
          <w:lang w:val="en-US"/>
        </w:rPr>
        <w:t>inlösen</w:t>
      </w:r>
      <w:proofErr w:type="spellEnd"/>
      <w:r w:rsidRPr="006B6AC0">
        <w:rPr>
          <w:u w:val="single"/>
          <w:lang w:val="en-US"/>
        </w:rPr>
        <w:t xml:space="preserve"> av </w:t>
      </w:r>
      <w:proofErr w:type="spellStart"/>
      <w:r w:rsidRPr="006B6AC0">
        <w:rPr>
          <w:u w:val="single"/>
          <w:lang w:val="en-US"/>
        </w:rPr>
        <w:t>Aktier</w:t>
      </w:r>
      <w:proofErr w:type="spellEnd"/>
      <w:r w:rsidRPr="006B6AC0">
        <w:rPr>
          <w:lang w:val="en-US"/>
        </w:rPr>
        <w:t xml:space="preserve">, ska </w:t>
      </w:r>
      <w:proofErr w:type="spellStart"/>
      <w:r w:rsidRPr="006B6AC0">
        <w:rPr>
          <w:lang w:val="en-US"/>
        </w:rPr>
        <w:t>istället</w:t>
      </w:r>
      <w:proofErr w:type="spellEnd"/>
      <w:r w:rsidRPr="006B6AC0">
        <w:rPr>
          <w:lang w:val="en-US"/>
        </w:rPr>
        <w:t xml:space="preserve"> för det </w:t>
      </w:r>
      <w:proofErr w:type="spellStart"/>
      <w:r w:rsidRPr="006B6AC0">
        <w:rPr>
          <w:lang w:val="en-US"/>
        </w:rPr>
        <w:t>faktiska</w:t>
      </w:r>
      <w:proofErr w:type="spellEnd"/>
      <w:r w:rsidRPr="006B6AC0">
        <w:rPr>
          <w:lang w:val="en-US"/>
        </w:rPr>
        <w:t xml:space="preserve"> </w:t>
      </w:r>
      <w:proofErr w:type="spellStart"/>
      <w:r w:rsidRPr="006B6AC0">
        <w:rPr>
          <w:lang w:val="en-US"/>
        </w:rPr>
        <w:t>belopp</w:t>
      </w:r>
      <w:proofErr w:type="spellEnd"/>
      <w:r w:rsidRPr="006B6AC0">
        <w:rPr>
          <w:lang w:val="en-US"/>
        </w:rPr>
        <w:t xml:space="preserve"> </w:t>
      </w:r>
      <w:proofErr w:type="spellStart"/>
      <w:r w:rsidRPr="006B6AC0">
        <w:rPr>
          <w:lang w:val="en-US"/>
        </w:rPr>
        <w:t>som</w:t>
      </w:r>
      <w:proofErr w:type="spellEnd"/>
      <w:r w:rsidRPr="006B6AC0">
        <w:rPr>
          <w:lang w:val="en-US"/>
        </w:rPr>
        <w:t xml:space="preserve"> </w:t>
      </w:r>
      <w:proofErr w:type="spellStart"/>
      <w:r w:rsidRPr="006B6AC0">
        <w:rPr>
          <w:lang w:val="en-US"/>
        </w:rPr>
        <w:t>återbetalas</w:t>
      </w:r>
      <w:proofErr w:type="spellEnd"/>
      <w:r w:rsidRPr="006B6AC0">
        <w:rPr>
          <w:lang w:val="en-US"/>
        </w:rPr>
        <w:t xml:space="preserve"> per </w:t>
      </w:r>
      <w:proofErr w:type="spellStart"/>
      <w:r w:rsidRPr="006B6AC0">
        <w:rPr>
          <w:lang w:val="en-US"/>
        </w:rPr>
        <w:t>Aktie</w:t>
      </w:r>
      <w:proofErr w:type="spellEnd"/>
      <w:r w:rsidRPr="006B6AC0">
        <w:rPr>
          <w:lang w:val="en-US"/>
        </w:rPr>
        <w:t xml:space="preserve"> </w:t>
      </w:r>
      <w:proofErr w:type="spellStart"/>
      <w:r w:rsidRPr="006B6AC0">
        <w:rPr>
          <w:lang w:val="en-US"/>
        </w:rPr>
        <w:t>ett</w:t>
      </w:r>
      <w:proofErr w:type="spellEnd"/>
      <w:r w:rsidRPr="006B6AC0">
        <w:rPr>
          <w:lang w:val="en-US"/>
        </w:rPr>
        <w:t xml:space="preserve"> </w:t>
      </w:r>
      <w:proofErr w:type="spellStart"/>
      <w:r w:rsidRPr="006B6AC0">
        <w:rPr>
          <w:lang w:val="en-US"/>
        </w:rPr>
        <w:t>beräknat</w:t>
      </w:r>
      <w:proofErr w:type="spellEnd"/>
      <w:r w:rsidRPr="006B6AC0">
        <w:rPr>
          <w:lang w:val="en-US"/>
        </w:rPr>
        <w:t xml:space="preserve"> </w:t>
      </w:r>
      <w:proofErr w:type="spellStart"/>
      <w:r w:rsidRPr="006B6AC0">
        <w:rPr>
          <w:lang w:val="en-US"/>
        </w:rPr>
        <w:t>återbetalningsbelopp</w:t>
      </w:r>
      <w:proofErr w:type="spellEnd"/>
      <w:r w:rsidRPr="006B6AC0">
        <w:rPr>
          <w:lang w:val="en-US"/>
        </w:rPr>
        <w:t xml:space="preserve"> </w:t>
      </w:r>
      <w:proofErr w:type="spellStart"/>
      <w:r w:rsidRPr="006B6AC0">
        <w:rPr>
          <w:lang w:val="en-US"/>
        </w:rPr>
        <w:t>användas</w:t>
      </w:r>
      <w:proofErr w:type="spellEnd"/>
      <w:r w:rsidRPr="006B6AC0">
        <w:rPr>
          <w:lang w:val="en-US"/>
        </w:rPr>
        <w:t xml:space="preserve"> </w:t>
      </w:r>
      <w:proofErr w:type="spellStart"/>
      <w:r w:rsidRPr="006B6AC0">
        <w:rPr>
          <w:lang w:val="en-US"/>
        </w:rPr>
        <w:t>enligt</w:t>
      </w:r>
      <w:proofErr w:type="spellEnd"/>
      <w:r w:rsidRPr="006B6AC0">
        <w:rPr>
          <w:lang w:val="en-US"/>
        </w:rPr>
        <w:t xml:space="preserve"> </w:t>
      </w:r>
      <w:proofErr w:type="spellStart"/>
      <w:r w:rsidRPr="006B6AC0">
        <w:rPr>
          <w:lang w:val="en-US"/>
        </w:rPr>
        <w:t>följande</w:t>
      </w:r>
      <w:proofErr w:type="spellEnd"/>
      <w:r w:rsidRPr="006B6AC0">
        <w:rPr>
          <w:lang w:val="en-US"/>
        </w:rPr>
        <w:t>:</w:t>
      </w:r>
      <w:r w:rsidRPr="00437F01">
        <w:br/>
      </w:r>
      <w:r w:rsidRPr="00437F01">
        <w:rPr>
          <w:i/>
        </w:rPr>
        <w:t xml:space="preserve">When re-calculating in accordance with the above and in the event that reduction is effected through </w:t>
      </w:r>
      <w:r w:rsidRPr="00437F01">
        <w:rPr>
          <w:i/>
          <w:u w:val="single"/>
        </w:rPr>
        <w:t>redemption of shares</w:t>
      </w:r>
      <w:r w:rsidRPr="00437F01">
        <w:rPr>
          <w:i/>
        </w:rPr>
        <w:t>, a repayment amount according to the calculation below shall be used instead of the actual amount that will be repaid per Share according to the following:</w:t>
      </w:r>
    </w:p>
    <w:p w14:paraId="0E61D1E5" w14:textId="77777777" w:rsidR="006350FE" w:rsidRDefault="006350FE" w:rsidP="006350FE">
      <w:pPr>
        <w:pStyle w:val="BodyText"/>
        <w:ind w:left="720"/>
      </w:pPr>
      <w:r>
        <w:br w:type="page"/>
      </w:r>
    </w:p>
    <w:tbl>
      <w:tblPr>
        <w:tblW w:w="8363" w:type="dxa"/>
        <w:tblInd w:w="630" w:type="dxa"/>
        <w:tblBorders>
          <w:top w:val="nil"/>
          <w:left w:val="nil"/>
          <w:bottom w:val="nil"/>
          <w:right w:val="nil"/>
          <w:insideH w:val="nil"/>
          <w:insideV w:val="nil"/>
        </w:tblBorders>
        <w:tblLook w:val="04A0" w:firstRow="1" w:lastRow="0" w:firstColumn="1" w:lastColumn="0" w:noHBand="0" w:noVBand="1"/>
      </w:tblPr>
      <w:tblGrid>
        <w:gridCol w:w="2430"/>
        <w:gridCol w:w="450"/>
        <w:gridCol w:w="5483"/>
      </w:tblGrid>
      <w:tr w:rsidR="006350FE" w:rsidRPr="00D00630" w14:paraId="2B89CB2B" w14:textId="77777777" w:rsidTr="00695A7D">
        <w:trPr>
          <w:cantSplit/>
        </w:trPr>
        <w:tc>
          <w:tcPr>
            <w:tcW w:w="2430" w:type="dxa"/>
            <w:vMerge w:val="restart"/>
            <w:vAlign w:val="center"/>
          </w:tcPr>
          <w:p w14:paraId="59BDFD34" w14:textId="77777777" w:rsidR="006350FE" w:rsidRPr="006B6AC0" w:rsidRDefault="006350FE" w:rsidP="00695A7D">
            <w:pPr>
              <w:pStyle w:val="TableText"/>
              <w:spacing w:after="0"/>
              <w:rPr>
                <w:lang w:val="sv-SE"/>
              </w:rPr>
            </w:pPr>
            <w:r w:rsidRPr="006B6AC0">
              <w:rPr>
                <w:lang w:val="sv-SE"/>
              </w:rPr>
              <w:lastRenderedPageBreak/>
              <w:t>Beräknat återbetalningsbelopp</w:t>
            </w:r>
            <w:r w:rsidRPr="006B6AC0">
              <w:rPr>
                <w:lang w:val="sv-SE"/>
              </w:rPr>
              <w:br/>
              <w:t>per Aktie</w:t>
            </w:r>
          </w:p>
        </w:tc>
        <w:tc>
          <w:tcPr>
            <w:tcW w:w="450" w:type="dxa"/>
            <w:vMerge w:val="restart"/>
            <w:vAlign w:val="center"/>
          </w:tcPr>
          <w:p w14:paraId="68A7AAE0" w14:textId="77777777" w:rsidR="006350FE" w:rsidRPr="00437F01" w:rsidRDefault="006350FE" w:rsidP="00695A7D">
            <w:pPr>
              <w:pStyle w:val="TableText"/>
              <w:spacing w:before="480" w:after="0"/>
            </w:pPr>
            <w:r w:rsidRPr="00437F01">
              <w:t>=</w:t>
            </w:r>
          </w:p>
        </w:tc>
        <w:tc>
          <w:tcPr>
            <w:tcW w:w="5483" w:type="dxa"/>
            <w:tcBorders>
              <w:bottom w:val="single" w:sz="4" w:space="0" w:color="auto"/>
            </w:tcBorders>
          </w:tcPr>
          <w:p w14:paraId="03533E4D" w14:textId="77777777" w:rsidR="006350FE" w:rsidRPr="00A50800" w:rsidRDefault="006350FE" w:rsidP="00695A7D">
            <w:pPr>
              <w:pStyle w:val="TableText"/>
              <w:spacing w:after="0"/>
              <w:rPr>
                <w:lang w:val="sv-SE"/>
              </w:rPr>
            </w:pPr>
            <w:r w:rsidRPr="00A50800">
              <w:rPr>
                <w:lang w:val="sv-SE"/>
              </w:rPr>
              <w:t>Det faktiska belopp som återbetalas på inlöst Aktie minskat med Aktiens genomsnittliga aktiekurs under en period om 25 handelsdagar närmast före den dag då Aktien noteras utan rätt till deltagande minskningen (Aktiens genomsnittskurs)</w:t>
            </w:r>
          </w:p>
        </w:tc>
      </w:tr>
      <w:tr w:rsidR="006350FE" w:rsidRPr="00D00630" w14:paraId="7277C806" w14:textId="77777777" w:rsidTr="00695A7D">
        <w:trPr>
          <w:cantSplit/>
        </w:trPr>
        <w:tc>
          <w:tcPr>
            <w:tcW w:w="2430" w:type="dxa"/>
            <w:vMerge/>
          </w:tcPr>
          <w:p w14:paraId="6043F721" w14:textId="77777777" w:rsidR="006350FE" w:rsidRPr="00A50800" w:rsidRDefault="006350FE" w:rsidP="00695A7D">
            <w:pPr>
              <w:pStyle w:val="TableText"/>
              <w:spacing w:after="0"/>
              <w:rPr>
                <w:lang w:val="sv-SE"/>
              </w:rPr>
            </w:pPr>
          </w:p>
        </w:tc>
        <w:tc>
          <w:tcPr>
            <w:tcW w:w="450" w:type="dxa"/>
            <w:vMerge/>
          </w:tcPr>
          <w:p w14:paraId="2A6C9AE9" w14:textId="77777777" w:rsidR="006350FE" w:rsidRPr="00A50800" w:rsidRDefault="006350FE" w:rsidP="00695A7D">
            <w:pPr>
              <w:pStyle w:val="TableText"/>
              <w:spacing w:after="0"/>
              <w:rPr>
                <w:lang w:val="sv-SE"/>
              </w:rPr>
            </w:pPr>
          </w:p>
        </w:tc>
        <w:tc>
          <w:tcPr>
            <w:tcW w:w="5483" w:type="dxa"/>
            <w:tcBorders>
              <w:top w:val="single" w:sz="4" w:space="0" w:color="auto"/>
              <w:bottom w:val="nil"/>
            </w:tcBorders>
          </w:tcPr>
          <w:p w14:paraId="237FA208" w14:textId="77777777" w:rsidR="006350FE" w:rsidRPr="00A50800" w:rsidRDefault="006350FE" w:rsidP="00695A7D">
            <w:pPr>
              <w:pStyle w:val="TableText"/>
              <w:spacing w:after="0"/>
              <w:rPr>
                <w:lang w:val="sv-SE"/>
              </w:rPr>
            </w:pPr>
            <w:r w:rsidRPr="00A50800">
              <w:rPr>
                <w:lang w:val="sv-SE"/>
              </w:rPr>
              <w:t>Det antal Aktier i Bolaget som ligger till grund för inlösen av en Aktie minskat med talet 1</w:t>
            </w:r>
          </w:p>
        </w:tc>
      </w:tr>
      <w:tr w:rsidR="006350FE" w:rsidRPr="003D73C9" w14:paraId="53D87C37" w14:textId="77777777" w:rsidTr="00695A7D">
        <w:trPr>
          <w:cantSplit/>
        </w:trPr>
        <w:tc>
          <w:tcPr>
            <w:tcW w:w="2430" w:type="dxa"/>
            <w:vMerge w:val="restart"/>
            <w:vAlign w:val="center"/>
          </w:tcPr>
          <w:p w14:paraId="78417414" w14:textId="77777777" w:rsidR="006350FE" w:rsidRPr="00437F01" w:rsidRDefault="006350FE" w:rsidP="00695A7D">
            <w:pPr>
              <w:pStyle w:val="TableText"/>
              <w:spacing w:after="0"/>
            </w:pPr>
            <w:r w:rsidRPr="00437F01">
              <w:rPr>
                <w:i/>
              </w:rPr>
              <w:t>Calculated repayment</w:t>
            </w:r>
            <w:r w:rsidRPr="00437F01">
              <w:rPr>
                <w:i/>
              </w:rPr>
              <w:br/>
              <w:t>per Share</w:t>
            </w:r>
          </w:p>
        </w:tc>
        <w:tc>
          <w:tcPr>
            <w:tcW w:w="450" w:type="dxa"/>
            <w:vMerge w:val="restart"/>
            <w:vAlign w:val="center"/>
          </w:tcPr>
          <w:p w14:paraId="020F24AC" w14:textId="77777777" w:rsidR="006350FE" w:rsidRPr="00437F01" w:rsidRDefault="006350FE" w:rsidP="00695A7D">
            <w:pPr>
              <w:pStyle w:val="TableText"/>
              <w:spacing w:before="240" w:after="0"/>
            </w:pPr>
            <w:r w:rsidRPr="00437F01">
              <w:t>=</w:t>
            </w:r>
          </w:p>
        </w:tc>
        <w:tc>
          <w:tcPr>
            <w:tcW w:w="5483" w:type="dxa"/>
            <w:tcBorders>
              <w:top w:val="nil"/>
              <w:bottom w:val="single" w:sz="4" w:space="0" w:color="auto"/>
            </w:tcBorders>
          </w:tcPr>
          <w:p w14:paraId="19FE8246" w14:textId="77777777" w:rsidR="006350FE" w:rsidRPr="002A1EA0" w:rsidRDefault="006350FE" w:rsidP="00695A7D">
            <w:pPr>
              <w:pStyle w:val="TableText"/>
              <w:spacing w:after="0"/>
              <w:rPr>
                <w:i/>
              </w:rPr>
            </w:pPr>
            <w:r w:rsidRPr="002A1EA0">
              <w:rPr>
                <w:i/>
              </w:rPr>
              <w:t xml:space="preserve">The actual amount that has been repaid per redeemed Share reduced by the average share price of the Shares during a </w:t>
            </w:r>
            <w:proofErr w:type="gramStart"/>
            <w:r w:rsidRPr="002A1EA0">
              <w:rPr>
                <w:i/>
              </w:rPr>
              <w:t>25 day</w:t>
            </w:r>
            <w:proofErr w:type="gramEnd"/>
            <w:r w:rsidRPr="002A1EA0">
              <w:rPr>
                <w:i/>
              </w:rPr>
              <w:t xml:space="preserve"> period immediately prior to the day the Share is quoted without the right to participate in the reduction (the average price of Share)</w:t>
            </w:r>
          </w:p>
        </w:tc>
      </w:tr>
      <w:tr w:rsidR="006350FE" w:rsidRPr="003D73C9" w14:paraId="27AD7298" w14:textId="77777777" w:rsidTr="00695A7D">
        <w:trPr>
          <w:cantSplit/>
        </w:trPr>
        <w:tc>
          <w:tcPr>
            <w:tcW w:w="2430" w:type="dxa"/>
            <w:vMerge/>
          </w:tcPr>
          <w:p w14:paraId="33223115" w14:textId="77777777" w:rsidR="006350FE" w:rsidRPr="00437F01" w:rsidRDefault="006350FE" w:rsidP="00695A7D">
            <w:pPr>
              <w:pStyle w:val="TableText"/>
              <w:spacing w:after="0"/>
            </w:pPr>
          </w:p>
        </w:tc>
        <w:tc>
          <w:tcPr>
            <w:tcW w:w="450" w:type="dxa"/>
            <w:vMerge/>
          </w:tcPr>
          <w:p w14:paraId="41C1CA12" w14:textId="77777777" w:rsidR="006350FE" w:rsidRPr="00437F01" w:rsidRDefault="006350FE" w:rsidP="00695A7D">
            <w:pPr>
              <w:pStyle w:val="TableText"/>
              <w:spacing w:after="0"/>
            </w:pPr>
          </w:p>
        </w:tc>
        <w:tc>
          <w:tcPr>
            <w:tcW w:w="5483" w:type="dxa"/>
            <w:tcBorders>
              <w:top w:val="single" w:sz="4" w:space="0" w:color="auto"/>
              <w:bottom w:val="nil"/>
            </w:tcBorders>
          </w:tcPr>
          <w:p w14:paraId="4271ED67" w14:textId="77777777" w:rsidR="006350FE" w:rsidRPr="00437F01" w:rsidRDefault="006350FE" w:rsidP="00695A7D">
            <w:pPr>
              <w:pStyle w:val="TableText"/>
              <w:spacing w:after="0"/>
              <w:rPr>
                <w:i/>
              </w:rPr>
            </w:pPr>
            <w:r w:rsidRPr="002A1EA0">
              <w:rPr>
                <w:i/>
              </w:rPr>
              <w:t xml:space="preserve">The number of Shares in the Company that serves as basis for the </w:t>
            </w:r>
            <w:r w:rsidRPr="006B6AC0">
              <w:rPr>
                <w:i/>
                <w:lang w:val="en-US"/>
              </w:rPr>
              <w:t>redemption</w:t>
            </w:r>
            <w:r w:rsidRPr="002A1EA0">
              <w:rPr>
                <w:i/>
              </w:rPr>
              <w:t xml:space="preserve"> of Shares reduced with the number 1</w:t>
            </w:r>
          </w:p>
        </w:tc>
      </w:tr>
      <w:tr w:rsidR="006350FE" w:rsidRPr="003D73C9" w14:paraId="05A17B2D" w14:textId="77777777" w:rsidTr="00695A7D">
        <w:trPr>
          <w:cantSplit/>
        </w:trPr>
        <w:tc>
          <w:tcPr>
            <w:tcW w:w="2430" w:type="dxa"/>
          </w:tcPr>
          <w:p w14:paraId="4411F375" w14:textId="77777777" w:rsidR="006350FE" w:rsidRPr="00437F01" w:rsidRDefault="006350FE" w:rsidP="00695A7D">
            <w:pPr>
              <w:pStyle w:val="TableText"/>
              <w:spacing w:after="100" w:afterAutospacing="1"/>
            </w:pPr>
          </w:p>
        </w:tc>
        <w:tc>
          <w:tcPr>
            <w:tcW w:w="450" w:type="dxa"/>
            <w:tcBorders>
              <w:right w:val="nil"/>
            </w:tcBorders>
          </w:tcPr>
          <w:p w14:paraId="7FB598DB" w14:textId="77777777" w:rsidR="006350FE" w:rsidRPr="00437F01" w:rsidRDefault="006350FE" w:rsidP="00695A7D">
            <w:pPr>
              <w:pStyle w:val="TableText"/>
              <w:spacing w:after="100" w:afterAutospacing="1"/>
            </w:pPr>
          </w:p>
        </w:tc>
        <w:tc>
          <w:tcPr>
            <w:tcW w:w="5483" w:type="dxa"/>
            <w:tcBorders>
              <w:top w:val="nil"/>
              <w:left w:val="nil"/>
              <w:bottom w:val="nil"/>
              <w:right w:val="nil"/>
            </w:tcBorders>
          </w:tcPr>
          <w:p w14:paraId="74B60317" w14:textId="77777777" w:rsidR="006350FE" w:rsidRPr="002A1EA0" w:rsidRDefault="006350FE" w:rsidP="00695A7D">
            <w:pPr>
              <w:pStyle w:val="TableText"/>
              <w:spacing w:after="100" w:afterAutospacing="1"/>
              <w:rPr>
                <w:i/>
              </w:rPr>
            </w:pPr>
          </w:p>
        </w:tc>
      </w:tr>
    </w:tbl>
    <w:p w14:paraId="1EFF1D87" w14:textId="77777777" w:rsidR="006350FE" w:rsidRPr="00437F01" w:rsidRDefault="006350FE" w:rsidP="006350FE">
      <w:pPr>
        <w:pStyle w:val="BodyText"/>
        <w:ind w:left="720"/>
        <w:rPr>
          <w:i/>
        </w:rPr>
      </w:pPr>
      <w:r w:rsidRPr="00EB7BAC">
        <w:rPr>
          <w:szCs w:val="22"/>
          <w:lang w:val="sv-SE"/>
        </w:rPr>
        <w:t>Aktiens</w:t>
      </w:r>
      <w:r w:rsidRPr="00A50800">
        <w:rPr>
          <w:lang w:val="sv-SE"/>
        </w:rPr>
        <w:t xml:space="preserve"> genomsnittskurs beräknas i enlighet med vad som angivits i </w:t>
      </w:r>
      <w:r>
        <w:rPr>
          <w:lang w:val="sv-SE"/>
        </w:rPr>
        <w:t>punkt</w:t>
      </w:r>
      <w:r w:rsidRPr="00A50800">
        <w:rPr>
          <w:lang w:val="sv-SE"/>
        </w:rPr>
        <w:t xml:space="preserve">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xml:space="preserve"> ovan.</w:t>
      </w:r>
      <w:r w:rsidRPr="00A50800">
        <w:rPr>
          <w:lang w:val="sv-SE"/>
        </w:rPr>
        <w:br/>
      </w:r>
      <w:r w:rsidRPr="00437F01">
        <w:rPr>
          <w:i/>
        </w:rPr>
        <w:t xml:space="preserve">The average price of Share is calculated in accordance with the provisions set forth in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w:t>
      </w:r>
    </w:p>
    <w:p w14:paraId="3C1C9604" w14:textId="77777777" w:rsidR="006350FE" w:rsidRPr="00437F01" w:rsidRDefault="006350FE" w:rsidP="006350FE">
      <w:pPr>
        <w:pStyle w:val="BodyText"/>
        <w:ind w:left="720"/>
      </w:pPr>
      <w:r w:rsidRPr="00A50800">
        <w:rPr>
          <w:lang w:val="sv-SE"/>
        </w:rPr>
        <w:t xml:space="preserve">Enligt ovan omräknad Teckningskurs och omräknat antal Aktier </w:t>
      </w:r>
      <w:r>
        <w:rPr>
          <w:lang w:val="sv-SE"/>
        </w:rPr>
        <w:t>ska</w:t>
      </w:r>
      <w:r w:rsidRPr="00A50800">
        <w:rPr>
          <w:lang w:val="sv-SE"/>
        </w:rPr>
        <w:t xml:space="preserve"> fastställas av Bolaget två </w:t>
      </w:r>
      <w:r w:rsidRPr="00EB7BAC">
        <w:rPr>
          <w:szCs w:val="22"/>
          <w:lang w:val="sv-SE"/>
        </w:rPr>
        <w:t>Bankdagar</w:t>
      </w:r>
      <w:r w:rsidRPr="00A50800">
        <w:rPr>
          <w:lang w:val="sv-SE"/>
        </w:rPr>
        <w:t xml:space="preserve"> efter utgången av den angivna perioden om 25 handelsdagar och </w:t>
      </w:r>
      <w:r>
        <w:rPr>
          <w:lang w:val="sv-SE"/>
        </w:rPr>
        <w:t>ska</w:t>
      </w:r>
      <w:r w:rsidRPr="00A50800">
        <w:rPr>
          <w:lang w:val="sv-SE"/>
        </w:rPr>
        <w:t xml:space="preserve"> tillämpas vid Teckning, som verkställs därefter.</w:t>
      </w:r>
      <w:r w:rsidRPr="00A50800">
        <w:rPr>
          <w:lang w:val="sv-SE"/>
        </w:rPr>
        <w:br/>
      </w:r>
      <w:r w:rsidRPr="00437F01">
        <w:rPr>
          <w:i/>
        </w:rPr>
        <w:t xml:space="preserve">The recalculated Subscription Price and recalculated number of Shares </w:t>
      </w:r>
      <w:proofErr w:type="gramStart"/>
      <w:r w:rsidRPr="00437F01">
        <w:rPr>
          <w:i/>
        </w:rPr>
        <w:t>as set</w:t>
      </w:r>
      <w:proofErr w:type="gramEnd"/>
      <w:r w:rsidRPr="00437F01">
        <w:rPr>
          <w:i/>
        </w:rPr>
        <w:t xml:space="preserve"> out above shall be determined by the Company two Business Days after the expiration of the stated period of 25 trading days, and shall apply to Subscriptions made after such time.</w:t>
      </w:r>
    </w:p>
    <w:p w14:paraId="2FB3E65B" w14:textId="77777777" w:rsidR="006350FE" w:rsidRPr="00437F01" w:rsidRDefault="006350FE" w:rsidP="006350FE">
      <w:pPr>
        <w:pStyle w:val="BodyText"/>
        <w:ind w:left="720"/>
      </w:pPr>
      <w:r w:rsidRPr="00EB7BAC">
        <w:rPr>
          <w:szCs w:val="22"/>
          <w:lang w:val="sv-SE"/>
        </w:rPr>
        <w:t>Teckning</w:t>
      </w:r>
      <w:r w:rsidRPr="00A50800">
        <w:rPr>
          <w:lang w:val="sv-SE"/>
        </w:rPr>
        <w:t xml:space="preserve"> verkställs ej under tiden från minskningsbeslutet t.o.m. den dag då den omräknade Teckningskursen och det omräknade antalet Aktier fastställts enligt vad ovan sagts.</w:t>
      </w:r>
      <w:r w:rsidRPr="00A50800">
        <w:rPr>
          <w:lang w:val="sv-SE"/>
        </w:rPr>
        <w:br/>
      </w:r>
      <w:r w:rsidRPr="00437F01">
        <w:rPr>
          <w:i/>
        </w:rPr>
        <w:t>Subscriptions shall not be executed during the period commencing with the adoption of the resolution to reduce the share capital up to and including the day on which the recalculated Subscription Price and recalculated number of Shares is determined.</w:t>
      </w:r>
    </w:p>
    <w:p w14:paraId="2398EECD" w14:textId="77777777" w:rsidR="006350FE" w:rsidRPr="00A50800" w:rsidRDefault="006350FE" w:rsidP="006350FE">
      <w:pPr>
        <w:pStyle w:val="BodyText"/>
        <w:numPr>
          <w:ilvl w:val="2"/>
          <w:numId w:val="55"/>
        </w:numPr>
        <w:spacing w:after="0"/>
        <w:rPr>
          <w:b/>
          <w:lang w:val="sv-SE"/>
        </w:rPr>
      </w:pPr>
      <w:r w:rsidRPr="00A50800">
        <w:rPr>
          <w:b/>
          <w:szCs w:val="22"/>
          <w:lang w:val="sv-SE"/>
        </w:rPr>
        <w:t>Å</w:t>
      </w:r>
      <w:r w:rsidRPr="00A50800">
        <w:rPr>
          <w:b/>
          <w:lang w:val="sv-SE"/>
        </w:rPr>
        <w:t xml:space="preserve">terköp av egna </w:t>
      </w:r>
      <w:r>
        <w:rPr>
          <w:b/>
          <w:lang w:val="sv-SE"/>
        </w:rPr>
        <w:t>Aktie</w:t>
      </w:r>
      <w:r w:rsidRPr="00A50800">
        <w:rPr>
          <w:b/>
          <w:lang w:val="sv-SE"/>
        </w:rPr>
        <w:t xml:space="preserve">r </w:t>
      </w:r>
      <w:proofErr w:type="gramStart"/>
      <w:r w:rsidRPr="00A50800">
        <w:rPr>
          <w:b/>
          <w:lang w:val="sv-SE"/>
        </w:rPr>
        <w:t>m.m.</w:t>
      </w:r>
      <w:proofErr w:type="gramEnd"/>
      <w:r w:rsidRPr="00A50800">
        <w:rPr>
          <w:b/>
          <w:lang w:val="sv-SE"/>
        </w:rPr>
        <w:t>/</w:t>
      </w:r>
      <w:proofErr w:type="spellStart"/>
      <w:r w:rsidRPr="00A50800">
        <w:rPr>
          <w:b/>
          <w:i/>
          <w:lang w:val="sv-SE"/>
        </w:rPr>
        <w:t>Repurchase</w:t>
      </w:r>
      <w:proofErr w:type="spellEnd"/>
      <w:r w:rsidRPr="00A50800">
        <w:rPr>
          <w:b/>
          <w:i/>
          <w:lang w:val="sv-SE"/>
        </w:rPr>
        <w:t xml:space="preserve"> of </w:t>
      </w:r>
      <w:proofErr w:type="spellStart"/>
      <w:r w:rsidRPr="00A50800">
        <w:rPr>
          <w:b/>
          <w:i/>
          <w:lang w:val="sv-SE"/>
        </w:rPr>
        <w:t>shares</w:t>
      </w:r>
      <w:proofErr w:type="spellEnd"/>
      <w:r w:rsidRPr="00A50800">
        <w:rPr>
          <w:b/>
          <w:i/>
          <w:lang w:val="sv-SE"/>
        </w:rPr>
        <w:t xml:space="preserve"> </w:t>
      </w:r>
      <w:proofErr w:type="gramStart"/>
      <w:r w:rsidRPr="00A50800">
        <w:rPr>
          <w:b/>
          <w:i/>
          <w:lang w:val="sv-SE"/>
        </w:rPr>
        <w:t>etc.</w:t>
      </w:r>
      <w:proofErr w:type="gramEnd"/>
    </w:p>
    <w:p w14:paraId="3D0DFBB9" w14:textId="77777777" w:rsidR="006350FE" w:rsidRPr="00437F01" w:rsidRDefault="006350FE" w:rsidP="006350FE">
      <w:pPr>
        <w:pStyle w:val="BodyText"/>
        <w:ind w:left="720"/>
        <w:rPr>
          <w:i/>
        </w:rPr>
      </w:pPr>
      <w:r w:rsidRPr="00A50800">
        <w:rPr>
          <w:lang w:val="sv-SE"/>
        </w:rPr>
        <w:t xml:space="preserve">Om Bolaget – utan att fråga är om minskning av aktiekapital – skulle genomföra </w:t>
      </w:r>
      <w:r w:rsidRPr="00A50800">
        <w:rPr>
          <w:u w:val="single"/>
          <w:lang w:val="sv-SE"/>
        </w:rPr>
        <w:t>återköp av egna Aktier</w:t>
      </w:r>
      <w:r w:rsidRPr="00A50800">
        <w:rPr>
          <w:lang w:val="sv-SE"/>
        </w:rPr>
        <w:t xml:space="preserve"> men där, enligt Bolagets bedömning, sådan åtgärd med hänsyn till dess tekniska </w:t>
      </w:r>
      <w:r w:rsidRPr="00EB7BAC">
        <w:rPr>
          <w:szCs w:val="22"/>
          <w:lang w:val="sv-SE"/>
        </w:rPr>
        <w:t>utformning</w:t>
      </w:r>
      <w:r w:rsidRPr="00A50800">
        <w:rPr>
          <w:lang w:val="sv-SE"/>
        </w:rPr>
        <w:t xml:space="preserve"> och ekonomiska effekter, är att jämställa med minskning som är obligatorisk, </w:t>
      </w:r>
      <w:r>
        <w:rPr>
          <w:lang w:val="sv-SE"/>
        </w:rPr>
        <w:t>ska</w:t>
      </w:r>
      <w:r w:rsidRPr="00A50800">
        <w:rPr>
          <w:lang w:val="sv-SE"/>
        </w:rPr>
        <w:t xml:space="preserve"> omräkning av Teckningskursen och antal Aktier som varje Teckningsoption berättigar till Teckning av ske med tillämpning av så långt möjligt av de principer som anges ovan i </w:t>
      </w:r>
      <w:r>
        <w:rPr>
          <w:lang w:val="sv-SE"/>
        </w:rPr>
        <w:t>punkt</w:t>
      </w:r>
      <w:r w:rsidRPr="00A50800">
        <w:rPr>
          <w:lang w:val="sv-SE"/>
        </w:rPr>
        <w:t xml:space="preserve"> </w:t>
      </w:r>
      <w:r>
        <w:rPr>
          <w:szCs w:val="22"/>
        </w:rPr>
        <w:fldChar w:fldCharType="begin"/>
      </w:r>
      <w:r>
        <w:rPr>
          <w:lang w:val="sv-SE"/>
        </w:rPr>
        <w:instrText xml:space="preserve"> REF _Ref445831730 \r \h </w:instrText>
      </w:r>
      <w:r>
        <w:rPr>
          <w:szCs w:val="22"/>
        </w:rPr>
      </w:r>
      <w:r>
        <w:rPr>
          <w:szCs w:val="22"/>
        </w:rPr>
        <w:fldChar w:fldCharType="separate"/>
      </w:r>
      <w:r>
        <w:rPr>
          <w:lang w:val="sv-SE"/>
        </w:rPr>
        <w:t>8.2.9</w:t>
      </w:r>
      <w:r>
        <w:rPr>
          <w:szCs w:val="22"/>
        </w:rPr>
        <w:fldChar w:fldCharType="end"/>
      </w:r>
      <w:r w:rsidRPr="00A50800">
        <w:rPr>
          <w:lang w:val="sv-SE"/>
        </w:rPr>
        <w:t>.</w:t>
      </w:r>
      <w:r w:rsidRPr="00A50800">
        <w:rPr>
          <w:lang w:val="sv-SE"/>
        </w:rPr>
        <w:br/>
      </w:r>
      <w:r w:rsidRPr="00437F01">
        <w:rPr>
          <w:i/>
        </w:rPr>
        <w:t xml:space="preserve">In the event the Company – without reducing the share capital – should carry out a </w:t>
      </w:r>
      <w:r w:rsidRPr="00437F01">
        <w:rPr>
          <w:i/>
          <w:u w:val="single"/>
        </w:rPr>
        <w:t>repurchase of its own shares</w:t>
      </w:r>
      <w:r w:rsidRPr="00437F01">
        <w:rPr>
          <w:i/>
        </w:rPr>
        <w:t xml:space="preserve">, but where the measure due to its technical structure and financial effects, is equivalent to a reduction, the recalculation of the Subscription Price as well as of the number of Shares that each Warrant entitles to Subscription of shall be made by applying, to the extent possible, the principles set forth in section </w:t>
      </w:r>
      <w:r>
        <w:rPr>
          <w:i/>
          <w:szCs w:val="22"/>
        </w:rPr>
        <w:fldChar w:fldCharType="begin"/>
      </w:r>
      <w:r>
        <w:rPr>
          <w:i/>
        </w:rPr>
        <w:instrText xml:space="preserve"> REF _Ref445831730 \r \h </w:instrText>
      </w:r>
      <w:r>
        <w:rPr>
          <w:i/>
          <w:szCs w:val="22"/>
        </w:rPr>
      </w:r>
      <w:r>
        <w:rPr>
          <w:i/>
          <w:szCs w:val="22"/>
        </w:rPr>
        <w:fldChar w:fldCharType="separate"/>
      </w:r>
      <w:r>
        <w:rPr>
          <w:i/>
        </w:rPr>
        <w:t>8.2.9</w:t>
      </w:r>
      <w:r>
        <w:rPr>
          <w:i/>
          <w:szCs w:val="22"/>
        </w:rPr>
        <w:fldChar w:fldCharType="end"/>
      </w:r>
      <w:r w:rsidRPr="00437F01">
        <w:rPr>
          <w:i/>
        </w:rPr>
        <w:t>.</w:t>
      </w:r>
    </w:p>
    <w:p w14:paraId="5C7ECC76" w14:textId="77777777" w:rsidR="006350FE" w:rsidRPr="00437F01" w:rsidRDefault="006350FE" w:rsidP="006350FE">
      <w:pPr>
        <w:pStyle w:val="BodyText"/>
        <w:numPr>
          <w:ilvl w:val="2"/>
          <w:numId w:val="55"/>
        </w:numPr>
        <w:spacing w:after="0"/>
        <w:rPr>
          <w:b/>
        </w:rPr>
      </w:pPr>
      <w:r w:rsidRPr="00437F01">
        <w:rPr>
          <w:b/>
        </w:rPr>
        <w:t xml:space="preserve">Byte </w:t>
      </w:r>
      <w:proofErr w:type="spellStart"/>
      <w:r w:rsidRPr="00437F01">
        <w:rPr>
          <w:b/>
        </w:rPr>
        <w:t>av</w:t>
      </w:r>
      <w:proofErr w:type="spellEnd"/>
      <w:r w:rsidRPr="00437F01">
        <w:rPr>
          <w:b/>
        </w:rPr>
        <w:t xml:space="preserve"> </w:t>
      </w:r>
      <w:proofErr w:type="spellStart"/>
      <w:r w:rsidRPr="00437F01">
        <w:rPr>
          <w:b/>
        </w:rPr>
        <w:t>aktiekapitalsvaluta</w:t>
      </w:r>
      <w:proofErr w:type="spellEnd"/>
      <w:r w:rsidRPr="00437F01">
        <w:rPr>
          <w:b/>
        </w:rPr>
        <w:t>/</w:t>
      </w:r>
      <w:r w:rsidRPr="00437F01">
        <w:rPr>
          <w:b/>
          <w:i/>
        </w:rPr>
        <w:t>Change of the currency of share capital</w:t>
      </w:r>
    </w:p>
    <w:p w14:paraId="0776A60F" w14:textId="77777777" w:rsidR="006350FE" w:rsidRPr="00437F01" w:rsidRDefault="006350FE" w:rsidP="006350FE">
      <w:pPr>
        <w:pStyle w:val="BodyText"/>
        <w:ind w:left="720"/>
      </w:pPr>
      <w:r w:rsidRPr="00A50800">
        <w:rPr>
          <w:lang w:val="sv-SE"/>
        </w:rPr>
        <w:t xml:space="preserve">Genomför bolaget </w:t>
      </w:r>
      <w:r w:rsidRPr="00A50800">
        <w:rPr>
          <w:u w:val="single"/>
          <w:lang w:val="sv-SE"/>
        </w:rPr>
        <w:t>byte av aktiekapitalsvaluta</w:t>
      </w:r>
      <w:r w:rsidRPr="00A50800">
        <w:rPr>
          <w:lang w:val="sv-SE"/>
        </w:rPr>
        <w:t xml:space="preserve">, innebärande att Bolagets aktiekapital </w:t>
      </w:r>
      <w:r>
        <w:rPr>
          <w:lang w:val="sv-SE"/>
        </w:rPr>
        <w:t>ska</w:t>
      </w:r>
      <w:r w:rsidRPr="00A50800">
        <w:rPr>
          <w:lang w:val="sv-SE"/>
        </w:rPr>
        <w:t xml:space="preserve"> vara bestämt i annan valuta än svenska kronor, </w:t>
      </w:r>
      <w:r>
        <w:rPr>
          <w:lang w:val="sv-SE"/>
        </w:rPr>
        <w:t>ska</w:t>
      </w:r>
      <w:r w:rsidRPr="00A50800">
        <w:rPr>
          <w:lang w:val="sv-SE"/>
        </w:rPr>
        <w:t xml:space="preserve"> Teckningskursen omräknas till samma valuta </w:t>
      </w:r>
      <w:r w:rsidRPr="00EB7BAC">
        <w:rPr>
          <w:szCs w:val="22"/>
          <w:lang w:val="sv-SE"/>
        </w:rPr>
        <w:t>som</w:t>
      </w:r>
      <w:r w:rsidRPr="00A50800">
        <w:rPr>
          <w:lang w:val="sv-SE"/>
        </w:rPr>
        <w:t xml:space="preserve"> aktiekapitalet är bestämt i samt därvid avrundas till två decimaler. Sådan valutaomräkning </w:t>
      </w:r>
      <w:r>
        <w:rPr>
          <w:lang w:val="sv-SE"/>
        </w:rPr>
        <w:t>ska</w:t>
      </w:r>
      <w:r w:rsidRPr="00A50800">
        <w:rPr>
          <w:lang w:val="sv-SE"/>
        </w:rPr>
        <w:t xml:space="preserve"> ske med tillämpning av den växelkurs som använts för omräkning av aktiekapitalet vid valutabytet.</w:t>
      </w:r>
      <w:r w:rsidRPr="00A50800">
        <w:rPr>
          <w:lang w:val="sv-SE"/>
        </w:rPr>
        <w:br/>
      </w:r>
      <w:r w:rsidRPr="00437F01">
        <w:rPr>
          <w:i/>
        </w:rPr>
        <w:t xml:space="preserve">In the event the Company </w:t>
      </w:r>
      <w:r w:rsidRPr="00437F01">
        <w:rPr>
          <w:i/>
          <w:u w:val="single"/>
        </w:rPr>
        <w:t xml:space="preserve">carries out a change of the currency of its share capital </w:t>
      </w:r>
      <w:r w:rsidRPr="00437F01">
        <w:rPr>
          <w:i/>
        </w:rPr>
        <w:t xml:space="preserve">resulting in that the share capital of the Company shall be determined in a currency other than SEK, the Subscription Price shall be recalculated into the same currency as the currency of the share </w:t>
      </w:r>
      <w:r w:rsidRPr="00437F01">
        <w:rPr>
          <w:i/>
        </w:rPr>
        <w:lastRenderedPageBreak/>
        <w:t>capital and be rounded off to two decimals. Such recalculation of the currency shall be made with application of the exchange rate which has been used when re-calculating the currency of the share capital.</w:t>
      </w:r>
    </w:p>
    <w:p w14:paraId="6DCD4318" w14:textId="77777777" w:rsidR="006350FE" w:rsidRPr="00437F01" w:rsidRDefault="006350FE" w:rsidP="006350FE">
      <w:pPr>
        <w:pStyle w:val="BodyText"/>
        <w:ind w:left="720"/>
      </w:pPr>
      <w:r w:rsidRPr="00EB7BAC">
        <w:rPr>
          <w:szCs w:val="22"/>
          <w:lang w:val="sv-SE"/>
        </w:rPr>
        <w:t>Enligt</w:t>
      </w:r>
      <w:r w:rsidRPr="00A50800">
        <w:rPr>
          <w:lang w:val="sv-SE"/>
        </w:rPr>
        <w:t xml:space="preserve"> ovan omräknad Teckningskurs fastställs av Bolaget och </w:t>
      </w:r>
      <w:r>
        <w:rPr>
          <w:lang w:val="sv-SE"/>
        </w:rPr>
        <w:t>ska</w:t>
      </w:r>
      <w:r w:rsidRPr="00A50800">
        <w:rPr>
          <w:lang w:val="sv-SE"/>
        </w:rPr>
        <w:t xml:space="preserve"> tillämpas vid Teckning som verkställs från och med den dag som bytet av aktiekapitalsvaluta får verkan.</w:t>
      </w:r>
      <w:r w:rsidRPr="00A50800">
        <w:rPr>
          <w:lang w:val="sv-SE"/>
        </w:rPr>
        <w:br/>
      </w:r>
      <w:r w:rsidRPr="00437F01">
        <w:rPr>
          <w:i/>
        </w:rPr>
        <w:t>The recalculated Subscription Price in accordance with above shall be determined by the Company and shall be applied on Subscriptions which are effected as from the day the currency change of the share capital became effective.</w:t>
      </w:r>
    </w:p>
    <w:p w14:paraId="7693F204" w14:textId="77777777" w:rsidR="006350FE" w:rsidRPr="00A50800" w:rsidRDefault="006350FE" w:rsidP="006350FE">
      <w:pPr>
        <w:pStyle w:val="BodyText"/>
        <w:numPr>
          <w:ilvl w:val="2"/>
          <w:numId w:val="55"/>
        </w:numPr>
        <w:spacing w:after="0"/>
        <w:rPr>
          <w:b/>
          <w:lang w:val="sv-SE"/>
        </w:rPr>
      </w:pPr>
      <w:r w:rsidRPr="00A50800">
        <w:rPr>
          <w:b/>
          <w:lang w:val="sv-SE"/>
        </w:rPr>
        <w:t>Skälig omräkning/</w:t>
      </w:r>
      <w:proofErr w:type="spellStart"/>
      <w:r w:rsidRPr="00A50800">
        <w:rPr>
          <w:b/>
          <w:i/>
          <w:lang w:val="sv-SE"/>
        </w:rPr>
        <w:t>Reasonable</w:t>
      </w:r>
      <w:proofErr w:type="spellEnd"/>
      <w:r w:rsidRPr="00A50800">
        <w:rPr>
          <w:b/>
          <w:i/>
          <w:lang w:val="sv-SE"/>
        </w:rPr>
        <w:t xml:space="preserve"> </w:t>
      </w:r>
      <w:proofErr w:type="spellStart"/>
      <w:r w:rsidRPr="00A50800">
        <w:rPr>
          <w:b/>
          <w:i/>
          <w:lang w:val="sv-SE"/>
        </w:rPr>
        <w:t>recalculation</w:t>
      </w:r>
      <w:proofErr w:type="spellEnd"/>
    </w:p>
    <w:p w14:paraId="24B87EDD" w14:textId="77777777" w:rsidR="006350FE" w:rsidRPr="00437F01" w:rsidRDefault="006350FE" w:rsidP="006350FE">
      <w:pPr>
        <w:pStyle w:val="BodyText"/>
        <w:ind w:left="720"/>
      </w:pPr>
      <w:r w:rsidRPr="00A50800">
        <w:rPr>
          <w:lang w:val="sv-SE"/>
        </w:rPr>
        <w:t xml:space="preserve">Genomför Bolaget åtgärd som avses i punkterna </w:t>
      </w:r>
      <w:r>
        <w:rPr>
          <w:szCs w:val="22"/>
        </w:rPr>
        <w:fldChar w:fldCharType="begin"/>
      </w:r>
      <w:r>
        <w:rPr>
          <w:lang w:val="sv-SE"/>
        </w:rPr>
        <w:instrText xml:space="preserve"> REF _Ref419826047 \r \h </w:instrText>
      </w:r>
      <w:r>
        <w:rPr>
          <w:szCs w:val="22"/>
        </w:rPr>
      </w:r>
      <w:r>
        <w:rPr>
          <w:szCs w:val="22"/>
        </w:rPr>
        <w:fldChar w:fldCharType="separate"/>
      </w:r>
      <w:r>
        <w:rPr>
          <w:lang w:val="sv-SE"/>
        </w:rPr>
        <w:t>8.2.2</w:t>
      </w:r>
      <w:r>
        <w:rPr>
          <w:szCs w:val="22"/>
        </w:rPr>
        <w:fldChar w:fldCharType="end"/>
      </w:r>
      <w:r w:rsidRPr="00A50800">
        <w:rPr>
          <w:lang w:val="sv-SE"/>
        </w:rPr>
        <w:t>–</w:t>
      </w:r>
      <w:r>
        <w:rPr>
          <w:szCs w:val="22"/>
        </w:rPr>
        <w:fldChar w:fldCharType="begin"/>
      </w:r>
      <w:r>
        <w:rPr>
          <w:szCs w:val="22"/>
          <w:lang w:val="sv-SE"/>
        </w:rPr>
        <w:instrText xml:space="preserve"> REF _Ref445997940 \r \h </w:instrText>
      </w:r>
      <w:r>
        <w:rPr>
          <w:szCs w:val="22"/>
        </w:rPr>
      </w:r>
      <w:r>
        <w:rPr>
          <w:szCs w:val="22"/>
        </w:rPr>
        <w:fldChar w:fldCharType="separate"/>
      </w:r>
      <w:r>
        <w:rPr>
          <w:szCs w:val="22"/>
          <w:lang w:val="sv-SE"/>
        </w:rPr>
        <w:t>8.2.6</w:t>
      </w:r>
      <w:r>
        <w:rPr>
          <w:szCs w:val="22"/>
        </w:rPr>
        <w:fldChar w:fldCharType="end"/>
      </w:r>
      <w:r w:rsidRPr="00A50800">
        <w:rPr>
          <w:lang w:val="sv-SE"/>
        </w:rPr>
        <w:t xml:space="preserve"> eller punkterna </w:t>
      </w:r>
      <w:r>
        <w:rPr>
          <w:szCs w:val="22"/>
        </w:rPr>
        <w:fldChar w:fldCharType="begin"/>
      </w:r>
      <w:r>
        <w:rPr>
          <w:lang w:val="sv-SE"/>
        </w:rPr>
        <w:instrText xml:space="preserve"> REF _Ref445999030 \r \h </w:instrText>
      </w:r>
      <w:r>
        <w:rPr>
          <w:szCs w:val="22"/>
        </w:rPr>
      </w:r>
      <w:r>
        <w:rPr>
          <w:szCs w:val="22"/>
        </w:rPr>
        <w:fldChar w:fldCharType="separate"/>
      </w:r>
      <w:r>
        <w:rPr>
          <w:lang w:val="sv-SE"/>
        </w:rPr>
        <w:t>8.2.8</w:t>
      </w:r>
      <w:r>
        <w:rPr>
          <w:szCs w:val="22"/>
        </w:rPr>
        <w:fldChar w:fldCharType="end"/>
      </w:r>
      <w:r w:rsidRPr="00A50800">
        <w:rPr>
          <w:lang w:val="sv-SE"/>
        </w:rPr>
        <w:t>–</w:t>
      </w:r>
      <w:r>
        <w:rPr>
          <w:szCs w:val="22"/>
        </w:rPr>
        <w:fldChar w:fldCharType="begin"/>
      </w:r>
      <w:r>
        <w:rPr>
          <w:szCs w:val="22"/>
          <w:lang w:val="sv-SE"/>
        </w:rPr>
        <w:instrText xml:space="preserve"> REF _Ref445999037 \r \h </w:instrText>
      </w:r>
      <w:r>
        <w:rPr>
          <w:szCs w:val="22"/>
        </w:rPr>
      </w:r>
      <w:r>
        <w:rPr>
          <w:szCs w:val="22"/>
        </w:rPr>
        <w:fldChar w:fldCharType="separate"/>
      </w:r>
      <w:r>
        <w:rPr>
          <w:szCs w:val="22"/>
          <w:lang w:val="sv-SE"/>
        </w:rPr>
        <w:t>8.2.11</w:t>
      </w:r>
      <w:r>
        <w:rPr>
          <w:szCs w:val="22"/>
        </w:rPr>
        <w:fldChar w:fldCharType="end"/>
      </w:r>
      <w:r w:rsidRPr="00A50800">
        <w:rPr>
          <w:lang w:val="sv-SE"/>
        </w:rPr>
        <w:t xml:space="preserve"> ovan eller annan liknande åtgärd med liknande effekt och skulle, enligt Bolagets bedömning, </w:t>
      </w:r>
      <w:r w:rsidRPr="00EB7BAC">
        <w:rPr>
          <w:szCs w:val="22"/>
          <w:lang w:val="sv-SE"/>
        </w:rPr>
        <w:t>tillämpning</w:t>
      </w:r>
      <w:r w:rsidRPr="00A50800">
        <w:rPr>
          <w:lang w:val="sv-SE"/>
        </w:rPr>
        <w:t xml:space="preserve"> av härför avsedd omräkningsformel, med hänsyn till åtgärdens tekniska utformning eller av annat skäl, ej kunna ske eller leda till att den ekonomiska kompensation som </w:t>
      </w:r>
      <w:r>
        <w:rPr>
          <w:lang w:val="sv-SE"/>
        </w:rPr>
        <w:t>Optionsinnehavarna</w:t>
      </w:r>
      <w:r w:rsidRPr="00A50800">
        <w:rPr>
          <w:lang w:val="sv-SE"/>
        </w:rPr>
        <w:t xml:space="preserve"> erhåller i förhållande till aktieägarna inte är skälig, </w:t>
      </w:r>
      <w:r>
        <w:rPr>
          <w:lang w:val="sv-SE"/>
        </w:rPr>
        <w:t>ska</w:t>
      </w:r>
      <w:r w:rsidRPr="00A50800">
        <w:rPr>
          <w:lang w:val="sv-SE"/>
        </w:rPr>
        <w:t xml:space="preserve"> Bolaget genomföra omräkningarna av Teckningskursen och av antalet Aktier som varje Teckningsoption berättigar till Teckning av i syfte att omräkningarna leder till ett skäligt resultat.</w:t>
      </w:r>
      <w:r w:rsidRPr="00A50800">
        <w:rPr>
          <w:lang w:val="sv-SE"/>
        </w:rPr>
        <w:br/>
      </w:r>
      <w:r w:rsidRPr="00437F01">
        <w:rPr>
          <w:i/>
        </w:rPr>
        <w:t xml:space="preserve">In the event that the Company carries out measures set forth in sections </w:t>
      </w:r>
      <w:r>
        <w:rPr>
          <w:i/>
          <w:szCs w:val="22"/>
        </w:rPr>
        <w:fldChar w:fldCharType="begin"/>
      </w:r>
      <w:r>
        <w:rPr>
          <w:i/>
        </w:rPr>
        <w:instrText xml:space="preserve"> REF _Ref419826047 \r \h </w:instrText>
      </w:r>
      <w:r>
        <w:rPr>
          <w:i/>
          <w:szCs w:val="22"/>
        </w:rPr>
      </w:r>
      <w:r>
        <w:rPr>
          <w:i/>
          <w:szCs w:val="22"/>
        </w:rPr>
        <w:fldChar w:fldCharType="separate"/>
      </w:r>
      <w:r>
        <w:rPr>
          <w:i/>
        </w:rPr>
        <w:t>8.2.2</w:t>
      </w:r>
      <w:r>
        <w:rPr>
          <w:i/>
          <w:szCs w:val="22"/>
        </w:rPr>
        <w:fldChar w:fldCharType="end"/>
      </w:r>
      <w:r w:rsidRPr="00437F01">
        <w:rPr>
          <w:i/>
        </w:rPr>
        <w:t>–</w:t>
      </w:r>
      <w:r>
        <w:rPr>
          <w:i/>
          <w:szCs w:val="22"/>
        </w:rPr>
        <w:fldChar w:fldCharType="begin"/>
      </w:r>
      <w:r>
        <w:rPr>
          <w:i/>
          <w:szCs w:val="22"/>
        </w:rPr>
        <w:instrText xml:space="preserve"> REF _Ref445997940 \r \h </w:instrText>
      </w:r>
      <w:r>
        <w:rPr>
          <w:i/>
          <w:szCs w:val="22"/>
        </w:rPr>
      </w:r>
      <w:r>
        <w:rPr>
          <w:i/>
          <w:szCs w:val="22"/>
        </w:rPr>
        <w:fldChar w:fldCharType="separate"/>
      </w:r>
      <w:r>
        <w:rPr>
          <w:i/>
          <w:szCs w:val="22"/>
        </w:rPr>
        <w:t>8.2.6</w:t>
      </w:r>
      <w:r>
        <w:rPr>
          <w:i/>
          <w:szCs w:val="22"/>
        </w:rPr>
        <w:fldChar w:fldCharType="end"/>
      </w:r>
      <w:r w:rsidRPr="00437F01">
        <w:rPr>
          <w:i/>
        </w:rPr>
        <w:t xml:space="preserve"> or sections </w:t>
      </w:r>
      <w:r>
        <w:rPr>
          <w:i/>
          <w:szCs w:val="22"/>
        </w:rPr>
        <w:fldChar w:fldCharType="begin"/>
      </w:r>
      <w:r>
        <w:rPr>
          <w:i/>
        </w:rPr>
        <w:instrText xml:space="preserve"> REF _Ref445999030 \r \h </w:instrText>
      </w:r>
      <w:r>
        <w:rPr>
          <w:i/>
          <w:szCs w:val="22"/>
        </w:rPr>
      </w:r>
      <w:r>
        <w:rPr>
          <w:i/>
          <w:szCs w:val="22"/>
        </w:rPr>
        <w:fldChar w:fldCharType="separate"/>
      </w:r>
      <w:r>
        <w:rPr>
          <w:i/>
        </w:rPr>
        <w:t>8.2.8</w:t>
      </w:r>
      <w:r>
        <w:rPr>
          <w:i/>
          <w:szCs w:val="22"/>
        </w:rPr>
        <w:fldChar w:fldCharType="end"/>
      </w:r>
      <w:r w:rsidRPr="00437F01">
        <w:rPr>
          <w:i/>
        </w:rPr>
        <w:t>–</w:t>
      </w:r>
      <w:r>
        <w:rPr>
          <w:i/>
          <w:szCs w:val="22"/>
        </w:rPr>
        <w:fldChar w:fldCharType="begin"/>
      </w:r>
      <w:r>
        <w:rPr>
          <w:i/>
          <w:szCs w:val="22"/>
        </w:rPr>
        <w:instrText xml:space="preserve"> REF _Ref445999037 \r \h </w:instrText>
      </w:r>
      <w:r>
        <w:rPr>
          <w:i/>
          <w:szCs w:val="22"/>
        </w:rPr>
      </w:r>
      <w:r>
        <w:rPr>
          <w:i/>
          <w:szCs w:val="22"/>
        </w:rPr>
        <w:fldChar w:fldCharType="separate"/>
      </w:r>
      <w:r>
        <w:rPr>
          <w:i/>
          <w:szCs w:val="22"/>
        </w:rPr>
        <w:t>8.2.11</w:t>
      </w:r>
      <w:r>
        <w:rPr>
          <w:i/>
          <w:szCs w:val="22"/>
        </w:rPr>
        <w:fldChar w:fldCharType="end"/>
      </w:r>
      <w:r w:rsidRPr="00437F01">
        <w:rPr>
          <w:i/>
        </w:rPr>
        <w:t xml:space="preserve"> above or other similar measure with similar effect and, if, according to the Company's opinion, the application of the intended recalculation formula with regard to the technical structure or for another reason, may not be possible or result that the economic compensation the </w:t>
      </w:r>
      <w:r>
        <w:rPr>
          <w:i/>
        </w:rPr>
        <w:t>Warrant Holder</w:t>
      </w:r>
      <w:r w:rsidRPr="00437F01">
        <w:rPr>
          <w:i/>
        </w:rPr>
        <w:t>s shall receive becoming unreasonable in relation to that of the shareholders, the Company shall make the recalculation of the Subscription Price as well as the number of Shares that each Warrant entitles to Subscribe for, for the purpose of the recalculation leading to a reasonable result.</w:t>
      </w:r>
    </w:p>
    <w:p w14:paraId="54E79E0E" w14:textId="77777777" w:rsidR="006350FE" w:rsidRPr="00A50800" w:rsidRDefault="006350FE" w:rsidP="006350FE">
      <w:pPr>
        <w:pStyle w:val="BodyText"/>
        <w:numPr>
          <w:ilvl w:val="2"/>
          <w:numId w:val="55"/>
        </w:numPr>
        <w:spacing w:after="0"/>
        <w:rPr>
          <w:b/>
          <w:lang w:val="sv-SE"/>
        </w:rPr>
      </w:pPr>
      <w:r w:rsidRPr="00A50800">
        <w:rPr>
          <w:b/>
          <w:lang w:val="sv-SE"/>
        </w:rPr>
        <w:t>Avrundning/</w:t>
      </w:r>
      <w:proofErr w:type="spellStart"/>
      <w:r w:rsidRPr="00A50800">
        <w:rPr>
          <w:b/>
          <w:i/>
          <w:lang w:val="sv-SE"/>
        </w:rPr>
        <w:t>Rounding</w:t>
      </w:r>
      <w:proofErr w:type="spellEnd"/>
    </w:p>
    <w:p w14:paraId="54A75AA6" w14:textId="77777777" w:rsidR="006350FE" w:rsidRPr="00437F01" w:rsidRDefault="006350FE" w:rsidP="006350FE">
      <w:pPr>
        <w:pStyle w:val="BodyText"/>
        <w:ind w:left="720"/>
      </w:pPr>
      <w:r w:rsidRPr="00EB7BAC">
        <w:rPr>
          <w:szCs w:val="22"/>
          <w:lang w:val="sv-SE"/>
        </w:rPr>
        <w:t>Vid</w:t>
      </w:r>
      <w:r w:rsidRPr="00A50800">
        <w:rPr>
          <w:lang w:val="sv-SE"/>
        </w:rPr>
        <w:t xml:space="preserve"> omräkning enligt ovan </w:t>
      </w:r>
      <w:r>
        <w:rPr>
          <w:lang w:val="sv-SE"/>
        </w:rPr>
        <w:t>ska</w:t>
      </w:r>
      <w:r w:rsidRPr="00A50800">
        <w:rPr>
          <w:lang w:val="sv-SE"/>
        </w:rPr>
        <w:t xml:space="preserve"> Teckningskursen avrundas till helt tiotal öre, varvid fem öre </w:t>
      </w:r>
      <w:r>
        <w:rPr>
          <w:lang w:val="sv-SE"/>
        </w:rPr>
        <w:t>ska</w:t>
      </w:r>
      <w:r w:rsidRPr="00A50800">
        <w:rPr>
          <w:lang w:val="sv-SE"/>
        </w:rPr>
        <w:t xml:space="preserve"> avrundas uppåt, och antalet Aktier avrundas till två decimaler. Endast hela Aktier kan tecknas. För det fall Teckningskursen är bestämd i annan valuta än svenska kronor </w:t>
      </w:r>
      <w:r>
        <w:rPr>
          <w:lang w:val="sv-SE"/>
        </w:rPr>
        <w:t>ska</w:t>
      </w:r>
      <w:r w:rsidRPr="00A50800">
        <w:rPr>
          <w:lang w:val="sv-SE"/>
        </w:rPr>
        <w:t xml:space="preserve">, vid omräkningar enligt ovan, Teckningskursen </w:t>
      </w:r>
      <w:proofErr w:type="gramStart"/>
      <w:r w:rsidRPr="00A50800">
        <w:rPr>
          <w:lang w:val="sv-SE"/>
        </w:rPr>
        <w:t>istället</w:t>
      </w:r>
      <w:proofErr w:type="gramEnd"/>
      <w:r w:rsidRPr="00A50800">
        <w:rPr>
          <w:lang w:val="sv-SE"/>
        </w:rPr>
        <w:t xml:space="preserve"> avrundas till två decimaler.</w:t>
      </w:r>
      <w:r w:rsidRPr="00A50800">
        <w:rPr>
          <w:lang w:val="sv-SE"/>
        </w:rPr>
        <w:br/>
      </w:r>
      <w:r w:rsidRPr="00437F01">
        <w:rPr>
          <w:i/>
        </w:rPr>
        <w:t xml:space="preserve">In conjunction with recalculations in accordance with the above, the Subscription Price shall be rounded to the nearest SEK 0.10, whereupon SEK 0.05 shall be rounded upwards and the number of Shares rounded off to two decimals. Only whole Shares may be Subscribed for. </w:t>
      </w:r>
      <w:proofErr w:type="gramStart"/>
      <w:r w:rsidRPr="00437F01">
        <w:rPr>
          <w:i/>
        </w:rPr>
        <w:t>In the event that</w:t>
      </w:r>
      <w:proofErr w:type="gramEnd"/>
      <w:r w:rsidRPr="00437F01">
        <w:rPr>
          <w:i/>
        </w:rPr>
        <w:t xml:space="preserve"> the Subscription Price is determined in another currency than SEK, the Subscription Price shall, upon recalculation in accordance with the above, be rounded off to two decimals.</w:t>
      </w:r>
    </w:p>
    <w:p w14:paraId="334D6ACC" w14:textId="77777777" w:rsidR="006350FE" w:rsidRPr="00A50800" w:rsidRDefault="006350FE" w:rsidP="006350FE">
      <w:pPr>
        <w:pStyle w:val="BodyText"/>
        <w:numPr>
          <w:ilvl w:val="2"/>
          <w:numId w:val="55"/>
        </w:numPr>
        <w:spacing w:after="0"/>
        <w:rPr>
          <w:b/>
          <w:lang w:val="sv-SE"/>
        </w:rPr>
      </w:pPr>
      <w:r w:rsidRPr="00A50800">
        <w:rPr>
          <w:b/>
          <w:lang w:val="sv-SE"/>
        </w:rPr>
        <w:t>Likvidation/</w:t>
      </w:r>
      <w:proofErr w:type="spellStart"/>
      <w:r w:rsidRPr="00A50800">
        <w:rPr>
          <w:b/>
          <w:i/>
          <w:lang w:val="sv-SE"/>
        </w:rPr>
        <w:t>Liquidation</w:t>
      </w:r>
      <w:proofErr w:type="spellEnd"/>
    </w:p>
    <w:p w14:paraId="3C06DB71" w14:textId="77777777" w:rsidR="006350FE" w:rsidRPr="00437F01" w:rsidRDefault="006350FE" w:rsidP="006350FE">
      <w:pPr>
        <w:pStyle w:val="BodyText"/>
        <w:ind w:left="720"/>
      </w:pPr>
      <w:r w:rsidRPr="00EB7BAC">
        <w:rPr>
          <w:szCs w:val="22"/>
          <w:lang w:val="sv-SE"/>
        </w:rPr>
        <w:t>Beslutas</w:t>
      </w:r>
      <w:r w:rsidRPr="00A50800">
        <w:rPr>
          <w:lang w:val="sv-SE"/>
        </w:rPr>
        <w:t xml:space="preserve"> att Bolaget </w:t>
      </w:r>
      <w:r>
        <w:rPr>
          <w:lang w:val="sv-SE"/>
        </w:rPr>
        <w:t>ska</w:t>
      </w:r>
      <w:r w:rsidRPr="00A50800">
        <w:rPr>
          <w:lang w:val="sv-SE"/>
        </w:rPr>
        <w:t xml:space="preserve"> träda i likvidation enligt 25 kap. </w:t>
      </w:r>
      <w:r>
        <w:rPr>
          <w:lang w:val="sv-SE"/>
        </w:rPr>
        <w:t>A</w:t>
      </w:r>
      <w:r w:rsidRPr="00A50800">
        <w:rPr>
          <w:lang w:val="sv-SE"/>
        </w:rPr>
        <w:t>ktiebolagslagen får, oavsett likvidationsgrunden, anmälan om Teckning ej därefter ske. Rätten att göra anmälan om Teckning upphör i och med bolagsstämmans likvidationsbeslut, oavsett sålunda att detta ej må ha vunnit laga kraft.</w:t>
      </w:r>
      <w:r w:rsidRPr="00A50800">
        <w:rPr>
          <w:lang w:val="sv-SE"/>
        </w:rPr>
        <w:br/>
      </w:r>
      <w:r w:rsidRPr="00437F01">
        <w:rPr>
          <w:i/>
        </w:rPr>
        <w:t xml:space="preserve">In the event it is resolved that the Company shall enter into liquidation according to Ch. 25 of the </w:t>
      </w:r>
      <w:r>
        <w:rPr>
          <w:i/>
        </w:rPr>
        <w:t xml:space="preserve">Swedish </w:t>
      </w:r>
      <w:r w:rsidRPr="00437F01">
        <w:rPr>
          <w:i/>
        </w:rPr>
        <w:t xml:space="preserve">Companies Act, notice for Subscription may not thereafter be made, regardless of the reasons for liquidation. The right to make notice for Subscription shall terminate upon the resolution to place the Company in liquidation regardless of whether such resolution has </w:t>
      </w:r>
      <w:proofErr w:type="gramStart"/>
      <w:r w:rsidRPr="00437F01">
        <w:rPr>
          <w:i/>
        </w:rPr>
        <w:t>entered into</w:t>
      </w:r>
      <w:proofErr w:type="gramEnd"/>
      <w:r w:rsidRPr="00437F01">
        <w:rPr>
          <w:i/>
        </w:rPr>
        <w:t xml:space="preserve"> effect.</w:t>
      </w:r>
    </w:p>
    <w:p w14:paraId="6E1D54E4" w14:textId="77777777" w:rsidR="006350FE" w:rsidRPr="00437F01" w:rsidRDefault="006350FE" w:rsidP="006350FE">
      <w:pPr>
        <w:pStyle w:val="BodyText"/>
        <w:ind w:left="720"/>
      </w:pPr>
      <w:r w:rsidRPr="00EB7BAC">
        <w:rPr>
          <w:szCs w:val="22"/>
          <w:lang w:val="sv-SE"/>
        </w:rPr>
        <w:t>Senast</w:t>
      </w:r>
      <w:r w:rsidRPr="00A50800">
        <w:rPr>
          <w:lang w:val="sv-SE"/>
        </w:rPr>
        <w:t xml:space="preserve"> två månader innan bolagsstämman tar ställning till fråga om Bolaget </w:t>
      </w:r>
      <w:r>
        <w:rPr>
          <w:lang w:val="sv-SE"/>
        </w:rPr>
        <w:t>ska</w:t>
      </w:r>
      <w:r w:rsidRPr="00A50800">
        <w:rPr>
          <w:lang w:val="sv-SE"/>
        </w:rPr>
        <w:t xml:space="preserve"> träda i frivillig likvidation enligt 25 kap. 1 § </w:t>
      </w:r>
      <w:r>
        <w:rPr>
          <w:lang w:val="sv-SE"/>
        </w:rPr>
        <w:t>A</w:t>
      </w:r>
      <w:r w:rsidRPr="00A50800">
        <w:rPr>
          <w:lang w:val="sv-SE"/>
        </w:rPr>
        <w:t xml:space="preserve">ktiebolagslagen, </w:t>
      </w:r>
      <w:r>
        <w:rPr>
          <w:lang w:val="sv-SE"/>
        </w:rPr>
        <w:t>ska</w:t>
      </w:r>
      <w:r w:rsidRPr="00A50800">
        <w:rPr>
          <w:lang w:val="sv-SE"/>
        </w:rPr>
        <w:t xml:space="preserve"> </w:t>
      </w:r>
      <w:r>
        <w:rPr>
          <w:lang w:val="sv-SE"/>
        </w:rPr>
        <w:t>Optionsinnehavarna</w:t>
      </w:r>
      <w:r w:rsidRPr="00A50800">
        <w:rPr>
          <w:lang w:val="sv-SE"/>
        </w:rPr>
        <w:t xml:space="preserve"> genom meddelande enligt punkt </w:t>
      </w:r>
      <w:r w:rsidRPr="00437F01">
        <w:fldChar w:fldCharType="begin"/>
      </w:r>
      <w:r w:rsidRPr="00A50800">
        <w:rPr>
          <w:lang w:val="sv-SE"/>
        </w:rPr>
        <w:instrText xml:space="preserve"> REF _Ref145593081 \r \h </w:instrText>
      </w:r>
      <w:r w:rsidRPr="00437F01">
        <w:fldChar w:fldCharType="separate"/>
      </w:r>
      <w:r w:rsidRPr="00A50800">
        <w:rPr>
          <w:lang w:val="sv-SE"/>
        </w:rPr>
        <w:t>11</w:t>
      </w:r>
      <w:r w:rsidRPr="00437F01">
        <w:fldChar w:fldCharType="end"/>
      </w:r>
      <w:r w:rsidRPr="00A50800">
        <w:rPr>
          <w:lang w:val="sv-SE"/>
        </w:rPr>
        <w:t xml:space="preserve"> nedan underrättas om den avsedda likvidationen. I meddelandet </w:t>
      </w:r>
      <w:r>
        <w:rPr>
          <w:lang w:val="sv-SE"/>
        </w:rPr>
        <w:t>ska</w:t>
      </w:r>
      <w:r w:rsidRPr="00A50800">
        <w:rPr>
          <w:lang w:val="sv-SE"/>
        </w:rPr>
        <w:t xml:space="preserve"> intagas en erinran om att anmälan om Teckning ej får ske, sedan bolagsstämman fattat </w:t>
      </w:r>
      <w:r w:rsidRPr="00A50800">
        <w:rPr>
          <w:lang w:val="sv-SE"/>
        </w:rPr>
        <w:lastRenderedPageBreak/>
        <w:t>beslut om likvidation.</w:t>
      </w:r>
      <w:r w:rsidRPr="00A50800">
        <w:rPr>
          <w:lang w:val="sv-SE"/>
        </w:rPr>
        <w:br/>
      </w:r>
      <w:r w:rsidRPr="00437F01">
        <w:rPr>
          <w:i/>
        </w:rPr>
        <w:t>No later than two months prior to the determination by the shareholders' meeting as to whether the Company shall be placed into voluntary liquidation according to Ch. 25</w:t>
      </w:r>
      <w:r>
        <w:rPr>
          <w:i/>
        </w:rPr>
        <w:t xml:space="preserve"> § </w:t>
      </w:r>
      <w:r w:rsidRPr="00437F01">
        <w:rPr>
          <w:i/>
        </w:rPr>
        <w:t xml:space="preserve">1 of the </w:t>
      </w:r>
      <w:r>
        <w:rPr>
          <w:i/>
        </w:rPr>
        <w:t xml:space="preserve">Swedish </w:t>
      </w:r>
      <w:r w:rsidRPr="00437F01">
        <w:rPr>
          <w:i/>
        </w:rPr>
        <w:t xml:space="preserve">Companies Act, notice shall be given to the </w:t>
      </w:r>
      <w:r>
        <w:rPr>
          <w:i/>
        </w:rPr>
        <w:t>Warrant Holder</w:t>
      </w:r>
      <w:r w:rsidRPr="00437F01">
        <w:rPr>
          <w:i/>
        </w:rPr>
        <w:t xml:space="preserve">s in accordance with section </w:t>
      </w:r>
      <w:r w:rsidRPr="00437F01">
        <w:rPr>
          <w:i/>
        </w:rPr>
        <w:fldChar w:fldCharType="begin"/>
      </w:r>
      <w:r w:rsidRPr="00437F01">
        <w:rPr>
          <w:i/>
        </w:rPr>
        <w:instrText xml:space="preserve"> REF _Ref145593081 \r \h </w:instrText>
      </w:r>
      <w:r w:rsidRPr="00437F01">
        <w:rPr>
          <w:i/>
        </w:rPr>
      </w:r>
      <w:r w:rsidRPr="00437F01">
        <w:rPr>
          <w:i/>
        </w:rPr>
        <w:fldChar w:fldCharType="separate"/>
      </w:r>
      <w:r w:rsidRPr="00437F01">
        <w:rPr>
          <w:i/>
        </w:rPr>
        <w:t>11</w:t>
      </w:r>
      <w:r w:rsidRPr="00437F01">
        <w:rPr>
          <w:i/>
        </w:rPr>
        <w:fldChar w:fldCharType="end"/>
      </w:r>
      <w:r w:rsidRPr="00437F01">
        <w:rPr>
          <w:i/>
        </w:rPr>
        <w:t xml:space="preserve"> below in respect of the intended liquidation. The notice shall state that notice of Subscription may not be made following the adoption of a resolution by the shareholders' meeting to place the Company in liquidation.</w:t>
      </w:r>
    </w:p>
    <w:p w14:paraId="764E9CAC" w14:textId="77777777" w:rsidR="006350FE" w:rsidRPr="00437F01" w:rsidRDefault="006350FE" w:rsidP="006350FE">
      <w:pPr>
        <w:pStyle w:val="BodyText"/>
        <w:ind w:left="720"/>
      </w:pPr>
      <w:r w:rsidRPr="00EB7BAC">
        <w:rPr>
          <w:szCs w:val="22"/>
          <w:lang w:val="sv-SE"/>
        </w:rPr>
        <w:t>Skulle</w:t>
      </w:r>
      <w:r w:rsidRPr="00A50800">
        <w:rPr>
          <w:lang w:val="sv-SE"/>
        </w:rPr>
        <w:t xml:space="preserve"> Bolaget lämna meddelande om avsedd likvidation enligt ovan, </w:t>
      </w:r>
      <w:r>
        <w:rPr>
          <w:lang w:val="sv-SE"/>
        </w:rPr>
        <w:t>ska</w:t>
      </w:r>
      <w:r w:rsidRPr="00A50800">
        <w:rPr>
          <w:lang w:val="sv-SE"/>
        </w:rPr>
        <w:t xml:space="preserve"> </w:t>
      </w:r>
      <w:r>
        <w:rPr>
          <w:lang w:val="sv-SE"/>
        </w:rPr>
        <w:t>Optionsinnehavare</w:t>
      </w:r>
      <w:r w:rsidRPr="00A50800">
        <w:rPr>
          <w:lang w:val="sv-SE"/>
        </w:rPr>
        <w:t xml:space="preserve"> – oavsett vad som i punkt </w:t>
      </w:r>
      <w:r>
        <w:rPr>
          <w:lang w:val="sv-SE"/>
        </w:rPr>
        <w:fldChar w:fldCharType="begin"/>
      </w:r>
      <w:r>
        <w:rPr>
          <w:lang w:val="sv-SE"/>
        </w:rPr>
        <w:instrText xml:space="preserve"> REF _Ref167350058 \r \h </w:instrText>
      </w:r>
      <w:r>
        <w:rPr>
          <w:lang w:val="sv-SE"/>
        </w:rPr>
      </w:r>
      <w:r>
        <w:rPr>
          <w:lang w:val="sv-SE"/>
        </w:rPr>
        <w:fldChar w:fldCharType="separate"/>
      </w:r>
      <w:r>
        <w:rPr>
          <w:lang w:val="sv-SE"/>
        </w:rPr>
        <w:t>4</w:t>
      </w:r>
      <w:r>
        <w:rPr>
          <w:lang w:val="sv-SE"/>
        </w:rPr>
        <w:fldChar w:fldCharType="end"/>
      </w:r>
      <w:r w:rsidRPr="00A50800">
        <w:rPr>
          <w:lang w:val="sv-SE"/>
        </w:rPr>
        <w:t xml:space="preserve"> ovan sägs om tidigaste tidpunkt för anmälan om Teckning – äga rätt att göra anmälan om Teckning från den dag då meddelandet lämnats, förutsatt att Teckning kan verkställas senast på tionde kalenderdagen före den bolagsstämma vid vilken frågan om Bolagets likvidation </w:t>
      </w:r>
      <w:r>
        <w:rPr>
          <w:lang w:val="sv-SE"/>
        </w:rPr>
        <w:t>ska</w:t>
      </w:r>
      <w:r w:rsidRPr="00A50800">
        <w:rPr>
          <w:lang w:val="sv-SE"/>
        </w:rPr>
        <w:t xml:space="preserve"> behandlas.</w:t>
      </w:r>
      <w:r w:rsidRPr="00A50800">
        <w:rPr>
          <w:lang w:val="sv-SE"/>
        </w:rPr>
        <w:br/>
      </w:r>
      <w:r w:rsidRPr="00437F01">
        <w:rPr>
          <w:i/>
        </w:rPr>
        <w:t xml:space="preserve">In the event the Company gives notice of an intended liquidation in accordance with the above, each </w:t>
      </w:r>
      <w:r>
        <w:rPr>
          <w:i/>
        </w:rPr>
        <w:t>Warrant Holder</w:t>
      </w:r>
      <w:r w:rsidRPr="00437F01">
        <w:rPr>
          <w:i/>
        </w:rPr>
        <w:t xml:space="preserve"> – irrespective of what is set forth in section </w:t>
      </w:r>
      <w:r>
        <w:rPr>
          <w:i/>
        </w:rPr>
        <w:fldChar w:fldCharType="begin"/>
      </w:r>
      <w:r>
        <w:rPr>
          <w:i/>
        </w:rPr>
        <w:instrText xml:space="preserve"> REF _Ref167350058 \r \h </w:instrText>
      </w:r>
      <w:r>
        <w:rPr>
          <w:i/>
        </w:rPr>
      </w:r>
      <w:r>
        <w:rPr>
          <w:i/>
        </w:rPr>
        <w:fldChar w:fldCharType="separate"/>
      </w:r>
      <w:r>
        <w:rPr>
          <w:i/>
        </w:rPr>
        <w:t>4</w:t>
      </w:r>
      <w:r>
        <w:rPr>
          <w:i/>
        </w:rPr>
        <w:fldChar w:fldCharType="end"/>
      </w:r>
      <w:r w:rsidRPr="00437F01">
        <w:rPr>
          <w:i/>
        </w:rPr>
        <w:t xml:space="preserve"> regarding the earliest time at which notice for Subscriptions may be made – shall be entitled to make a notice for Subscription from the day on which the notice is given, provided it is possible to effect Subscription not later than the tenth calendar day prior to the shareholders' meeting at which the issue of the Company's liquidation shall be addressed.</w:t>
      </w:r>
    </w:p>
    <w:p w14:paraId="40DD576A" w14:textId="77777777" w:rsidR="006350FE" w:rsidRPr="00A50800" w:rsidRDefault="006350FE" w:rsidP="006350FE">
      <w:pPr>
        <w:pStyle w:val="BodyText"/>
        <w:numPr>
          <w:ilvl w:val="2"/>
          <w:numId w:val="55"/>
        </w:numPr>
        <w:spacing w:after="0"/>
        <w:rPr>
          <w:rFonts w:eastAsia="Times New Roman"/>
          <w:lang w:val="sv-SE"/>
        </w:rPr>
      </w:pPr>
      <w:r w:rsidRPr="00F00BEF">
        <w:rPr>
          <w:b/>
          <w:lang w:val="sv-SE"/>
        </w:rPr>
        <w:t>Fusion</w:t>
      </w:r>
      <w:r w:rsidRPr="00A50800">
        <w:rPr>
          <w:rStyle w:val="Heading3Char"/>
          <w:b/>
          <w:lang w:val="sv-SE"/>
        </w:rPr>
        <w:t xml:space="preserve"> och delning/</w:t>
      </w:r>
      <w:r w:rsidRPr="00A50800">
        <w:rPr>
          <w:rStyle w:val="Heading3Char"/>
          <w:b/>
          <w:i/>
          <w:lang w:val="sv-SE"/>
        </w:rPr>
        <w:t>Merger and de-</w:t>
      </w:r>
      <w:proofErr w:type="spellStart"/>
      <w:r w:rsidRPr="00A50800">
        <w:rPr>
          <w:rStyle w:val="Heading3Char"/>
          <w:b/>
          <w:i/>
          <w:lang w:val="sv-SE"/>
        </w:rPr>
        <w:t>merger</w:t>
      </w:r>
      <w:proofErr w:type="spellEnd"/>
    </w:p>
    <w:p w14:paraId="066F4AC3" w14:textId="77777777" w:rsidR="006350FE" w:rsidRPr="00437F01" w:rsidRDefault="006350FE" w:rsidP="006350FE">
      <w:pPr>
        <w:pStyle w:val="BodyText"/>
        <w:ind w:left="720"/>
      </w:pPr>
      <w:r w:rsidRPr="00EB7BAC">
        <w:rPr>
          <w:szCs w:val="22"/>
          <w:lang w:val="sv-SE"/>
        </w:rPr>
        <w:t>Skulle</w:t>
      </w:r>
      <w:r w:rsidRPr="00A50800">
        <w:rPr>
          <w:lang w:val="sv-SE"/>
        </w:rPr>
        <w:t xml:space="preserve"> bolagsstämman, enligt </w:t>
      </w:r>
      <w:r w:rsidRPr="006B6AC0">
        <w:rPr>
          <w:u w:val="single"/>
          <w:lang w:val="sv-SE"/>
        </w:rPr>
        <w:t>23 kap. 15 § Aktiebolagslagen, godkänna fusionsplan</w:t>
      </w:r>
      <w:r w:rsidRPr="00A50800">
        <w:rPr>
          <w:lang w:val="sv-SE"/>
        </w:rPr>
        <w:t xml:space="preserve"> varigenom Bolaget </w:t>
      </w:r>
      <w:r>
        <w:rPr>
          <w:lang w:val="sv-SE"/>
        </w:rPr>
        <w:t>ska</w:t>
      </w:r>
      <w:r w:rsidRPr="00A50800">
        <w:rPr>
          <w:lang w:val="sv-SE"/>
        </w:rPr>
        <w:t xml:space="preserve"> uppgå i annat bolag, eller om bolagsstämman, enligt </w:t>
      </w:r>
      <w:r w:rsidRPr="006B6AC0">
        <w:rPr>
          <w:u w:val="single"/>
          <w:lang w:val="sv-SE"/>
        </w:rPr>
        <w:t>24 kap. 17 § Aktiebolagslagen, skulle godkänna delningsplan</w:t>
      </w:r>
      <w:r w:rsidRPr="00A50800">
        <w:rPr>
          <w:lang w:val="sv-SE"/>
        </w:rPr>
        <w:t xml:space="preserve"> varigenom Bolaget </w:t>
      </w:r>
      <w:r>
        <w:rPr>
          <w:lang w:val="sv-SE"/>
        </w:rPr>
        <w:t>ska</w:t>
      </w:r>
      <w:r w:rsidRPr="00A50800">
        <w:rPr>
          <w:lang w:val="sv-SE"/>
        </w:rPr>
        <w:t xml:space="preserve"> upplösas utan likvidation, får anmälan om Teckning därefter ej ske.</w:t>
      </w:r>
      <w:r w:rsidRPr="00E94CF0">
        <w:rPr>
          <w:lang w:val="sv-SE"/>
        </w:rPr>
        <w:br/>
      </w:r>
      <w:r w:rsidRPr="00437F01">
        <w:rPr>
          <w:i/>
        </w:rPr>
        <w:t xml:space="preserve">In the event the shareholders' meeting </w:t>
      </w:r>
      <w:r w:rsidRPr="006B6AC0">
        <w:rPr>
          <w:i/>
          <w:u w:val="single"/>
        </w:rPr>
        <w:t>approves a merger plan, in accordance with Ch. 23 § 15 of the Swedish Companies Act</w:t>
      </w:r>
      <w:r w:rsidRPr="00437F01">
        <w:rPr>
          <w:i/>
        </w:rPr>
        <w:t xml:space="preserve">, pursuant to which the Company is to be merged into another company, or in the event the shareholders' meeting </w:t>
      </w:r>
      <w:r w:rsidRPr="006B6AC0">
        <w:rPr>
          <w:i/>
          <w:u w:val="single"/>
        </w:rPr>
        <w:t>approves a demerger plan, in accordance with Ch. 24 § 17 of the Swedish Companies Act</w:t>
      </w:r>
      <w:r w:rsidRPr="00437F01">
        <w:rPr>
          <w:i/>
        </w:rPr>
        <w:t>, pursuant to which the Company will be dissolved without liquidation, notice for Subscription may not thereafter be made.</w:t>
      </w:r>
    </w:p>
    <w:p w14:paraId="7693D8BA" w14:textId="77777777" w:rsidR="006350FE" w:rsidRPr="00437F01" w:rsidRDefault="006350FE" w:rsidP="006350FE">
      <w:pPr>
        <w:pStyle w:val="BodyText"/>
        <w:ind w:left="720"/>
      </w:pPr>
      <w:r w:rsidRPr="00A50800">
        <w:rPr>
          <w:lang w:val="sv-SE"/>
        </w:rPr>
        <w:t xml:space="preserve">Senast två månader innan Bolaget tar slutlig ställning till frågan om fusion eller delning enligt ovan, </w:t>
      </w:r>
      <w:r>
        <w:rPr>
          <w:lang w:val="sv-SE"/>
        </w:rPr>
        <w:t>ska</w:t>
      </w:r>
      <w:r w:rsidRPr="00A50800">
        <w:rPr>
          <w:lang w:val="sv-SE"/>
        </w:rPr>
        <w:t xml:space="preserve"> </w:t>
      </w:r>
      <w:r>
        <w:rPr>
          <w:lang w:val="sv-SE"/>
        </w:rPr>
        <w:t>Optionsinnehavarna</w:t>
      </w:r>
      <w:r w:rsidRPr="00A50800">
        <w:rPr>
          <w:lang w:val="sv-SE"/>
        </w:rPr>
        <w:t xml:space="preserve"> genom meddelande enligt punkt </w:t>
      </w:r>
      <w:r>
        <w:rPr>
          <w:lang w:val="sv-SE"/>
        </w:rPr>
        <w:fldChar w:fldCharType="begin"/>
      </w:r>
      <w:r>
        <w:rPr>
          <w:lang w:val="sv-SE"/>
        </w:rPr>
        <w:instrText xml:space="preserve"> REF _Ref145593081 \r \h </w:instrText>
      </w:r>
      <w:r>
        <w:rPr>
          <w:lang w:val="sv-SE"/>
        </w:rPr>
      </w:r>
      <w:r>
        <w:rPr>
          <w:lang w:val="sv-SE"/>
        </w:rPr>
        <w:fldChar w:fldCharType="separate"/>
      </w:r>
      <w:r>
        <w:rPr>
          <w:lang w:val="sv-SE"/>
        </w:rPr>
        <w:t>11</w:t>
      </w:r>
      <w:r>
        <w:rPr>
          <w:lang w:val="sv-SE"/>
        </w:rPr>
        <w:fldChar w:fldCharType="end"/>
      </w:r>
      <w:r w:rsidRPr="00A50800">
        <w:rPr>
          <w:lang w:val="sv-SE"/>
        </w:rPr>
        <w:t xml:space="preserve"> nedan underrättas om fusions- eller delningsavsikten. I meddelandet </w:t>
      </w:r>
      <w:r>
        <w:rPr>
          <w:lang w:val="sv-SE"/>
        </w:rPr>
        <w:t>ska</w:t>
      </w:r>
      <w:r w:rsidRPr="00A50800">
        <w:rPr>
          <w:lang w:val="sv-SE"/>
        </w:rPr>
        <w:t xml:space="preserve"> en redogörelse lämnas för det huvudsakliga innehållet i den avsedda fusionsplanen eller delningsplanen samt </w:t>
      </w:r>
      <w:r>
        <w:rPr>
          <w:lang w:val="sv-SE"/>
        </w:rPr>
        <w:t>ska</w:t>
      </w:r>
      <w:r w:rsidRPr="00A50800">
        <w:rPr>
          <w:lang w:val="sv-SE"/>
        </w:rPr>
        <w:t xml:space="preserve"> </w:t>
      </w:r>
      <w:r>
        <w:rPr>
          <w:lang w:val="sv-SE"/>
        </w:rPr>
        <w:t>Optionsinnehavarna</w:t>
      </w:r>
      <w:r w:rsidRPr="00A50800">
        <w:rPr>
          <w:lang w:val="sv-SE"/>
        </w:rPr>
        <w:t xml:space="preserve"> erinras om att anmälan om Teckning ej får ske, sedan slutligt beslut fattats om fusion eller delning.</w:t>
      </w:r>
      <w:r w:rsidRPr="00A50800">
        <w:rPr>
          <w:lang w:val="sv-SE"/>
        </w:rPr>
        <w:br/>
      </w:r>
      <w:r w:rsidRPr="00437F01">
        <w:rPr>
          <w:i/>
        </w:rPr>
        <w:t xml:space="preserve">No later than two months prior to final determination by the Company in respect of a merger or demerger as set forth above, notice shall be given to </w:t>
      </w:r>
      <w:r>
        <w:rPr>
          <w:i/>
        </w:rPr>
        <w:t>Warrant Holder</w:t>
      </w:r>
      <w:r w:rsidRPr="00437F01">
        <w:rPr>
          <w:i/>
        </w:rPr>
        <w:t xml:space="preserve">s in accordance with section </w:t>
      </w:r>
      <w:r>
        <w:rPr>
          <w:i/>
        </w:rPr>
        <w:fldChar w:fldCharType="begin"/>
      </w:r>
      <w:r>
        <w:rPr>
          <w:i/>
        </w:rPr>
        <w:instrText xml:space="preserve"> REF _Ref145593081 \r \h </w:instrText>
      </w:r>
      <w:r>
        <w:rPr>
          <w:i/>
        </w:rPr>
      </w:r>
      <w:r>
        <w:rPr>
          <w:i/>
        </w:rPr>
        <w:fldChar w:fldCharType="separate"/>
      </w:r>
      <w:r>
        <w:rPr>
          <w:i/>
        </w:rPr>
        <w:t>11</w:t>
      </w:r>
      <w:r>
        <w:rPr>
          <w:i/>
        </w:rPr>
        <w:fldChar w:fldCharType="end"/>
      </w:r>
      <w:r w:rsidRPr="00437F01">
        <w:rPr>
          <w:i/>
        </w:rPr>
        <w:t xml:space="preserve"> below of the intended merger or demerger. The notice shall set forth the principal contents of the intended merger plan or demerger plan and each </w:t>
      </w:r>
      <w:r>
        <w:rPr>
          <w:i/>
        </w:rPr>
        <w:t>Warrant Holder</w:t>
      </w:r>
      <w:r w:rsidRPr="00437F01">
        <w:rPr>
          <w:i/>
        </w:rPr>
        <w:t xml:space="preserve"> shall be notified that Subscription may not be made following a final </w:t>
      </w:r>
      <w:r>
        <w:rPr>
          <w:i/>
        </w:rPr>
        <w:t>resolution</w:t>
      </w:r>
      <w:r w:rsidRPr="00437F01">
        <w:rPr>
          <w:i/>
        </w:rPr>
        <w:t xml:space="preserve"> regarding the merger or demerger.</w:t>
      </w:r>
    </w:p>
    <w:p w14:paraId="20EE5920" w14:textId="77777777" w:rsidR="006350FE" w:rsidRDefault="006350FE" w:rsidP="006350FE">
      <w:pPr>
        <w:pStyle w:val="BodyText"/>
        <w:ind w:left="720"/>
        <w:rPr>
          <w:i/>
        </w:rPr>
      </w:pPr>
      <w:r w:rsidRPr="00A50800">
        <w:rPr>
          <w:lang w:val="sv-SE"/>
        </w:rPr>
        <w:t xml:space="preserve">Om Bolaget lämnar meddelande om planerad fusion eller delning enligt ovan, </w:t>
      </w:r>
      <w:r>
        <w:rPr>
          <w:lang w:val="sv-SE"/>
        </w:rPr>
        <w:t>ska</w:t>
      </w:r>
      <w:r w:rsidRPr="00A50800">
        <w:rPr>
          <w:lang w:val="sv-SE"/>
        </w:rPr>
        <w:t xml:space="preserve"> </w:t>
      </w:r>
      <w:r>
        <w:rPr>
          <w:lang w:val="sv-SE"/>
        </w:rPr>
        <w:t>Optionsinnehavare</w:t>
      </w:r>
      <w:r w:rsidRPr="00A50800">
        <w:rPr>
          <w:lang w:val="sv-SE"/>
        </w:rPr>
        <w:t xml:space="preserve"> – oavsett vad som i punkt </w:t>
      </w:r>
      <w:r>
        <w:rPr>
          <w:lang w:val="sv-SE"/>
        </w:rPr>
        <w:fldChar w:fldCharType="begin"/>
      </w:r>
      <w:r>
        <w:rPr>
          <w:lang w:val="sv-SE"/>
        </w:rPr>
        <w:instrText xml:space="preserve"> REF _Ref167350058 \r \h </w:instrText>
      </w:r>
      <w:r>
        <w:rPr>
          <w:lang w:val="sv-SE"/>
        </w:rPr>
      </w:r>
      <w:r>
        <w:rPr>
          <w:lang w:val="sv-SE"/>
        </w:rPr>
        <w:fldChar w:fldCharType="separate"/>
      </w:r>
      <w:r>
        <w:rPr>
          <w:lang w:val="sv-SE"/>
        </w:rPr>
        <w:t>4</w:t>
      </w:r>
      <w:r>
        <w:rPr>
          <w:lang w:val="sv-SE"/>
        </w:rPr>
        <w:fldChar w:fldCharType="end"/>
      </w:r>
      <w:r w:rsidRPr="00A50800">
        <w:rPr>
          <w:lang w:val="sv-SE"/>
        </w:rPr>
        <w:t xml:space="preserve"> ovan sägs om tidigaste tidpunkt för anmälan om Teckning – äga rätt att påkalla Teckning från den dag då meddelandet lämnats om fusions- eller delningsavsikten, förutsatt att Teckning kan verkställas senast på tionde kalenderdagen före den bolagsstämma vid vilken fusionsplanen eller delningsplanen </w:t>
      </w:r>
      <w:r>
        <w:rPr>
          <w:lang w:val="sv-SE"/>
        </w:rPr>
        <w:t>ska</w:t>
      </w:r>
      <w:r w:rsidRPr="00A50800">
        <w:rPr>
          <w:lang w:val="sv-SE"/>
        </w:rPr>
        <w:t xml:space="preserve"> godkännas.</w:t>
      </w:r>
      <w:r w:rsidRPr="00A50800">
        <w:rPr>
          <w:lang w:val="sv-SE"/>
        </w:rPr>
        <w:br/>
      </w:r>
      <w:r w:rsidRPr="00437F01">
        <w:rPr>
          <w:i/>
        </w:rPr>
        <w:t xml:space="preserve">In the event the Company gives notice regarding a intended merger or demerger in accordance with the above, each </w:t>
      </w:r>
      <w:r>
        <w:rPr>
          <w:i/>
        </w:rPr>
        <w:t>Warrant Holder</w:t>
      </w:r>
      <w:r w:rsidRPr="00437F01">
        <w:rPr>
          <w:i/>
        </w:rPr>
        <w:t xml:space="preserve"> – irrespective of what is set forth in section </w:t>
      </w:r>
      <w:r>
        <w:rPr>
          <w:i/>
        </w:rPr>
        <w:fldChar w:fldCharType="begin"/>
      </w:r>
      <w:r>
        <w:rPr>
          <w:i/>
        </w:rPr>
        <w:instrText xml:space="preserve"> REF _Ref167350058 \r \h </w:instrText>
      </w:r>
      <w:r>
        <w:rPr>
          <w:i/>
        </w:rPr>
      </w:r>
      <w:r>
        <w:rPr>
          <w:i/>
        </w:rPr>
        <w:fldChar w:fldCharType="separate"/>
      </w:r>
      <w:r>
        <w:rPr>
          <w:i/>
        </w:rPr>
        <w:t>4</w:t>
      </w:r>
      <w:r>
        <w:rPr>
          <w:i/>
        </w:rPr>
        <w:fldChar w:fldCharType="end"/>
      </w:r>
      <w:r w:rsidRPr="00437F01">
        <w:rPr>
          <w:i/>
        </w:rPr>
        <w:t xml:space="preserve"> above regarding the earliest time at which notice for Subscription may be made – shall be entitled to make a notice for Subscription from the date on which notice is given, </w:t>
      </w:r>
      <w:r w:rsidRPr="00437F01">
        <w:rPr>
          <w:i/>
        </w:rPr>
        <w:lastRenderedPageBreak/>
        <w:t>provided it is possible to effect Subscription not later than the tenth calendar day prior to the shareholders' meeting at which the merger plan or demerger plan is to be approved.</w:t>
      </w:r>
    </w:p>
    <w:p w14:paraId="72DDD659" w14:textId="77777777" w:rsidR="006350FE" w:rsidRPr="006B6AC0" w:rsidRDefault="006350FE" w:rsidP="006350FE">
      <w:pPr>
        <w:pStyle w:val="BodyText"/>
        <w:ind w:left="720"/>
        <w:rPr>
          <w:i/>
        </w:rPr>
      </w:pPr>
      <w:r w:rsidRPr="006B6AC0">
        <w:rPr>
          <w:lang w:val="sv-SE"/>
        </w:rPr>
        <w:t>Genomför</w:t>
      </w:r>
      <w:r w:rsidRPr="006B6AC0">
        <w:rPr>
          <w:szCs w:val="22"/>
          <w:lang w:val="sv-SE"/>
        </w:rPr>
        <w:t xml:space="preserve"> Bolaget en gränsöverskridande fusion enligt 23 kap. 36 § Aktiebolagslagen eller en gränsöverskridande delning enligt 24 kap. 30 § samma lag, gäller bestämmelserna i denna punkt i tillämpliga delar.</w:t>
      </w:r>
      <w:r w:rsidRPr="006B6AC0">
        <w:rPr>
          <w:szCs w:val="22"/>
          <w:lang w:val="sv-SE"/>
        </w:rPr>
        <w:br/>
      </w:r>
      <w:r>
        <w:rPr>
          <w:bCs/>
          <w:i/>
          <w:iCs/>
          <w:szCs w:val="22"/>
          <w:lang w:val="en-US"/>
        </w:rPr>
        <w:t xml:space="preserve">In the event the Company carries out a </w:t>
      </w:r>
      <w:r w:rsidRPr="00066F2D">
        <w:rPr>
          <w:bCs/>
          <w:i/>
          <w:iCs/>
          <w:szCs w:val="22"/>
          <w:lang w:val="en-US"/>
        </w:rPr>
        <w:t xml:space="preserve">cross-border merger </w:t>
      </w:r>
      <w:r>
        <w:rPr>
          <w:bCs/>
          <w:i/>
          <w:iCs/>
          <w:szCs w:val="22"/>
          <w:lang w:val="en-US"/>
        </w:rPr>
        <w:t>in accordance with Ch. 23 § 36 of the Companies Act or a cross-border demerger in accordance with Ch. 24 § 30 of the Swedish Companies Act, the provisions of this section shall apply in a corresponding manner.</w:t>
      </w:r>
    </w:p>
    <w:p w14:paraId="4374F73D" w14:textId="77777777" w:rsidR="006350FE" w:rsidRPr="00A50800" w:rsidRDefault="006350FE" w:rsidP="006350FE">
      <w:pPr>
        <w:pStyle w:val="BodyText"/>
        <w:numPr>
          <w:ilvl w:val="2"/>
          <w:numId w:val="55"/>
        </w:numPr>
        <w:spacing w:after="0"/>
        <w:rPr>
          <w:b/>
          <w:lang w:val="sv-SE"/>
        </w:rPr>
      </w:pPr>
      <w:r w:rsidRPr="00A50800">
        <w:rPr>
          <w:b/>
          <w:lang w:val="sv-SE"/>
        </w:rPr>
        <w:t>Förenklad fusion och tvångsinlösen/</w:t>
      </w:r>
      <w:proofErr w:type="spellStart"/>
      <w:r w:rsidRPr="00A50800">
        <w:rPr>
          <w:b/>
          <w:i/>
          <w:lang w:val="sv-SE"/>
        </w:rPr>
        <w:t>Simplified</w:t>
      </w:r>
      <w:proofErr w:type="spellEnd"/>
      <w:r w:rsidRPr="00A50800">
        <w:rPr>
          <w:b/>
          <w:i/>
          <w:lang w:val="sv-SE"/>
        </w:rPr>
        <w:t xml:space="preserve"> </w:t>
      </w:r>
      <w:proofErr w:type="spellStart"/>
      <w:r w:rsidRPr="00A50800">
        <w:rPr>
          <w:b/>
          <w:i/>
          <w:lang w:val="sv-SE"/>
        </w:rPr>
        <w:t>merger</w:t>
      </w:r>
      <w:proofErr w:type="spellEnd"/>
      <w:r w:rsidRPr="00A50800">
        <w:rPr>
          <w:b/>
          <w:i/>
          <w:lang w:val="sv-SE"/>
        </w:rPr>
        <w:t xml:space="preserve"> and </w:t>
      </w:r>
      <w:proofErr w:type="spellStart"/>
      <w:r w:rsidRPr="00A50800">
        <w:rPr>
          <w:b/>
          <w:i/>
          <w:lang w:val="sv-SE"/>
        </w:rPr>
        <w:t>buy</w:t>
      </w:r>
      <w:proofErr w:type="spellEnd"/>
      <w:r w:rsidRPr="00A50800">
        <w:rPr>
          <w:b/>
          <w:i/>
          <w:lang w:val="sv-SE"/>
        </w:rPr>
        <w:t xml:space="preserve"> out </w:t>
      </w:r>
      <w:proofErr w:type="spellStart"/>
      <w:r w:rsidRPr="00A50800">
        <w:rPr>
          <w:b/>
          <w:i/>
          <w:lang w:val="sv-SE"/>
        </w:rPr>
        <w:t>procedure</w:t>
      </w:r>
      <w:proofErr w:type="spellEnd"/>
    </w:p>
    <w:p w14:paraId="793DB001" w14:textId="77777777" w:rsidR="006350FE" w:rsidRPr="00437F01" w:rsidRDefault="006350FE" w:rsidP="006350FE">
      <w:pPr>
        <w:pStyle w:val="BodyText"/>
        <w:ind w:left="720"/>
      </w:pPr>
      <w:r w:rsidRPr="00A50800">
        <w:rPr>
          <w:lang w:val="sv-SE"/>
        </w:rPr>
        <w:t xml:space="preserve">Upprättar Bolagets styrelse en </w:t>
      </w:r>
      <w:r w:rsidRPr="00A50800">
        <w:rPr>
          <w:u w:val="single"/>
          <w:lang w:val="sv-SE"/>
        </w:rPr>
        <w:t xml:space="preserve">fusionsplan enligt 23 kap. 28 § </w:t>
      </w:r>
      <w:r>
        <w:rPr>
          <w:u w:val="single"/>
          <w:lang w:val="sv-SE"/>
        </w:rPr>
        <w:t>Ak</w:t>
      </w:r>
      <w:r w:rsidRPr="00A50800">
        <w:rPr>
          <w:u w:val="single"/>
          <w:lang w:val="sv-SE"/>
        </w:rPr>
        <w:t>tiebolagslagen</w:t>
      </w:r>
      <w:r w:rsidRPr="00A50800">
        <w:rPr>
          <w:lang w:val="sv-SE"/>
        </w:rPr>
        <w:t xml:space="preserve"> varigenom Bolaget </w:t>
      </w:r>
      <w:r>
        <w:rPr>
          <w:lang w:val="sv-SE"/>
        </w:rPr>
        <w:t>ska</w:t>
      </w:r>
      <w:r w:rsidRPr="00A50800">
        <w:rPr>
          <w:lang w:val="sv-SE"/>
        </w:rPr>
        <w:t xml:space="preserve"> uppgå i ett annat bolag eller blir Bolagets Aktier föremål för </w:t>
      </w:r>
      <w:proofErr w:type="spellStart"/>
      <w:r w:rsidRPr="00A50800">
        <w:rPr>
          <w:u w:val="single"/>
          <w:lang w:val="sv-SE"/>
        </w:rPr>
        <w:t>tvångsinlösenförfarande</w:t>
      </w:r>
      <w:proofErr w:type="spellEnd"/>
      <w:r w:rsidRPr="00A50800">
        <w:rPr>
          <w:lang w:val="sv-SE"/>
        </w:rPr>
        <w:t xml:space="preserve"> enligt 22 kap. </w:t>
      </w:r>
      <w:proofErr w:type="spellStart"/>
      <w:r w:rsidRPr="00D74CDD">
        <w:rPr>
          <w:lang w:val="en-US"/>
        </w:rPr>
        <w:t>Aktiebolagslag</w:t>
      </w:r>
      <w:r>
        <w:rPr>
          <w:lang w:val="en-US"/>
        </w:rPr>
        <w:t>en</w:t>
      </w:r>
      <w:proofErr w:type="spellEnd"/>
      <w:r>
        <w:rPr>
          <w:lang w:val="en-US"/>
        </w:rPr>
        <w:t xml:space="preserve"> </w:t>
      </w:r>
      <w:r w:rsidRPr="006B6AC0">
        <w:rPr>
          <w:lang w:val="en-US"/>
        </w:rPr>
        <w:t xml:space="preserve">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w:t>
      </w:r>
      <w:r w:rsidRPr="006B6AC0">
        <w:rPr>
          <w:lang w:val="en-US"/>
        </w:rPr>
        <w:br/>
      </w:r>
      <w:r w:rsidRPr="00437F01">
        <w:rPr>
          <w:i/>
        </w:rPr>
        <w:t xml:space="preserve">In the event the Company's board of directors prepares a </w:t>
      </w:r>
      <w:r w:rsidRPr="00437F01">
        <w:rPr>
          <w:i/>
          <w:u w:val="single"/>
        </w:rPr>
        <w:t>merger plan in accordance with Ch.</w:t>
      </w:r>
      <w:r>
        <w:rPr>
          <w:i/>
          <w:u w:val="single"/>
        </w:rPr>
        <w:t> </w:t>
      </w:r>
      <w:r w:rsidRPr="00437F01">
        <w:rPr>
          <w:i/>
          <w:u w:val="single"/>
        </w:rPr>
        <w:t xml:space="preserve">23 </w:t>
      </w:r>
      <w:r>
        <w:rPr>
          <w:i/>
          <w:u w:val="single"/>
        </w:rPr>
        <w:t xml:space="preserve">§ </w:t>
      </w:r>
      <w:r w:rsidRPr="00437F01">
        <w:rPr>
          <w:i/>
          <w:u w:val="single"/>
        </w:rPr>
        <w:t xml:space="preserve">28 of the </w:t>
      </w:r>
      <w:r>
        <w:rPr>
          <w:i/>
          <w:u w:val="single"/>
        </w:rPr>
        <w:t xml:space="preserve">Swedish </w:t>
      </w:r>
      <w:r w:rsidRPr="00437F01">
        <w:rPr>
          <w:i/>
          <w:u w:val="single"/>
        </w:rPr>
        <w:t>Companies Act</w:t>
      </w:r>
      <w:r w:rsidRPr="00437F01">
        <w:rPr>
          <w:i/>
        </w:rPr>
        <w:t xml:space="preserve">, pursuant to which the Company is to be merged into another company or if the Company's Shares will be subject to a </w:t>
      </w:r>
      <w:proofErr w:type="spellStart"/>
      <w:r w:rsidRPr="00437F01">
        <w:rPr>
          <w:i/>
          <w:u w:val="single"/>
        </w:rPr>
        <w:t>buy out</w:t>
      </w:r>
      <w:proofErr w:type="spellEnd"/>
      <w:r w:rsidRPr="00437F01">
        <w:rPr>
          <w:i/>
          <w:u w:val="single"/>
        </w:rPr>
        <w:t xml:space="preserve"> procedure</w:t>
      </w:r>
      <w:r w:rsidRPr="00437F01">
        <w:rPr>
          <w:i/>
        </w:rPr>
        <w:t xml:space="preserve"> in accordance with Ch. 22 </w:t>
      </w:r>
      <w:r>
        <w:rPr>
          <w:i/>
        </w:rPr>
        <w:t>of the Swedish Companies Act</w:t>
      </w:r>
      <w:r w:rsidRPr="00437F01">
        <w:rPr>
          <w:i/>
        </w:rPr>
        <w:t>, the following shall apply.</w:t>
      </w:r>
    </w:p>
    <w:p w14:paraId="4E961631" w14:textId="77777777" w:rsidR="006350FE" w:rsidRPr="00437F01" w:rsidRDefault="006350FE" w:rsidP="006350FE">
      <w:pPr>
        <w:pStyle w:val="BodyText"/>
        <w:ind w:left="720"/>
      </w:pPr>
      <w:r w:rsidRPr="00A50800">
        <w:rPr>
          <w:lang w:val="sv-SE"/>
        </w:rPr>
        <w:t xml:space="preserve">Äger ett svenskt aktiebolag samtliga Aktier i Bolaget, och offentliggör Bolagets styrelse sin avsikt att upprätta en fusionsplan enligt i föregående stycke angivet lagrum, </w:t>
      </w:r>
      <w:r>
        <w:rPr>
          <w:lang w:val="sv-SE"/>
        </w:rPr>
        <w:t>ska</w:t>
      </w:r>
      <w:r w:rsidRPr="00A50800">
        <w:rPr>
          <w:lang w:val="sv-SE"/>
        </w:rPr>
        <w:t xml:space="preserve"> Bolaget, för det fall att sista dag för Teckning enligt punkt </w:t>
      </w:r>
      <w:r>
        <w:rPr>
          <w:lang w:val="sv-SE"/>
        </w:rPr>
        <w:fldChar w:fldCharType="begin"/>
      </w:r>
      <w:r>
        <w:rPr>
          <w:lang w:val="sv-SE"/>
        </w:rPr>
        <w:instrText xml:space="preserve"> REF _Ref167350058 \r \h </w:instrText>
      </w:r>
      <w:r>
        <w:rPr>
          <w:lang w:val="sv-SE"/>
        </w:rPr>
      </w:r>
      <w:r>
        <w:rPr>
          <w:lang w:val="sv-SE"/>
        </w:rPr>
        <w:fldChar w:fldCharType="separate"/>
      </w:r>
      <w:r>
        <w:rPr>
          <w:lang w:val="sv-SE"/>
        </w:rPr>
        <w:t>4</w:t>
      </w:r>
      <w:r>
        <w:rPr>
          <w:lang w:val="sv-SE"/>
        </w:rPr>
        <w:fldChar w:fldCharType="end"/>
      </w:r>
      <w:r>
        <w:rPr>
          <w:lang w:val="sv-SE"/>
        </w:rPr>
        <w:t xml:space="preserve"> </w:t>
      </w:r>
      <w:r w:rsidRPr="00A50800">
        <w:rPr>
          <w:lang w:val="sv-SE"/>
        </w:rPr>
        <w:t xml:space="preserve">ovan infaller efter sådant offentliggörande, fastställa en ny sista dag för Teckning (slutdagen). </w:t>
      </w:r>
      <w:proofErr w:type="spellStart"/>
      <w:r w:rsidRPr="00437F01">
        <w:t>Slutdagen</w:t>
      </w:r>
      <w:proofErr w:type="spellEnd"/>
      <w:r w:rsidRPr="00437F01">
        <w:t xml:space="preserve"> </w:t>
      </w:r>
      <w:r>
        <w:t>ska</w:t>
      </w:r>
      <w:r w:rsidRPr="00437F01">
        <w:t xml:space="preserve"> </w:t>
      </w:r>
      <w:proofErr w:type="spellStart"/>
      <w:r w:rsidRPr="00437F01">
        <w:t>infalla</w:t>
      </w:r>
      <w:proofErr w:type="spellEnd"/>
      <w:r w:rsidRPr="00437F01">
        <w:t xml:space="preserve"> </w:t>
      </w:r>
      <w:proofErr w:type="spellStart"/>
      <w:r w:rsidRPr="00437F01">
        <w:t>inom</w:t>
      </w:r>
      <w:proofErr w:type="spellEnd"/>
      <w:r w:rsidRPr="00437F01">
        <w:t xml:space="preserve"> 60 </w:t>
      </w:r>
      <w:proofErr w:type="spellStart"/>
      <w:r w:rsidRPr="00437F01">
        <w:t>dagar</w:t>
      </w:r>
      <w:proofErr w:type="spellEnd"/>
      <w:r w:rsidRPr="00437F01">
        <w:t xml:space="preserve"> </w:t>
      </w:r>
      <w:proofErr w:type="spellStart"/>
      <w:r w:rsidRPr="00437F01">
        <w:t>från</w:t>
      </w:r>
      <w:proofErr w:type="spellEnd"/>
      <w:r w:rsidRPr="00437F01">
        <w:t xml:space="preserve"> </w:t>
      </w:r>
      <w:proofErr w:type="spellStart"/>
      <w:r w:rsidRPr="00437F01">
        <w:t>offentliggörandet</w:t>
      </w:r>
      <w:proofErr w:type="spellEnd"/>
      <w:r w:rsidRPr="00437F01">
        <w:t>.</w:t>
      </w:r>
      <w:r w:rsidRPr="00437F01">
        <w:br/>
      </w:r>
      <w:r w:rsidRPr="00437F01">
        <w:rPr>
          <w:i/>
        </w:rPr>
        <w:t xml:space="preserve">In the event a Swedish limited liability company owns all the shares of the Company and the Company's board of directors publishes its intention to prepare a merger plan in accordance with the legislation referred to in the preceding paragraph, the Company shall </w:t>
      </w:r>
      <w:proofErr w:type="spellStart"/>
      <w:r w:rsidRPr="00437F01">
        <w:rPr>
          <w:i/>
        </w:rPr>
        <w:t>provided</w:t>
      </w:r>
      <w:proofErr w:type="spellEnd"/>
      <w:r w:rsidRPr="00437F01">
        <w:rPr>
          <w:i/>
        </w:rPr>
        <w:t xml:space="preserve"> that the final day for notice for Subscription pursuant to section </w:t>
      </w:r>
      <w:r>
        <w:rPr>
          <w:i/>
        </w:rPr>
        <w:fldChar w:fldCharType="begin"/>
      </w:r>
      <w:r>
        <w:rPr>
          <w:i/>
        </w:rPr>
        <w:instrText xml:space="preserve"> REF _Ref167350058 \r \h </w:instrText>
      </w:r>
      <w:r>
        <w:rPr>
          <w:i/>
        </w:rPr>
      </w:r>
      <w:r>
        <w:rPr>
          <w:i/>
        </w:rPr>
        <w:fldChar w:fldCharType="separate"/>
      </w:r>
      <w:r>
        <w:rPr>
          <w:i/>
        </w:rPr>
        <w:t>4</w:t>
      </w:r>
      <w:r>
        <w:rPr>
          <w:i/>
        </w:rPr>
        <w:fldChar w:fldCharType="end"/>
      </w:r>
      <w:r w:rsidRPr="00437F01">
        <w:rPr>
          <w:i/>
        </w:rPr>
        <w:t xml:space="preserve"> above occurs after such publication, determine a new final date for notice for Subscription (expiration date). The expiration date shall occur within 60 days of the publication.</w:t>
      </w:r>
    </w:p>
    <w:p w14:paraId="6EDE2B24" w14:textId="77777777" w:rsidR="006350FE" w:rsidRPr="00437F01" w:rsidRDefault="006350FE" w:rsidP="006350FE">
      <w:pPr>
        <w:pStyle w:val="BodyText"/>
        <w:ind w:left="720"/>
      </w:pPr>
      <w:r w:rsidRPr="00A50800">
        <w:rPr>
          <w:lang w:val="sv-SE"/>
        </w:rPr>
        <w:t>Om offentliggörandet skett i enlighet med vad som anges ovan i de</w:t>
      </w:r>
      <w:r>
        <w:rPr>
          <w:lang w:val="sv-SE"/>
        </w:rPr>
        <w:t>nn</w:t>
      </w:r>
      <w:r w:rsidRPr="00A50800">
        <w:rPr>
          <w:lang w:val="sv-SE"/>
        </w:rPr>
        <w:t xml:space="preserve">a </w:t>
      </w:r>
      <w:r>
        <w:rPr>
          <w:lang w:val="sv-SE"/>
        </w:rPr>
        <w:t>punkt</w:t>
      </w:r>
      <w:r w:rsidRPr="00A50800">
        <w:rPr>
          <w:lang w:val="sv-SE"/>
        </w:rPr>
        <w:t xml:space="preserve"> </w:t>
      </w:r>
      <w:r>
        <w:rPr>
          <w:szCs w:val="22"/>
        </w:rPr>
        <w:fldChar w:fldCharType="begin"/>
      </w:r>
      <w:r>
        <w:rPr>
          <w:lang w:val="sv-SE"/>
        </w:rPr>
        <w:instrText xml:space="preserve"> REF _Ref445999098 \r \h </w:instrText>
      </w:r>
      <w:r>
        <w:rPr>
          <w:szCs w:val="22"/>
        </w:rPr>
      </w:r>
      <w:r>
        <w:rPr>
          <w:szCs w:val="22"/>
        </w:rPr>
        <w:fldChar w:fldCharType="separate"/>
      </w:r>
      <w:r>
        <w:rPr>
          <w:lang w:val="sv-SE"/>
        </w:rPr>
        <w:t>8.2.16</w:t>
      </w:r>
      <w:r>
        <w:rPr>
          <w:szCs w:val="22"/>
        </w:rPr>
        <w:fldChar w:fldCharType="end"/>
      </w:r>
      <w:r w:rsidRPr="00A50800">
        <w:rPr>
          <w:lang w:val="sv-SE"/>
        </w:rPr>
        <w:t xml:space="preserve">, </w:t>
      </w:r>
      <w:r>
        <w:rPr>
          <w:lang w:val="sv-SE"/>
        </w:rPr>
        <w:t>ska</w:t>
      </w:r>
      <w:r w:rsidRPr="00A50800">
        <w:rPr>
          <w:lang w:val="sv-SE"/>
        </w:rPr>
        <w:t xml:space="preserve"> – oavsett vad som i punkt </w:t>
      </w:r>
      <w:r>
        <w:rPr>
          <w:lang w:val="sv-SE"/>
        </w:rPr>
        <w:fldChar w:fldCharType="begin"/>
      </w:r>
      <w:r>
        <w:rPr>
          <w:lang w:val="sv-SE"/>
        </w:rPr>
        <w:instrText xml:space="preserve"> REF _Ref167350058 \r \h </w:instrText>
      </w:r>
      <w:r>
        <w:rPr>
          <w:lang w:val="sv-SE"/>
        </w:rPr>
      </w:r>
      <w:r>
        <w:rPr>
          <w:lang w:val="sv-SE"/>
        </w:rPr>
        <w:fldChar w:fldCharType="separate"/>
      </w:r>
      <w:r>
        <w:rPr>
          <w:lang w:val="sv-SE"/>
        </w:rPr>
        <w:t>4</w:t>
      </w:r>
      <w:r>
        <w:rPr>
          <w:lang w:val="sv-SE"/>
        </w:rPr>
        <w:fldChar w:fldCharType="end"/>
      </w:r>
      <w:r w:rsidRPr="00A50800">
        <w:rPr>
          <w:lang w:val="sv-SE"/>
        </w:rPr>
        <w:t xml:space="preserve"> ovan sägs om tidigaste tidpunkt för anmälan om Teckning – </w:t>
      </w:r>
      <w:r>
        <w:rPr>
          <w:lang w:val="sv-SE"/>
        </w:rPr>
        <w:t>Optionsinnehavare</w:t>
      </w:r>
      <w:r w:rsidRPr="00A50800">
        <w:rPr>
          <w:lang w:val="sv-SE"/>
        </w:rPr>
        <w:t xml:space="preserve"> äga rätt att göra sådan anmälan om Teckning fram till slutdagen. Bolaget </w:t>
      </w:r>
      <w:r>
        <w:rPr>
          <w:lang w:val="sv-SE"/>
        </w:rPr>
        <w:t>ska</w:t>
      </w:r>
      <w:r w:rsidRPr="00A50800">
        <w:rPr>
          <w:lang w:val="sv-SE"/>
        </w:rPr>
        <w:t xml:space="preserve"> senast tre veckor före slutdagen genom meddelande enligt punkt </w:t>
      </w:r>
      <w:r>
        <w:rPr>
          <w:lang w:val="sv-SE"/>
        </w:rPr>
        <w:fldChar w:fldCharType="begin"/>
      </w:r>
      <w:r>
        <w:rPr>
          <w:lang w:val="sv-SE"/>
        </w:rPr>
        <w:instrText xml:space="preserve"> REF _Ref145593081 \r \h </w:instrText>
      </w:r>
      <w:r>
        <w:rPr>
          <w:lang w:val="sv-SE"/>
        </w:rPr>
      </w:r>
      <w:r>
        <w:rPr>
          <w:lang w:val="sv-SE"/>
        </w:rPr>
        <w:fldChar w:fldCharType="separate"/>
      </w:r>
      <w:r>
        <w:rPr>
          <w:lang w:val="sv-SE"/>
        </w:rPr>
        <w:t>11</w:t>
      </w:r>
      <w:r>
        <w:rPr>
          <w:lang w:val="sv-SE"/>
        </w:rPr>
        <w:fldChar w:fldCharType="end"/>
      </w:r>
      <w:r w:rsidRPr="00A50800">
        <w:rPr>
          <w:lang w:val="sv-SE"/>
        </w:rPr>
        <w:t xml:space="preserve"> nedan erinra </w:t>
      </w:r>
      <w:r>
        <w:rPr>
          <w:lang w:val="sv-SE"/>
        </w:rPr>
        <w:t>Optionsinnehavarna</w:t>
      </w:r>
      <w:r w:rsidRPr="00A50800">
        <w:rPr>
          <w:lang w:val="sv-SE"/>
        </w:rPr>
        <w:t xml:space="preserve"> om denna rätt samt att Teckning ej får ske efter slutdagen.</w:t>
      </w:r>
      <w:r w:rsidRPr="00A50800">
        <w:rPr>
          <w:lang w:val="sv-SE"/>
        </w:rPr>
        <w:br/>
      </w:r>
      <w:r w:rsidRPr="00437F01">
        <w:rPr>
          <w:i/>
        </w:rPr>
        <w:t xml:space="preserve">If publication has been made in accordance with the above set forth in this section </w:t>
      </w:r>
      <w:r>
        <w:rPr>
          <w:i/>
          <w:szCs w:val="22"/>
        </w:rPr>
        <w:fldChar w:fldCharType="begin"/>
      </w:r>
      <w:r>
        <w:rPr>
          <w:i/>
        </w:rPr>
        <w:instrText xml:space="preserve"> REF _Ref445999098 \r \h </w:instrText>
      </w:r>
      <w:r>
        <w:rPr>
          <w:i/>
          <w:szCs w:val="22"/>
        </w:rPr>
      </w:r>
      <w:r>
        <w:rPr>
          <w:i/>
          <w:szCs w:val="22"/>
        </w:rPr>
        <w:fldChar w:fldCharType="separate"/>
      </w:r>
      <w:r>
        <w:rPr>
          <w:i/>
        </w:rPr>
        <w:t>8.2.16</w:t>
      </w:r>
      <w:r>
        <w:rPr>
          <w:i/>
          <w:szCs w:val="22"/>
        </w:rPr>
        <w:fldChar w:fldCharType="end"/>
      </w:r>
      <w:r w:rsidRPr="00437F01">
        <w:rPr>
          <w:i/>
        </w:rPr>
        <w:t xml:space="preserve">, each </w:t>
      </w:r>
      <w:r>
        <w:rPr>
          <w:i/>
        </w:rPr>
        <w:t>Warrant Holder</w:t>
      </w:r>
      <w:r w:rsidRPr="00437F01">
        <w:rPr>
          <w:i/>
        </w:rPr>
        <w:t xml:space="preserve"> – irrespective of what is set forth in section </w:t>
      </w:r>
      <w:r>
        <w:rPr>
          <w:i/>
        </w:rPr>
        <w:fldChar w:fldCharType="begin"/>
      </w:r>
      <w:r>
        <w:rPr>
          <w:i/>
        </w:rPr>
        <w:instrText xml:space="preserve"> REF _Ref167350058 \r \h </w:instrText>
      </w:r>
      <w:r>
        <w:rPr>
          <w:i/>
        </w:rPr>
      </w:r>
      <w:r>
        <w:rPr>
          <w:i/>
        </w:rPr>
        <w:fldChar w:fldCharType="separate"/>
      </w:r>
      <w:r>
        <w:rPr>
          <w:i/>
        </w:rPr>
        <w:t>4</w:t>
      </w:r>
      <w:r>
        <w:rPr>
          <w:i/>
        </w:rPr>
        <w:fldChar w:fldCharType="end"/>
      </w:r>
      <w:r w:rsidRPr="00437F01">
        <w:rPr>
          <w:i/>
        </w:rPr>
        <w:t xml:space="preserve"> above regarding the earliest time at which notice for Subscription may be made – shall be entitled to such notification to and including the expiration date. Not later than three weeks prior to the expiration date, the Company shall notify the </w:t>
      </w:r>
      <w:r>
        <w:rPr>
          <w:i/>
        </w:rPr>
        <w:t>Warrant Holder</w:t>
      </w:r>
      <w:r w:rsidRPr="00437F01">
        <w:rPr>
          <w:i/>
        </w:rPr>
        <w:t xml:space="preserve">s, pursuant to section </w:t>
      </w:r>
      <w:r>
        <w:rPr>
          <w:i/>
        </w:rPr>
        <w:fldChar w:fldCharType="begin"/>
      </w:r>
      <w:r>
        <w:rPr>
          <w:i/>
        </w:rPr>
        <w:instrText xml:space="preserve"> REF _Ref145593081 \r \h </w:instrText>
      </w:r>
      <w:r>
        <w:rPr>
          <w:i/>
        </w:rPr>
      </w:r>
      <w:r>
        <w:rPr>
          <w:i/>
        </w:rPr>
        <w:fldChar w:fldCharType="separate"/>
      </w:r>
      <w:r>
        <w:rPr>
          <w:i/>
        </w:rPr>
        <w:t>11</w:t>
      </w:r>
      <w:r>
        <w:rPr>
          <w:i/>
        </w:rPr>
        <w:fldChar w:fldCharType="end"/>
      </w:r>
      <w:r w:rsidRPr="00437F01">
        <w:rPr>
          <w:i/>
        </w:rPr>
        <w:t xml:space="preserve"> below, of such right and that notice for Subscription may not be made after the expiration date.</w:t>
      </w:r>
    </w:p>
    <w:p w14:paraId="5C2A0002" w14:textId="77777777" w:rsidR="006350FE" w:rsidRPr="006B6AC0" w:rsidRDefault="006350FE" w:rsidP="006350FE">
      <w:pPr>
        <w:pStyle w:val="BodyText"/>
        <w:numPr>
          <w:ilvl w:val="2"/>
          <w:numId w:val="55"/>
        </w:numPr>
        <w:spacing w:after="0"/>
        <w:rPr>
          <w:b/>
          <w:lang w:val="sv-SE"/>
        </w:rPr>
      </w:pPr>
      <w:proofErr w:type="spellStart"/>
      <w:r>
        <w:rPr>
          <w:b/>
          <w:szCs w:val="22"/>
        </w:rPr>
        <w:t>Gränsöverskridande</w:t>
      </w:r>
      <w:proofErr w:type="spellEnd"/>
      <w:r>
        <w:rPr>
          <w:b/>
          <w:szCs w:val="22"/>
        </w:rPr>
        <w:t xml:space="preserve"> </w:t>
      </w:r>
      <w:proofErr w:type="spellStart"/>
      <w:r>
        <w:rPr>
          <w:b/>
          <w:szCs w:val="22"/>
        </w:rPr>
        <w:t>ombildning</w:t>
      </w:r>
      <w:proofErr w:type="spellEnd"/>
      <w:r>
        <w:rPr>
          <w:b/>
          <w:szCs w:val="22"/>
        </w:rPr>
        <w:t>/</w:t>
      </w:r>
      <w:r>
        <w:rPr>
          <w:b/>
          <w:i/>
          <w:iCs/>
          <w:szCs w:val="22"/>
        </w:rPr>
        <w:t>Cross-border conversion</w:t>
      </w:r>
    </w:p>
    <w:p w14:paraId="524F3759" w14:textId="77777777" w:rsidR="006350FE" w:rsidRDefault="006350FE" w:rsidP="006350FE">
      <w:pPr>
        <w:pStyle w:val="BodyText"/>
        <w:ind w:left="720"/>
        <w:rPr>
          <w:i/>
          <w:iCs/>
          <w:lang w:val="en-US"/>
        </w:rPr>
      </w:pPr>
      <w:r w:rsidRPr="006B6AC0">
        <w:rPr>
          <w:bCs/>
          <w:szCs w:val="22"/>
          <w:lang w:val="sv-SE"/>
        </w:rPr>
        <w:t xml:space="preserve">Skulle bolagsstämman, enligt </w:t>
      </w:r>
      <w:r w:rsidRPr="006B6AC0">
        <w:rPr>
          <w:bCs/>
          <w:szCs w:val="22"/>
          <w:u w:val="single"/>
          <w:lang w:val="sv-SE"/>
        </w:rPr>
        <w:t>24 a kap. 17 § aktiebolagslagen, godkänna ombildningsplan</w:t>
      </w:r>
      <w:r w:rsidRPr="006B6AC0">
        <w:rPr>
          <w:bCs/>
          <w:szCs w:val="22"/>
          <w:lang w:val="sv-SE"/>
        </w:rPr>
        <w:t xml:space="preserve"> </w:t>
      </w:r>
      <w:r w:rsidRPr="006B6AC0">
        <w:rPr>
          <w:lang w:val="sv-SE"/>
        </w:rPr>
        <w:t>varigenom</w:t>
      </w:r>
      <w:r w:rsidRPr="006B6AC0">
        <w:rPr>
          <w:bCs/>
          <w:szCs w:val="22"/>
          <w:lang w:val="sv-SE"/>
        </w:rPr>
        <w:t xml:space="preserve"> Bolaget ombildas till en motsvarande juridisk person som omfattas av lagstiftningen i en annan stat inom </w:t>
      </w:r>
      <w:proofErr w:type="gramStart"/>
      <w:r w:rsidRPr="006B6AC0">
        <w:rPr>
          <w:bCs/>
          <w:szCs w:val="22"/>
          <w:lang w:val="sv-SE"/>
        </w:rPr>
        <w:t>Europeiska</w:t>
      </w:r>
      <w:proofErr w:type="gramEnd"/>
      <w:r w:rsidRPr="006B6AC0">
        <w:rPr>
          <w:bCs/>
          <w:szCs w:val="22"/>
          <w:lang w:val="sv-SE"/>
        </w:rPr>
        <w:t xml:space="preserve"> ekonomiska samarbetsområdet än Sverige (gränsöverskridande ombildning), får anmälan om Teckning inte ske.</w:t>
      </w:r>
      <w:r>
        <w:rPr>
          <w:bCs/>
          <w:szCs w:val="22"/>
          <w:lang w:val="sv-SE"/>
        </w:rPr>
        <w:br/>
      </w:r>
      <w:r w:rsidRPr="006B6AC0">
        <w:rPr>
          <w:i/>
          <w:iCs/>
          <w:lang w:val="en-US"/>
        </w:rPr>
        <w:t xml:space="preserve">In the event the shareholders' meeting </w:t>
      </w:r>
      <w:r w:rsidRPr="006B6AC0">
        <w:rPr>
          <w:i/>
          <w:iCs/>
          <w:u w:val="single"/>
          <w:lang w:val="en-US"/>
        </w:rPr>
        <w:t>approves a conversion plan, in accordance with Ch. 24 a § 17 of the Companies Act</w:t>
      </w:r>
      <w:r w:rsidRPr="006B6AC0">
        <w:rPr>
          <w:i/>
          <w:iCs/>
          <w:lang w:val="en-US"/>
        </w:rPr>
        <w:t>, pursuant to which the Company is converted to a corresponding legal entity subject to the legislation of a state within the European Economic Area other than Sweden (cross-border conversion), notice for Subscription may not thereafter be made.</w:t>
      </w:r>
    </w:p>
    <w:p w14:paraId="440B3D61" w14:textId="77777777" w:rsidR="006350FE" w:rsidRDefault="006350FE" w:rsidP="006350FE">
      <w:pPr>
        <w:pStyle w:val="BodyText"/>
        <w:ind w:left="720"/>
        <w:rPr>
          <w:i/>
          <w:szCs w:val="22"/>
          <w:lang w:val="en-US"/>
        </w:rPr>
      </w:pPr>
      <w:r w:rsidRPr="006B6AC0">
        <w:rPr>
          <w:lang w:val="sv-SE"/>
        </w:rPr>
        <w:lastRenderedPageBreak/>
        <w:t>Senast</w:t>
      </w:r>
      <w:r w:rsidRPr="006B6AC0">
        <w:rPr>
          <w:szCs w:val="22"/>
          <w:lang w:val="sv-SE"/>
        </w:rPr>
        <w:t xml:space="preserve"> två månader innan Bolaget tar slutlig ställning till frågan om gränsöverskridande ombildning enligt ovan, ska Teckningsoptionshavarna genom meddelande enligt punkt </w:t>
      </w:r>
      <w:r>
        <w:rPr>
          <w:szCs w:val="22"/>
          <w:lang w:val="sv-SE"/>
        </w:rPr>
        <w:fldChar w:fldCharType="begin"/>
      </w:r>
      <w:r>
        <w:rPr>
          <w:szCs w:val="22"/>
          <w:lang w:val="sv-SE"/>
        </w:rPr>
        <w:instrText xml:space="preserve"> REF _Ref439064597 \r \h </w:instrText>
      </w:r>
      <w:r>
        <w:rPr>
          <w:szCs w:val="22"/>
          <w:lang w:val="sv-SE"/>
        </w:rPr>
      </w:r>
      <w:r>
        <w:rPr>
          <w:szCs w:val="22"/>
          <w:lang w:val="sv-SE"/>
        </w:rPr>
        <w:fldChar w:fldCharType="separate"/>
      </w:r>
      <w:r>
        <w:rPr>
          <w:szCs w:val="22"/>
          <w:lang w:val="sv-SE"/>
        </w:rPr>
        <w:t>12</w:t>
      </w:r>
      <w:r>
        <w:rPr>
          <w:szCs w:val="22"/>
          <w:lang w:val="sv-SE"/>
        </w:rPr>
        <w:fldChar w:fldCharType="end"/>
      </w:r>
      <w:r w:rsidRPr="006B6AC0">
        <w:rPr>
          <w:szCs w:val="22"/>
          <w:lang w:val="sv-SE"/>
        </w:rPr>
        <w:t xml:space="preserve"> nedan underrättas om ombildningsavsikten. I meddelandet ska en redogörelse lämnas för det huvudsakliga innehållet i den avsedda ombildningsplanen samt ska Teckningsoptionshavarna erinras om att anmälan om Teckning ej får ske, sedan slutligt beslut fattats om ombildning.</w:t>
      </w:r>
      <w:r>
        <w:rPr>
          <w:szCs w:val="22"/>
          <w:lang w:val="sv-SE"/>
        </w:rPr>
        <w:br/>
      </w:r>
      <w:r w:rsidRPr="002D0367">
        <w:rPr>
          <w:i/>
          <w:szCs w:val="22"/>
          <w:lang w:val="en-US"/>
        </w:rPr>
        <w:t xml:space="preserve">No later than two months prior to final determination by the Company in respect of a </w:t>
      </w:r>
      <w:r>
        <w:rPr>
          <w:i/>
          <w:szCs w:val="22"/>
          <w:lang w:val="en-US"/>
        </w:rPr>
        <w:t>cross-border conversion</w:t>
      </w:r>
      <w:r w:rsidRPr="002D0367">
        <w:rPr>
          <w:i/>
          <w:szCs w:val="22"/>
          <w:lang w:val="en-US"/>
        </w:rPr>
        <w:t xml:space="preserve"> </w:t>
      </w:r>
      <w:proofErr w:type="gramStart"/>
      <w:r w:rsidRPr="002D0367">
        <w:rPr>
          <w:i/>
          <w:szCs w:val="22"/>
          <w:lang w:val="en-US"/>
        </w:rPr>
        <w:t>as set</w:t>
      </w:r>
      <w:proofErr w:type="gramEnd"/>
      <w:r w:rsidRPr="002D0367">
        <w:rPr>
          <w:i/>
          <w:szCs w:val="22"/>
          <w:lang w:val="en-US"/>
        </w:rPr>
        <w:t xml:space="preserve"> forth above, notice shall be given to Warrant </w:t>
      </w:r>
      <w:r>
        <w:rPr>
          <w:i/>
          <w:szCs w:val="22"/>
          <w:lang w:val="en-US"/>
        </w:rPr>
        <w:t>H</w:t>
      </w:r>
      <w:r w:rsidRPr="002D0367">
        <w:rPr>
          <w:i/>
          <w:szCs w:val="22"/>
          <w:lang w:val="en-US"/>
        </w:rPr>
        <w:t xml:space="preserve">olders in accordance with </w:t>
      </w:r>
      <w:r>
        <w:rPr>
          <w:i/>
          <w:szCs w:val="22"/>
          <w:lang w:val="en-US"/>
        </w:rPr>
        <w:t>s</w:t>
      </w:r>
      <w:r w:rsidRPr="002D0367">
        <w:rPr>
          <w:i/>
          <w:szCs w:val="22"/>
          <w:lang w:val="en-US"/>
        </w:rPr>
        <w:t xml:space="preserve">ection </w:t>
      </w:r>
      <w:r>
        <w:rPr>
          <w:i/>
          <w:szCs w:val="22"/>
          <w:lang w:val="en-US"/>
        </w:rPr>
        <w:fldChar w:fldCharType="begin"/>
      </w:r>
      <w:r>
        <w:rPr>
          <w:i/>
          <w:szCs w:val="22"/>
          <w:lang w:val="en-US"/>
        </w:rPr>
        <w:instrText xml:space="preserve"> REF _Ref439064597 \r \h </w:instrText>
      </w:r>
      <w:r>
        <w:rPr>
          <w:i/>
          <w:szCs w:val="22"/>
          <w:lang w:val="en-US"/>
        </w:rPr>
      </w:r>
      <w:r>
        <w:rPr>
          <w:i/>
          <w:szCs w:val="22"/>
          <w:lang w:val="en-US"/>
        </w:rPr>
        <w:fldChar w:fldCharType="separate"/>
      </w:r>
      <w:r>
        <w:rPr>
          <w:i/>
          <w:szCs w:val="22"/>
          <w:lang w:val="en-US"/>
        </w:rPr>
        <w:t>12</w:t>
      </w:r>
      <w:r>
        <w:rPr>
          <w:i/>
          <w:szCs w:val="22"/>
          <w:lang w:val="en-US"/>
        </w:rPr>
        <w:fldChar w:fldCharType="end"/>
      </w:r>
      <w:r w:rsidRPr="002D0367">
        <w:rPr>
          <w:i/>
          <w:szCs w:val="22"/>
          <w:lang w:val="en-US"/>
        </w:rPr>
        <w:t xml:space="preserve"> below of the intended </w:t>
      </w:r>
      <w:r>
        <w:rPr>
          <w:i/>
          <w:szCs w:val="22"/>
          <w:lang w:val="en-US"/>
        </w:rPr>
        <w:t>conversion</w:t>
      </w:r>
      <w:r w:rsidRPr="002D0367">
        <w:rPr>
          <w:i/>
          <w:szCs w:val="22"/>
          <w:lang w:val="en-US"/>
        </w:rPr>
        <w:t xml:space="preserve">. The notice shall set forth the principal contents of the intended </w:t>
      </w:r>
      <w:r>
        <w:rPr>
          <w:i/>
          <w:szCs w:val="22"/>
          <w:lang w:val="en-US"/>
        </w:rPr>
        <w:t>conversion</w:t>
      </w:r>
      <w:r w:rsidRPr="002D0367">
        <w:rPr>
          <w:i/>
          <w:szCs w:val="22"/>
          <w:lang w:val="en-US"/>
        </w:rPr>
        <w:t xml:space="preserve"> plan and each Warrant </w:t>
      </w:r>
      <w:r>
        <w:rPr>
          <w:i/>
          <w:szCs w:val="22"/>
          <w:lang w:val="en-US"/>
        </w:rPr>
        <w:t>H</w:t>
      </w:r>
      <w:r w:rsidRPr="002D0367">
        <w:rPr>
          <w:i/>
          <w:szCs w:val="22"/>
          <w:lang w:val="en-US"/>
        </w:rPr>
        <w:t xml:space="preserve">older shall be notified that Subscription may not be made following a final decision regarding the </w:t>
      </w:r>
      <w:r>
        <w:rPr>
          <w:i/>
          <w:szCs w:val="22"/>
          <w:lang w:val="en-US"/>
        </w:rPr>
        <w:t>conversion</w:t>
      </w:r>
      <w:r w:rsidRPr="002D0367">
        <w:rPr>
          <w:i/>
          <w:szCs w:val="22"/>
          <w:lang w:val="en-US"/>
        </w:rPr>
        <w:t>.</w:t>
      </w:r>
    </w:p>
    <w:p w14:paraId="7E3E893A" w14:textId="77777777" w:rsidR="006350FE" w:rsidRDefault="006350FE" w:rsidP="006350FE">
      <w:pPr>
        <w:pStyle w:val="BodyText"/>
        <w:ind w:left="720"/>
        <w:rPr>
          <w:i/>
          <w:szCs w:val="22"/>
          <w:lang w:val="en-US"/>
        </w:rPr>
      </w:pPr>
      <w:r w:rsidRPr="006B6AC0">
        <w:rPr>
          <w:lang w:val="sv-SE"/>
        </w:rPr>
        <w:t>Om</w:t>
      </w:r>
      <w:r w:rsidRPr="006B6AC0">
        <w:rPr>
          <w:szCs w:val="22"/>
          <w:lang w:val="sv-SE"/>
        </w:rPr>
        <w:t xml:space="preserve"> Bolaget lämnar meddelande om planerad gränsöverskridande ombildning enligt ovan, ska </w:t>
      </w:r>
      <w:r w:rsidRPr="00D00630">
        <w:rPr>
          <w:szCs w:val="22"/>
          <w:lang w:val="sv-SE"/>
        </w:rPr>
        <w:t>Optionsinnehavare</w:t>
      </w:r>
      <w:r w:rsidRPr="006B6AC0">
        <w:rPr>
          <w:szCs w:val="22"/>
          <w:lang w:val="sv-SE"/>
        </w:rPr>
        <w:t xml:space="preserve"> – oavsett vad som i punkt </w:t>
      </w:r>
      <w:r>
        <w:rPr>
          <w:szCs w:val="22"/>
        </w:rPr>
        <w:fldChar w:fldCharType="begin"/>
      </w:r>
      <w:r w:rsidRPr="006B6AC0">
        <w:rPr>
          <w:szCs w:val="22"/>
          <w:lang w:val="sv-SE"/>
        </w:rPr>
        <w:instrText xml:space="preserve"> REF _Ref167350058 \r \h </w:instrText>
      </w:r>
      <w:r>
        <w:rPr>
          <w:szCs w:val="22"/>
        </w:rPr>
      </w:r>
      <w:r>
        <w:rPr>
          <w:szCs w:val="22"/>
        </w:rPr>
        <w:fldChar w:fldCharType="separate"/>
      </w:r>
      <w:r w:rsidRPr="006B6AC0">
        <w:rPr>
          <w:szCs w:val="22"/>
          <w:lang w:val="sv-SE"/>
        </w:rPr>
        <w:t>4</w:t>
      </w:r>
      <w:r>
        <w:rPr>
          <w:szCs w:val="22"/>
        </w:rPr>
        <w:fldChar w:fldCharType="end"/>
      </w:r>
      <w:r w:rsidRPr="006B6AC0">
        <w:rPr>
          <w:szCs w:val="22"/>
          <w:lang w:val="sv-SE"/>
        </w:rPr>
        <w:t xml:space="preserve"> ovan sägs om tidigaste tidpunkt för anmälan om Teckning – äga rätt att påkalla Teckning från den dag då meddelandet lämnats om ombildningsavsikten, förutsatt att Teckning kan verkställas senast på tionde kalenderdagen före den bolagsstämma vid vilken ombildningsplanen ska godkännas.</w:t>
      </w:r>
      <w:r w:rsidRPr="006B6AC0">
        <w:rPr>
          <w:szCs w:val="22"/>
          <w:lang w:val="sv-SE"/>
        </w:rPr>
        <w:br/>
      </w:r>
      <w:r w:rsidRPr="002D0367">
        <w:rPr>
          <w:i/>
          <w:szCs w:val="22"/>
          <w:lang w:val="en-US"/>
        </w:rPr>
        <w:t xml:space="preserve">In the event the Company gives notice regarding a intended </w:t>
      </w:r>
      <w:r>
        <w:rPr>
          <w:i/>
          <w:szCs w:val="22"/>
          <w:lang w:val="en-US"/>
        </w:rPr>
        <w:t>cross-border conversion</w:t>
      </w:r>
      <w:r w:rsidRPr="002D0367">
        <w:rPr>
          <w:i/>
          <w:szCs w:val="22"/>
          <w:lang w:val="en-US"/>
        </w:rPr>
        <w:t xml:space="preserve"> in accordance with the above, each Warrant </w:t>
      </w:r>
      <w:r>
        <w:rPr>
          <w:i/>
          <w:szCs w:val="22"/>
          <w:lang w:val="en-US"/>
        </w:rPr>
        <w:t>H</w:t>
      </w:r>
      <w:r w:rsidRPr="002D0367">
        <w:rPr>
          <w:i/>
          <w:szCs w:val="22"/>
          <w:lang w:val="en-US"/>
        </w:rPr>
        <w:t xml:space="preserve">older – irrespective of what is set forth in </w:t>
      </w:r>
      <w:r>
        <w:rPr>
          <w:i/>
          <w:szCs w:val="22"/>
          <w:lang w:val="en-US"/>
        </w:rPr>
        <w:t>s</w:t>
      </w:r>
      <w:r w:rsidRPr="002D0367">
        <w:rPr>
          <w:i/>
          <w:szCs w:val="22"/>
          <w:lang w:val="en-US"/>
        </w:rPr>
        <w:t>ection</w:t>
      </w:r>
      <w:r>
        <w:rPr>
          <w:i/>
          <w:szCs w:val="22"/>
          <w:lang w:val="en-US"/>
        </w:rPr>
        <w:t> </w:t>
      </w:r>
      <w:r>
        <w:rPr>
          <w:i/>
          <w:szCs w:val="22"/>
          <w:lang w:val="en-US"/>
        </w:rPr>
        <w:fldChar w:fldCharType="begin"/>
      </w:r>
      <w:r>
        <w:rPr>
          <w:i/>
          <w:szCs w:val="22"/>
          <w:lang w:val="en-US"/>
        </w:rPr>
        <w:instrText xml:space="preserve"> REF _Ref167350058 \r \h </w:instrText>
      </w:r>
      <w:r>
        <w:rPr>
          <w:i/>
          <w:szCs w:val="22"/>
          <w:lang w:val="en-US"/>
        </w:rPr>
      </w:r>
      <w:r>
        <w:rPr>
          <w:i/>
          <w:szCs w:val="22"/>
          <w:lang w:val="en-US"/>
        </w:rPr>
        <w:fldChar w:fldCharType="separate"/>
      </w:r>
      <w:r>
        <w:rPr>
          <w:i/>
          <w:szCs w:val="22"/>
          <w:lang w:val="en-US"/>
        </w:rPr>
        <w:t>4</w:t>
      </w:r>
      <w:r>
        <w:rPr>
          <w:i/>
          <w:szCs w:val="22"/>
          <w:lang w:val="en-US"/>
        </w:rPr>
        <w:fldChar w:fldCharType="end"/>
      </w:r>
      <w:r w:rsidRPr="002D0367">
        <w:rPr>
          <w:i/>
          <w:szCs w:val="22"/>
          <w:lang w:val="en-US"/>
        </w:rPr>
        <w:t xml:space="preserve"> above regarding the earliest time at which notice for Subscription may be made – shall be entitled to make a notice for Subscription from the date on which notice is given, provided it is possible to effect Subscription not later than the tenth calendar day prior to the shareholders' meeting at which the </w:t>
      </w:r>
      <w:r>
        <w:rPr>
          <w:i/>
          <w:szCs w:val="22"/>
          <w:lang w:val="en-US"/>
        </w:rPr>
        <w:t>conversion</w:t>
      </w:r>
      <w:r w:rsidRPr="002D0367">
        <w:rPr>
          <w:i/>
          <w:szCs w:val="22"/>
          <w:lang w:val="en-US"/>
        </w:rPr>
        <w:t xml:space="preserve"> plan is to be approved.</w:t>
      </w:r>
    </w:p>
    <w:p w14:paraId="402371DA" w14:textId="77777777" w:rsidR="006350FE" w:rsidRPr="00A50800" w:rsidRDefault="006350FE" w:rsidP="006350FE">
      <w:pPr>
        <w:pStyle w:val="BodyText"/>
        <w:numPr>
          <w:ilvl w:val="2"/>
          <w:numId w:val="55"/>
        </w:numPr>
        <w:spacing w:after="0"/>
        <w:rPr>
          <w:b/>
          <w:lang w:val="sv-SE"/>
        </w:rPr>
      </w:pPr>
      <w:r w:rsidRPr="00A50800">
        <w:rPr>
          <w:b/>
          <w:lang w:val="sv-SE"/>
        </w:rPr>
        <w:t xml:space="preserve">Återställande av rätt att teckna </w:t>
      </w:r>
      <w:r>
        <w:rPr>
          <w:b/>
          <w:lang w:val="sv-SE"/>
        </w:rPr>
        <w:t>Aktie</w:t>
      </w:r>
      <w:r w:rsidRPr="00A50800">
        <w:rPr>
          <w:b/>
          <w:lang w:val="sv-SE"/>
        </w:rPr>
        <w:t>r/</w:t>
      </w:r>
      <w:r w:rsidRPr="00A50800">
        <w:rPr>
          <w:b/>
          <w:i/>
          <w:lang w:val="sv-SE"/>
        </w:rPr>
        <w:t xml:space="preserve">Restoration of </w:t>
      </w:r>
      <w:proofErr w:type="spellStart"/>
      <w:r w:rsidRPr="00A50800">
        <w:rPr>
          <w:b/>
          <w:i/>
          <w:lang w:val="sv-SE"/>
        </w:rPr>
        <w:t>rights</w:t>
      </w:r>
      <w:proofErr w:type="spellEnd"/>
    </w:p>
    <w:p w14:paraId="2AD394BC" w14:textId="77777777" w:rsidR="006350FE" w:rsidRPr="00437F01" w:rsidRDefault="006350FE" w:rsidP="006350FE">
      <w:pPr>
        <w:pStyle w:val="BodyText"/>
        <w:ind w:left="720"/>
      </w:pPr>
      <w:r w:rsidRPr="00A50800">
        <w:rPr>
          <w:lang w:val="sv-SE"/>
        </w:rPr>
        <w:t xml:space="preserve">Oavsett vad under punkterna </w:t>
      </w:r>
      <w:r>
        <w:rPr>
          <w:szCs w:val="22"/>
        </w:rPr>
        <w:fldChar w:fldCharType="begin"/>
      </w:r>
      <w:r>
        <w:rPr>
          <w:lang w:val="sv-SE"/>
        </w:rPr>
        <w:instrText xml:space="preserve"> REF _Ref445999119 \r \h </w:instrText>
      </w:r>
      <w:r>
        <w:rPr>
          <w:szCs w:val="22"/>
        </w:rPr>
      </w:r>
      <w:r>
        <w:rPr>
          <w:szCs w:val="22"/>
        </w:rPr>
        <w:fldChar w:fldCharType="separate"/>
      </w:r>
      <w:r>
        <w:rPr>
          <w:lang w:val="sv-SE"/>
        </w:rPr>
        <w:t>8.2.14</w:t>
      </w:r>
      <w:r>
        <w:rPr>
          <w:szCs w:val="22"/>
        </w:rPr>
        <w:fldChar w:fldCharType="end"/>
      </w:r>
      <w:r w:rsidRPr="00A50800">
        <w:rPr>
          <w:szCs w:val="22"/>
          <w:lang w:val="sv-SE"/>
        </w:rPr>
        <w:t xml:space="preserve">, </w:t>
      </w:r>
      <w:r>
        <w:rPr>
          <w:szCs w:val="22"/>
        </w:rPr>
        <w:fldChar w:fldCharType="begin"/>
      </w:r>
      <w:r>
        <w:rPr>
          <w:szCs w:val="22"/>
          <w:lang w:val="sv-SE"/>
        </w:rPr>
        <w:instrText xml:space="preserve"> REF _Ref445999126 \r \h </w:instrText>
      </w:r>
      <w:r>
        <w:rPr>
          <w:szCs w:val="22"/>
        </w:rPr>
      </w:r>
      <w:r>
        <w:rPr>
          <w:szCs w:val="22"/>
        </w:rPr>
        <w:fldChar w:fldCharType="separate"/>
      </w:r>
      <w:r>
        <w:rPr>
          <w:szCs w:val="22"/>
          <w:lang w:val="sv-SE"/>
        </w:rPr>
        <w:t>8.2.15</w:t>
      </w:r>
      <w:r>
        <w:rPr>
          <w:szCs w:val="22"/>
        </w:rPr>
        <w:fldChar w:fldCharType="end"/>
      </w:r>
      <w:r>
        <w:rPr>
          <w:lang w:val="sv-SE"/>
        </w:rPr>
        <w:t xml:space="preserve">, </w:t>
      </w:r>
      <w:r>
        <w:rPr>
          <w:szCs w:val="22"/>
        </w:rPr>
        <w:fldChar w:fldCharType="begin"/>
      </w:r>
      <w:r>
        <w:rPr>
          <w:lang w:val="sv-SE"/>
        </w:rPr>
        <w:instrText xml:space="preserve"> REF _Ref445999098 \r \h </w:instrText>
      </w:r>
      <w:r>
        <w:rPr>
          <w:szCs w:val="22"/>
        </w:rPr>
      </w:r>
      <w:r>
        <w:rPr>
          <w:szCs w:val="22"/>
        </w:rPr>
        <w:fldChar w:fldCharType="separate"/>
      </w:r>
      <w:r>
        <w:rPr>
          <w:lang w:val="sv-SE"/>
        </w:rPr>
        <w:t>8.2.16</w:t>
      </w:r>
      <w:r>
        <w:rPr>
          <w:szCs w:val="22"/>
        </w:rPr>
        <w:fldChar w:fldCharType="end"/>
      </w:r>
      <w:r w:rsidRPr="00A50800">
        <w:rPr>
          <w:lang w:val="sv-SE"/>
        </w:rPr>
        <w:t xml:space="preserve"> </w:t>
      </w:r>
      <w:r>
        <w:rPr>
          <w:lang w:val="sv-SE"/>
        </w:rPr>
        <w:t xml:space="preserve">och </w:t>
      </w:r>
      <w:r>
        <w:rPr>
          <w:lang w:val="sv-SE"/>
        </w:rPr>
        <w:fldChar w:fldCharType="begin"/>
      </w:r>
      <w:r>
        <w:rPr>
          <w:lang w:val="sv-SE"/>
        </w:rPr>
        <w:instrText xml:space="preserve"> REF _Ref168476295 \r \h </w:instrText>
      </w:r>
      <w:r>
        <w:rPr>
          <w:lang w:val="sv-SE"/>
        </w:rPr>
      </w:r>
      <w:r>
        <w:rPr>
          <w:lang w:val="sv-SE"/>
        </w:rPr>
        <w:fldChar w:fldCharType="separate"/>
      </w:r>
      <w:r>
        <w:rPr>
          <w:lang w:val="sv-SE"/>
        </w:rPr>
        <w:t>8.2.17</w:t>
      </w:r>
      <w:r>
        <w:rPr>
          <w:lang w:val="sv-SE"/>
        </w:rPr>
        <w:fldChar w:fldCharType="end"/>
      </w:r>
      <w:r>
        <w:rPr>
          <w:lang w:val="sv-SE"/>
        </w:rPr>
        <w:t xml:space="preserve"> </w:t>
      </w:r>
      <w:r w:rsidRPr="00A50800">
        <w:rPr>
          <w:lang w:val="sv-SE"/>
        </w:rPr>
        <w:t>ovan sagts om att anmälan om Teckning ej får ske efter beslut om likvidation, godkännande av fusionsplan/delningsplan</w:t>
      </w:r>
      <w:r>
        <w:rPr>
          <w:lang w:val="sv-SE"/>
        </w:rPr>
        <w:t>/ombildningsplan</w:t>
      </w:r>
      <w:r w:rsidRPr="00A50800">
        <w:rPr>
          <w:lang w:val="sv-SE"/>
        </w:rPr>
        <w:t xml:space="preserve"> eller efter utgången av ny slutdag vid fusion</w:t>
      </w:r>
      <w:r>
        <w:rPr>
          <w:lang w:val="sv-SE"/>
        </w:rPr>
        <w:t xml:space="preserve">, </w:t>
      </w:r>
      <w:r w:rsidRPr="00A50800">
        <w:rPr>
          <w:lang w:val="sv-SE"/>
        </w:rPr>
        <w:t xml:space="preserve">delning </w:t>
      </w:r>
      <w:r>
        <w:rPr>
          <w:lang w:val="sv-SE"/>
        </w:rPr>
        <w:t>eller ombildning ska</w:t>
      </w:r>
      <w:r w:rsidRPr="00A50800">
        <w:rPr>
          <w:lang w:val="sv-SE"/>
        </w:rPr>
        <w:t xml:space="preserve"> rätten att göra anmälan om Teckning åter inträda för det fall att likvidationen upphör respektive fusionen</w:t>
      </w:r>
      <w:r>
        <w:rPr>
          <w:lang w:val="sv-SE"/>
        </w:rPr>
        <w:t xml:space="preserve">, </w:t>
      </w:r>
      <w:r w:rsidRPr="00A50800">
        <w:rPr>
          <w:lang w:val="sv-SE"/>
        </w:rPr>
        <w:t xml:space="preserve">delningen </w:t>
      </w:r>
      <w:r>
        <w:rPr>
          <w:lang w:val="sv-SE"/>
        </w:rPr>
        <w:t xml:space="preserve">eller ombildningen </w:t>
      </w:r>
      <w:r w:rsidRPr="00A50800">
        <w:rPr>
          <w:lang w:val="sv-SE"/>
        </w:rPr>
        <w:t>ej genomförs.</w:t>
      </w:r>
      <w:r w:rsidRPr="00A50800">
        <w:rPr>
          <w:lang w:val="sv-SE"/>
        </w:rPr>
        <w:br/>
      </w:r>
      <w:r w:rsidRPr="00437F01">
        <w:rPr>
          <w:i/>
        </w:rPr>
        <w:t xml:space="preserve">Notwithstanding the provisions set forth in sections </w:t>
      </w:r>
      <w:r>
        <w:rPr>
          <w:i/>
          <w:szCs w:val="22"/>
        </w:rPr>
        <w:fldChar w:fldCharType="begin"/>
      </w:r>
      <w:r>
        <w:rPr>
          <w:i/>
        </w:rPr>
        <w:instrText xml:space="preserve"> REF _Ref445999119 \r \h </w:instrText>
      </w:r>
      <w:r>
        <w:rPr>
          <w:i/>
          <w:szCs w:val="22"/>
        </w:rPr>
      </w:r>
      <w:r>
        <w:rPr>
          <w:i/>
          <w:szCs w:val="22"/>
        </w:rPr>
        <w:fldChar w:fldCharType="separate"/>
      </w:r>
      <w:r>
        <w:rPr>
          <w:i/>
        </w:rPr>
        <w:t>8.2.14</w:t>
      </w:r>
      <w:r>
        <w:rPr>
          <w:i/>
          <w:szCs w:val="22"/>
        </w:rPr>
        <w:fldChar w:fldCharType="end"/>
      </w:r>
      <w:r w:rsidRPr="00437F01">
        <w:rPr>
          <w:i/>
          <w:szCs w:val="22"/>
        </w:rPr>
        <w:t xml:space="preserve">, </w:t>
      </w:r>
      <w:r>
        <w:rPr>
          <w:i/>
          <w:szCs w:val="22"/>
        </w:rPr>
        <w:fldChar w:fldCharType="begin"/>
      </w:r>
      <w:r>
        <w:rPr>
          <w:i/>
          <w:szCs w:val="22"/>
        </w:rPr>
        <w:instrText xml:space="preserve"> REF _Ref445999126 \r \h </w:instrText>
      </w:r>
      <w:r>
        <w:rPr>
          <w:i/>
          <w:szCs w:val="22"/>
        </w:rPr>
      </w:r>
      <w:r>
        <w:rPr>
          <w:i/>
          <w:szCs w:val="22"/>
        </w:rPr>
        <w:fldChar w:fldCharType="separate"/>
      </w:r>
      <w:r>
        <w:rPr>
          <w:i/>
          <w:szCs w:val="22"/>
        </w:rPr>
        <w:t>8.2.15</w:t>
      </w:r>
      <w:r>
        <w:rPr>
          <w:i/>
          <w:szCs w:val="22"/>
        </w:rPr>
        <w:fldChar w:fldCharType="end"/>
      </w:r>
      <w:r>
        <w:rPr>
          <w:i/>
        </w:rPr>
        <w:t xml:space="preserve">, </w:t>
      </w:r>
      <w:r>
        <w:rPr>
          <w:i/>
          <w:szCs w:val="22"/>
        </w:rPr>
        <w:fldChar w:fldCharType="begin"/>
      </w:r>
      <w:r>
        <w:rPr>
          <w:i/>
        </w:rPr>
        <w:instrText xml:space="preserve"> REF _Ref445999098 \r \h </w:instrText>
      </w:r>
      <w:r>
        <w:rPr>
          <w:i/>
          <w:szCs w:val="22"/>
        </w:rPr>
      </w:r>
      <w:r>
        <w:rPr>
          <w:i/>
          <w:szCs w:val="22"/>
        </w:rPr>
        <w:fldChar w:fldCharType="separate"/>
      </w:r>
      <w:r>
        <w:rPr>
          <w:i/>
        </w:rPr>
        <w:t>8.2.16</w:t>
      </w:r>
      <w:r>
        <w:rPr>
          <w:i/>
          <w:szCs w:val="22"/>
        </w:rPr>
        <w:fldChar w:fldCharType="end"/>
      </w:r>
      <w:r w:rsidRPr="00437F01">
        <w:rPr>
          <w:i/>
        </w:rPr>
        <w:t xml:space="preserve"> </w:t>
      </w:r>
      <w:r>
        <w:rPr>
          <w:i/>
        </w:rPr>
        <w:t xml:space="preserve">and </w:t>
      </w:r>
      <w:r>
        <w:rPr>
          <w:i/>
        </w:rPr>
        <w:fldChar w:fldCharType="begin"/>
      </w:r>
      <w:r>
        <w:rPr>
          <w:i/>
        </w:rPr>
        <w:instrText xml:space="preserve"> REF _Ref168476295 \r \h </w:instrText>
      </w:r>
      <w:r>
        <w:rPr>
          <w:i/>
        </w:rPr>
      </w:r>
      <w:r>
        <w:rPr>
          <w:i/>
        </w:rPr>
        <w:fldChar w:fldCharType="separate"/>
      </w:r>
      <w:r>
        <w:rPr>
          <w:i/>
        </w:rPr>
        <w:t>8.2.17</w:t>
      </w:r>
      <w:r>
        <w:rPr>
          <w:i/>
        </w:rPr>
        <w:fldChar w:fldCharType="end"/>
      </w:r>
      <w:r>
        <w:rPr>
          <w:i/>
        </w:rPr>
        <w:t xml:space="preserve"> </w:t>
      </w:r>
      <w:r w:rsidRPr="00437F01">
        <w:rPr>
          <w:i/>
        </w:rPr>
        <w:t xml:space="preserve">above stating that notice for Subscriptions may not be made following the </w:t>
      </w:r>
      <w:r>
        <w:rPr>
          <w:i/>
        </w:rPr>
        <w:t>resolution</w:t>
      </w:r>
      <w:r w:rsidRPr="00437F01">
        <w:rPr>
          <w:i/>
        </w:rPr>
        <w:t xml:space="preserve"> o</w:t>
      </w:r>
      <w:r>
        <w:rPr>
          <w:i/>
        </w:rPr>
        <w:t>n</w:t>
      </w:r>
      <w:r w:rsidRPr="00437F01">
        <w:rPr>
          <w:i/>
        </w:rPr>
        <w:t xml:space="preserve"> liquidation, approval of a merger plan/demerger plan</w:t>
      </w:r>
      <w:r>
        <w:rPr>
          <w:i/>
        </w:rPr>
        <w:t>/conversion plan</w:t>
      </w:r>
      <w:r w:rsidRPr="00437F01">
        <w:rPr>
          <w:i/>
        </w:rPr>
        <w:t xml:space="preserve"> or the end of a new expiration date at a merger</w:t>
      </w:r>
      <w:r>
        <w:rPr>
          <w:i/>
        </w:rPr>
        <w:t xml:space="preserve">, </w:t>
      </w:r>
      <w:r w:rsidRPr="00437F01">
        <w:rPr>
          <w:i/>
        </w:rPr>
        <w:t>demerger</w:t>
      </w:r>
      <w:r>
        <w:rPr>
          <w:i/>
        </w:rPr>
        <w:t xml:space="preserve"> or conversion</w:t>
      </w:r>
      <w:r w:rsidRPr="00437F01">
        <w:rPr>
          <w:i/>
        </w:rPr>
        <w:t>, the right to make a notice for Subscription shall be reinstated in the event the liquidation is terminated or where the merger</w:t>
      </w:r>
      <w:r>
        <w:rPr>
          <w:i/>
        </w:rPr>
        <w:t xml:space="preserve">, </w:t>
      </w:r>
      <w:r w:rsidRPr="00437F01">
        <w:rPr>
          <w:i/>
        </w:rPr>
        <w:t xml:space="preserve">demerger </w:t>
      </w:r>
      <w:r>
        <w:rPr>
          <w:i/>
        </w:rPr>
        <w:t xml:space="preserve">or conversion </w:t>
      </w:r>
      <w:r w:rsidRPr="00437F01">
        <w:rPr>
          <w:i/>
        </w:rPr>
        <w:t>is not executed.</w:t>
      </w:r>
    </w:p>
    <w:p w14:paraId="11FDB04A" w14:textId="77777777" w:rsidR="006350FE" w:rsidRPr="00A50800" w:rsidRDefault="006350FE" w:rsidP="006350FE">
      <w:pPr>
        <w:pStyle w:val="BodyText"/>
        <w:numPr>
          <w:ilvl w:val="2"/>
          <w:numId w:val="55"/>
        </w:numPr>
        <w:spacing w:after="0"/>
        <w:rPr>
          <w:b/>
          <w:lang w:val="sv-SE"/>
        </w:rPr>
      </w:pPr>
      <w:r w:rsidRPr="00A50800">
        <w:rPr>
          <w:b/>
          <w:lang w:val="sv-SE"/>
        </w:rPr>
        <w:t>Konkurs/</w:t>
      </w:r>
      <w:proofErr w:type="spellStart"/>
      <w:r w:rsidRPr="00A50800">
        <w:rPr>
          <w:b/>
          <w:i/>
          <w:lang w:val="sv-SE"/>
        </w:rPr>
        <w:t>Bankruptcy</w:t>
      </w:r>
      <w:proofErr w:type="spellEnd"/>
    </w:p>
    <w:p w14:paraId="4C60BF01" w14:textId="77777777" w:rsidR="006350FE" w:rsidRPr="00437F01" w:rsidRDefault="006350FE" w:rsidP="006350FE">
      <w:pPr>
        <w:pStyle w:val="BodyText"/>
        <w:ind w:left="720"/>
      </w:pPr>
      <w:r w:rsidRPr="00A50800">
        <w:rPr>
          <w:lang w:val="sv-SE"/>
        </w:rPr>
        <w:t xml:space="preserve">För den händelse Bolaget skulle </w:t>
      </w:r>
      <w:r w:rsidRPr="00A50800">
        <w:rPr>
          <w:u w:val="single"/>
          <w:lang w:val="sv-SE"/>
        </w:rPr>
        <w:t>försättas i konkurs</w:t>
      </w:r>
      <w:r w:rsidRPr="00A50800">
        <w:rPr>
          <w:lang w:val="sv-SE"/>
        </w:rPr>
        <w:t>, får anmälan om Teckning ej därefter ske. Om emellertid konkursbeslutet häves av högre rätt får anmälan om Teckning återigen ske.</w:t>
      </w:r>
      <w:r w:rsidRPr="00A50800">
        <w:rPr>
          <w:lang w:val="sv-SE"/>
        </w:rPr>
        <w:br/>
      </w:r>
      <w:r w:rsidRPr="00437F01">
        <w:rPr>
          <w:i/>
        </w:rPr>
        <w:t xml:space="preserve">In the event the Company is </w:t>
      </w:r>
      <w:r w:rsidRPr="00437F01">
        <w:rPr>
          <w:i/>
          <w:u w:val="single"/>
        </w:rPr>
        <w:t>declared bankrupt</w:t>
      </w:r>
      <w:r w:rsidRPr="00437F01">
        <w:rPr>
          <w:i/>
        </w:rPr>
        <w:t>, notice for Subscription may not thereafter be made. Where, however, the bankruptcy decision is reversed by a court of higher instance, notice for Subscription may again be made.</w:t>
      </w:r>
    </w:p>
    <w:p w14:paraId="368C6514" w14:textId="77777777" w:rsidR="006350FE" w:rsidRPr="00A50800" w:rsidRDefault="006350FE" w:rsidP="006350FE">
      <w:pPr>
        <w:pStyle w:val="BodyText"/>
        <w:numPr>
          <w:ilvl w:val="2"/>
          <w:numId w:val="55"/>
        </w:numPr>
        <w:spacing w:after="0"/>
        <w:rPr>
          <w:b/>
          <w:lang w:val="sv-SE"/>
        </w:rPr>
      </w:pPr>
      <w:r w:rsidRPr="00A50800">
        <w:rPr>
          <w:b/>
          <w:lang w:val="sv-SE"/>
        </w:rPr>
        <w:t>Notering/</w:t>
      </w:r>
      <w:proofErr w:type="spellStart"/>
      <w:r w:rsidRPr="00A50800">
        <w:rPr>
          <w:b/>
          <w:i/>
          <w:lang w:val="sv-SE"/>
        </w:rPr>
        <w:t>Listing</w:t>
      </w:r>
      <w:proofErr w:type="spellEnd"/>
    </w:p>
    <w:p w14:paraId="430E7054" w14:textId="77777777" w:rsidR="006350FE" w:rsidRPr="00437F01" w:rsidRDefault="006350FE" w:rsidP="006350FE">
      <w:pPr>
        <w:pStyle w:val="BodyText"/>
        <w:ind w:left="720"/>
      </w:pPr>
      <w:r w:rsidRPr="00A50800">
        <w:rPr>
          <w:lang w:val="sv-SE"/>
        </w:rPr>
        <w:t xml:space="preserve">Vad som ovan angivits rörande notering på handelsplats </w:t>
      </w:r>
      <w:r>
        <w:rPr>
          <w:lang w:val="sv-SE"/>
        </w:rPr>
        <w:t>ska</w:t>
      </w:r>
      <w:r w:rsidRPr="00A50800">
        <w:rPr>
          <w:lang w:val="sv-SE"/>
        </w:rPr>
        <w:t xml:space="preserve"> gälla för det fall Bolagets Aktier är föremål för offentlig och organiserad handel på reglerad marknad eller annan organiserad multilateral handelsplattform. Hänvisning till handelsplats </w:t>
      </w:r>
      <w:r>
        <w:rPr>
          <w:lang w:val="sv-SE"/>
        </w:rPr>
        <w:t>ska</w:t>
      </w:r>
      <w:r w:rsidRPr="00A50800">
        <w:rPr>
          <w:lang w:val="sv-SE"/>
        </w:rPr>
        <w:t xml:space="preserve"> då avse sådan reglerad marknad eller annan multilateral handelsplattform.</w:t>
      </w:r>
      <w:r w:rsidRPr="00A50800">
        <w:rPr>
          <w:szCs w:val="22"/>
          <w:lang w:val="sv-SE"/>
        </w:rPr>
        <w:t xml:space="preserve"> Vid utgivandet av Teckningsoptionerna är Aktier</w:t>
      </w:r>
      <w:r w:rsidRPr="008570D1">
        <w:rPr>
          <w:szCs w:val="22"/>
          <w:lang w:val="sv-SE"/>
        </w:rPr>
        <w:t xml:space="preserve">na noterade på Nasdaq </w:t>
      </w:r>
      <w:proofErr w:type="spellStart"/>
      <w:r w:rsidRPr="008570D1">
        <w:rPr>
          <w:szCs w:val="22"/>
          <w:lang w:val="sv-SE"/>
        </w:rPr>
        <w:t>First</w:t>
      </w:r>
      <w:proofErr w:type="spellEnd"/>
      <w:r w:rsidRPr="008570D1">
        <w:rPr>
          <w:szCs w:val="22"/>
          <w:lang w:val="sv-SE"/>
        </w:rPr>
        <w:t xml:space="preserve"> North Premier </w:t>
      </w:r>
      <w:proofErr w:type="spellStart"/>
      <w:r w:rsidRPr="008570D1">
        <w:rPr>
          <w:szCs w:val="22"/>
          <w:lang w:val="sv-SE"/>
        </w:rPr>
        <w:t>Growth</w:t>
      </w:r>
      <w:proofErr w:type="spellEnd"/>
      <w:r w:rsidRPr="008570D1">
        <w:rPr>
          <w:szCs w:val="22"/>
          <w:lang w:val="sv-SE"/>
        </w:rPr>
        <w:t xml:space="preserve"> Market som vid tillfället är en multilateral handelsplattform.</w:t>
      </w:r>
      <w:r w:rsidRPr="008570D1">
        <w:rPr>
          <w:lang w:val="sv-SE"/>
        </w:rPr>
        <w:br/>
      </w:r>
      <w:r w:rsidRPr="008570D1">
        <w:rPr>
          <w:i/>
        </w:rPr>
        <w:t>What is stated above concerning quoting on a market will apply if the Company's Shares are subject to public and organized trading on a regulated market or other organized multilateral trading facility. Reference to trading then shall apply to such a regulated market or other multilateral trading facility</w:t>
      </w:r>
      <w:r w:rsidRPr="008570D1">
        <w:t>.</w:t>
      </w:r>
      <w:r w:rsidRPr="008570D1">
        <w:rPr>
          <w:i/>
          <w:szCs w:val="22"/>
        </w:rPr>
        <w:t xml:space="preserve"> At the date of the issuance of the Warrants the Shares are listed </w:t>
      </w:r>
      <w:r w:rsidRPr="008570D1">
        <w:rPr>
          <w:i/>
          <w:szCs w:val="22"/>
        </w:rPr>
        <w:lastRenderedPageBreak/>
        <w:t xml:space="preserve">at </w:t>
      </w:r>
      <w:r w:rsidRPr="008570D1">
        <w:rPr>
          <w:i/>
          <w:iCs/>
          <w:szCs w:val="22"/>
        </w:rPr>
        <w:t>Nasdaq First North Premier Growth Market</w:t>
      </w:r>
      <w:r w:rsidRPr="008570D1">
        <w:rPr>
          <w:szCs w:val="22"/>
        </w:rPr>
        <w:t xml:space="preserve"> </w:t>
      </w:r>
      <w:r w:rsidRPr="008570D1">
        <w:rPr>
          <w:i/>
          <w:szCs w:val="22"/>
        </w:rPr>
        <w:t>which at that time is a multilateral trading facility.</w:t>
      </w:r>
    </w:p>
    <w:p w14:paraId="1BF82BF9" w14:textId="77777777" w:rsidR="006350FE" w:rsidRPr="00A50800" w:rsidRDefault="006350FE" w:rsidP="006350FE">
      <w:pPr>
        <w:pStyle w:val="BodyText"/>
        <w:numPr>
          <w:ilvl w:val="2"/>
          <w:numId w:val="55"/>
        </w:numPr>
        <w:spacing w:after="0"/>
        <w:rPr>
          <w:b/>
          <w:lang w:val="sv-SE"/>
        </w:rPr>
      </w:pPr>
      <w:r w:rsidRPr="00A50800">
        <w:rPr>
          <w:b/>
          <w:lang w:val="sv-SE"/>
        </w:rPr>
        <w:t>Kvotvärde/</w:t>
      </w:r>
      <w:proofErr w:type="spellStart"/>
      <w:r w:rsidRPr="00A50800">
        <w:rPr>
          <w:b/>
          <w:i/>
          <w:lang w:val="sv-SE"/>
        </w:rPr>
        <w:t>Quota</w:t>
      </w:r>
      <w:proofErr w:type="spellEnd"/>
      <w:r w:rsidRPr="00A50800">
        <w:rPr>
          <w:b/>
          <w:i/>
          <w:lang w:val="sv-SE"/>
        </w:rPr>
        <w:t xml:space="preserve"> </w:t>
      </w:r>
      <w:proofErr w:type="spellStart"/>
      <w:r w:rsidRPr="00A50800">
        <w:rPr>
          <w:b/>
          <w:i/>
          <w:lang w:val="sv-SE"/>
        </w:rPr>
        <w:t>value</w:t>
      </w:r>
      <w:proofErr w:type="spellEnd"/>
    </w:p>
    <w:p w14:paraId="1ABBA0B0" w14:textId="77777777" w:rsidR="006350FE" w:rsidRPr="00437F01" w:rsidRDefault="006350FE" w:rsidP="006350FE">
      <w:pPr>
        <w:pStyle w:val="BodyText"/>
        <w:ind w:left="720"/>
      </w:pPr>
      <w:r w:rsidRPr="00A50800">
        <w:rPr>
          <w:lang w:val="sv-SE"/>
        </w:rPr>
        <w:t xml:space="preserve">Om angiven åtgärd och omräkning enligt något av punkterna </w:t>
      </w:r>
      <w:r>
        <w:rPr>
          <w:szCs w:val="22"/>
        </w:rPr>
        <w:fldChar w:fldCharType="begin"/>
      </w:r>
      <w:r>
        <w:rPr>
          <w:lang w:val="sv-SE"/>
        </w:rPr>
        <w:instrText xml:space="preserve"> REF _Ref419826047 \r \h </w:instrText>
      </w:r>
      <w:r>
        <w:rPr>
          <w:szCs w:val="22"/>
        </w:rPr>
      </w:r>
      <w:r>
        <w:rPr>
          <w:szCs w:val="22"/>
        </w:rPr>
        <w:fldChar w:fldCharType="separate"/>
      </w:r>
      <w:r>
        <w:rPr>
          <w:lang w:val="sv-SE"/>
        </w:rPr>
        <w:t>8.2.2</w:t>
      </w:r>
      <w:r>
        <w:rPr>
          <w:szCs w:val="22"/>
        </w:rPr>
        <w:fldChar w:fldCharType="end"/>
      </w:r>
      <w:r w:rsidRPr="00A50800">
        <w:rPr>
          <w:lang w:val="sv-SE"/>
        </w:rPr>
        <w:t>–</w:t>
      </w:r>
      <w:r>
        <w:rPr>
          <w:szCs w:val="22"/>
        </w:rPr>
        <w:fldChar w:fldCharType="begin"/>
      </w:r>
      <w:r>
        <w:rPr>
          <w:szCs w:val="22"/>
          <w:lang w:val="sv-SE"/>
        </w:rPr>
        <w:instrText xml:space="preserve"> REF _Ref445999198 \r \h </w:instrText>
      </w:r>
      <w:r>
        <w:rPr>
          <w:szCs w:val="22"/>
        </w:rPr>
      </w:r>
      <w:r>
        <w:rPr>
          <w:szCs w:val="22"/>
        </w:rPr>
        <w:fldChar w:fldCharType="separate"/>
      </w:r>
      <w:r>
        <w:rPr>
          <w:szCs w:val="22"/>
          <w:lang w:val="sv-SE"/>
        </w:rPr>
        <w:t>8.2.12</w:t>
      </w:r>
      <w:r>
        <w:rPr>
          <w:szCs w:val="22"/>
        </w:rPr>
        <w:fldChar w:fldCharType="end"/>
      </w:r>
      <w:r w:rsidRPr="001B669B">
        <w:rPr>
          <w:szCs w:val="22"/>
          <w:lang w:val="sv-SE"/>
        </w:rPr>
        <w:t xml:space="preserve"> </w:t>
      </w:r>
      <w:r w:rsidRPr="00A50800">
        <w:rPr>
          <w:lang w:val="sv-SE"/>
        </w:rPr>
        <w:t xml:space="preserve">ovan skulle medföra en omräkning av Teckningskursen till ett belopp understigande </w:t>
      </w:r>
      <w:r>
        <w:rPr>
          <w:lang w:val="sv-SE"/>
        </w:rPr>
        <w:t>Aktie</w:t>
      </w:r>
      <w:r w:rsidRPr="00A50800">
        <w:rPr>
          <w:lang w:val="sv-SE"/>
        </w:rPr>
        <w:t xml:space="preserve">ns kvotvärde, </w:t>
      </w:r>
      <w:r>
        <w:rPr>
          <w:lang w:val="sv-SE"/>
        </w:rPr>
        <w:t>ska</w:t>
      </w:r>
      <w:r w:rsidRPr="00A50800">
        <w:rPr>
          <w:lang w:val="sv-SE"/>
        </w:rPr>
        <w:t xml:space="preserve"> ändå </w:t>
      </w:r>
      <w:r>
        <w:rPr>
          <w:lang w:val="sv-SE"/>
        </w:rPr>
        <w:t>Aktie</w:t>
      </w:r>
      <w:r w:rsidRPr="00A50800">
        <w:rPr>
          <w:lang w:val="sv-SE"/>
        </w:rPr>
        <w:t>ns kvotvärde erläggas för Aktie.</w:t>
      </w:r>
      <w:r w:rsidRPr="00A50800">
        <w:rPr>
          <w:lang w:val="sv-SE"/>
        </w:rPr>
        <w:br/>
      </w:r>
      <w:r w:rsidRPr="00437F01">
        <w:rPr>
          <w:i/>
        </w:rPr>
        <w:t xml:space="preserve">If the measures and recalculations stated in any of the sections </w:t>
      </w:r>
      <w:r>
        <w:rPr>
          <w:i/>
          <w:szCs w:val="22"/>
        </w:rPr>
        <w:fldChar w:fldCharType="begin"/>
      </w:r>
      <w:r>
        <w:rPr>
          <w:i/>
        </w:rPr>
        <w:instrText xml:space="preserve"> REF _Ref419826047 \r \h </w:instrText>
      </w:r>
      <w:r>
        <w:rPr>
          <w:i/>
          <w:szCs w:val="22"/>
        </w:rPr>
      </w:r>
      <w:r>
        <w:rPr>
          <w:i/>
          <w:szCs w:val="22"/>
        </w:rPr>
        <w:fldChar w:fldCharType="separate"/>
      </w:r>
      <w:r>
        <w:rPr>
          <w:i/>
        </w:rPr>
        <w:t>8.2.2</w:t>
      </w:r>
      <w:r>
        <w:rPr>
          <w:i/>
          <w:szCs w:val="22"/>
        </w:rPr>
        <w:fldChar w:fldCharType="end"/>
      </w:r>
      <w:r w:rsidRPr="00437F01">
        <w:rPr>
          <w:i/>
        </w:rPr>
        <w:t>–</w:t>
      </w:r>
      <w:r>
        <w:rPr>
          <w:i/>
          <w:szCs w:val="22"/>
        </w:rPr>
        <w:fldChar w:fldCharType="begin"/>
      </w:r>
      <w:r>
        <w:rPr>
          <w:i/>
          <w:szCs w:val="22"/>
        </w:rPr>
        <w:instrText xml:space="preserve"> REF _Ref445999198 \r \h </w:instrText>
      </w:r>
      <w:r>
        <w:rPr>
          <w:i/>
          <w:szCs w:val="22"/>
        </w:rPr>
      </w:r>
      <w:r>
        <w:rPr>
          <w:i/>
          <w:szCs w:val="22"/>
        </w:rPr>
        <w:fldChar w:fldCharType="separate"/>
      </w:r>
      <w:r>
        <w:rPr>
          <w:i/>
          <w:szCs w:val="22"/>
        </w:rPr>
        <w:t>8.2.12</w:t>
      </w:r>
      <w:r>
        <w:rPr>
          <w:i/>
          <w:szCs w:val="22"/>
        </w:rPr>
        <w:fldChar w:fldCharType="end"/>
      </w:r>
      <w:r>
        <w:rPr>
          <w:i/>
          <w:szCs w:val="22"/>
        </w:rPr>
        <w:t xml:space="preserve"> </w:t>
      </w:r>
      <w:r w:rsidRPr="00437F01">
        <w:rPr>
          <w:i/>
        </w:rPr>
        <w:t>above would result in a recalculation of the Subscription Price that would amount to a number less than the Share's quota value, the quota value shall nevertheless be paid for the Share.</w:t>
      </w:r>
    </w:p>
    <w:p w14:paraId="2B104061" w14:textId="77777777" w:rsidR="006350FE" w:rsidRPr="00D04C29" w:rsidRDefault="006350FE" w:rsidP="006350FE">
      <w:pPr>
        <w:pStyle w:val="BodyText"/>
        <w:numPr>
          <w:ilvl w:val="0"/>
          <w:numId w:val="55"/>
        </w:numPr>
        <w:spacing w:after="0"/>
        <w:rPr>
          <w:b/>
          <w:lang w:val="sv-SE"/>
        </w:rPr>
      </w:pPr>
      <w:r w:rsidRPr="00D04C29">
        <w:rPr>
          <w:b/>
          <w:lang w:val="sv-SE"/>
        </w:rPr>
        <w:t>Ersättning/</w:t>
      </w:r>
      <w:proofErr w:type="spellStart"/>
      <w:r w:rsidRPr="00D04C29">
        <w:rPr>
          <w:b/>
          <w:i/>
          <w:lang w:val="sv-SE"/>
        </w:rPr>
        <w:t>Compensation</w:t>
      </w:r>
      <w:proofErr w:type="spellEnd"/>
    </w:p>
    <w:p w14:paraId="298284CF" w14:textId="77777777" w:rsidR="006350FE" w:rsidRDefault="006350FE" w:rsidP="006350FE">
      <w:pPr>
        <w:pStyle w:val="BodyText"/>
        <w:ind w:left="720"/>
        <w:rPr>
          <w:i/>
        </w:rPr>
      </w:pPr>
      <w:r w:rsidRPr="00A50800">
        <w:rPr>
          <w:lang w:val="sv-SE"/>
        </w:rPr>
        <w:t xml:space="preserve">Om det vid tillämpningen av ändringarna i punkt </w:t>
      </w:r>
      <w:r>
        <w:rPr>
          <w:rFonts w:cstheme="minorHAnsi"/>
        </w:rPr>
        <w:fldChar w:fldCharType="begin"/>
      </w:r>
      <w:r>
        <w:rPr>
          <w:lang w:val="sv-SE"/>
        </w:rPr>
        <w:instrText xml:space="preserve"> REF _Ref419825929 \r \h </w:instrText>
      </w:r>
      <w:r>
        <w:rPr>
          <w:rFonts w:cstheme="minorHAnsi"/>
        </w:rPr>
      </w:r>
      <w:r>
        <w:rPr>
          <w:rFonts w:cstheme="minorHAnsi"/>
        </w:rPr>
        <w:fldChar w:fldCharType="separate"/>
      </w:r>
      <w:r>
        <w:rPr>
          <w:lang w:val="sv-SE"/>
        </w:rPr>
        <w:t>8.2</w:t>
      </w:r>
      <w:r>
        <w:rPr>
          <w:rFonts w:cstheme="minorHAnsi"/>
        </w:rPr>
        <w:fldChar w:fldCharType="end"/>
      </w:r>
      <w:r w:rsidRPr="00A50800">
        <w:rPr>
          <w:lang w:val="sv-SE"/>
        </w:rPr>
        <w:t xml:space="preserve">, inte är praktiskt eller juridiskt möjligt att tillämpa en reducerad Teckningskurs </w:t>
      </w:r>
      <w:r>
        <w:rPr>
          <w:lang w:val="sv-SE"/>
        </w:rPr>
        <w:t>ska</w:t>
      </w:r>
      <w:r w:rsidRPr="00A50800">
        <w:rPr>
          <w:lang w:val="sv-SE"/>
        </w:rPr>
        <w:t xml:space="preserve"> antalet Aktier som varje Teckningsoption berättigar Optionsinnehavaren att teckna, i ett andra steg, omräknas (dvs ökas) för att ersätta Optionsinnehavaren för den uteblivna reduceringen av Teckningskursen, dvs ökat krona för krona.</w:t>
      </w:r>
      <w:r w:rsidRPr="00A50800">
        <w:rPr>
          <w:lang w:val="sv-SE"/>
        </w:rPr>
        <w:br/>
      </w:r>
      <w:r w:rsidRPr="00437F01">
        <w:rPr>
          <w:i/>
        </w:rPr>
        <w:t xml:space="preserve">If, in the application of the adjustments in this section </w:t>
      </w:r>
      <w:r>
        <w:rPr>
          <w:i/>
        </w:rPr>
        <w:fldChar w:fldCharType="begin"/>
      </w:r>
      <w:r>
        <w:rPr>
          <w:i/>
        </w:rPr>
        <w:instrText xml:space="preserve"> REF _Ref419825929 \r \h </w:instrText>
      </w:r>
      <w:r>
        <w:rPr>
          <w:i/>
        </w:rPr>
      </w:r>
      <w:r>
        <w:rPr>
          <w:i/>
        </w:rPr>
        <w:fldChar w:fldCharType="separate"/>
      </w:r>
      <w:r>
        <w:rPr>
          <w:i/>
        </w:rPr>
        <w:t>8.2</w:t>
      </w:r>
      <w:r>
        <w:rPr>
          <w:i/>
        </w:rPr>
        <w:fldChar w:fldCharType="end"/>
      </w:r>
      <w:r w:rsidRPr="00437F01">
        <w:rPr>
          <w:i/>
        </w:rPr>
        <w:t xml:space="preserve">, it is not practicable or legally possible to apply a reduced Subscription Price, the number of Shares which each Warrant entitles the </w:t>
      </w:r>
      <w:r>
        <w:rPr>
          <w:i/>
        </w:rPr>
        <w:t>Warrant Holder</w:t>
      </w:r>
      <w:r w:rsidRPr="00437F01">
        <w:rPr>
          <w:i/>
        </w:rPr>
        <w:t xml:space="preserve"> to purchase shall, in a secondary step, be recalculated (i.e. increased) in order to compensate the </w:t>
      </w:r>
      <w:r>
        <w:rPr>
          <w:i/>
        </w:rPr>
        <w:t>Warrant Holder</w:t>
      </w:r>
      <w:r w:rsidRPr="00437F01">
        <w:rPr>
          <w:i/>
        </w:rPr>
        <w:t xml:space="preserve"> for the </w:t>
      </w:r>
      <w:proofErr w:type="spellStart"/>
      <w:r w:rsidRPr="00437F01">
        <w:rPr>
          <w:i/>
        </w:rPr>
        <w:t>non reduction</w:t>
      </w:r>
      <w:proofErr w:type="spellEnd"/>
      <w:r w:rsidRPr="00437F01">
        <w:rPr>
          <w:i/>
        </w:rPr>
        <w:t xml:space="preserve"> in the Subscription Price, i.e. increased krona per krona.</w:t>
      </w:r>
    </w:p>
    <w:p w14:paraId="0F2DBC30" w14:textId="77777777" w:rsidR="006350FE" w:rsidRPr="00D04C29" w:rsidRDefault="006350FE" w:rsidP="006350FE">
      <w:pPr>
        <w:pStyle w:val="BodyText"/>
        <w:numPr>
          <w:ilvl w:val="0"/>
          <w:numId w:val="55"/>
        </w:numPr>
        <w:spacing w:after="0"/>
        <w:rPr>
          <w:b/>
          <w:bCs/>
          <w:lang w:val="sv-SE"/>
        </w:rPr>
      </w:pPr>
      <w:r w:rsidRPr="00D04C29">
        <w:rPr>
          <w:b/>
          <w:bCs/>
          <w:lang w:val="sv-SE"/>
        </w:rPr>
        <w:t>Förvaltare/</w:t>
      </w:r>
      <w:proofErr w:type="spellStart"/>
      <w:r w:rsidRPr="00D04C29">
        <w:rPr>
          <w:b/>
          <w:bCs/>
          <w:i/>
          <w:lang w:val="sv-SE"/>
        </w:rPr>
        <w:t>Nominee</w:t>
      </w:r>
      <w:proofErr w:type="spellEnd"/>
    </w:p>
    <w:p w14:paraId="68993FBF" w14:textId="77777777" w:rsidR="006350FE" w:rsidRPr="00437F01" w:rsidRDefault="006350FE" w:rsidP="006350FE">
      <w:pPr>
        <w:pStyle w:val="BodyText"/>
        <w:ind w:left="720"/>
      </w:pPr>
      <w:r w:rsidRPr="00A50800">
        <w:rPr>
          <w:lang w:val="sv-SE"/>
        </w:rPr>
        <w:t xml:space="preserve">För Teckningsoption som är förvaltarregistrerad enligt lag om värdepapperscentraler och kontoföring av finansiella instrument </w:t>
      </w:r>
      <w:r>
        <w:rPr>
          <w:lang w:val="sv-SE"/>
        </w:rPr>
        <w:t>ska</w:t>
      </w:r>
      <w:r w:rsidRPr="00A50800">
        <w:rPr>
          <w:lang w:val="sv-SE"/>
        </w:rPr>
        <w:t xml:space="preserve"> vid tillämpningen av dessa villkor förvaltaren betraktas som </w:t>
      </w:r>
      <w:r>
        <w:rPr>
          <w:lang w:val="sv-SE"/>
        </w:rPr>
        <w:t>Optionsinnehavare</w:t>
      </w:r>
      <w:r w:rsidRPr="00A50800">
        <w:rPr>
          <w:lang w:val="sv-SE"/>
        </w:rPr>
        <w:t>.</w:t>
      </w:r>
      <w:r w:rsidRPr="00A50800">
        <w:rPr>
          <w:lang w:val="sv-SE"/>
        </w:rPr>
        <w:br/>
      </w:r>
      <w:r w:rsidRPr="00437F01">
        <w:rPr>
          <w:i/>
        </w:rPr>
        <w:t xml:space="preserve">If a Warrant is registered with a nominee pursuant to the Central Securities Depositories and Swedish Financial Instruments Accounts Act, such nominee shall be regarded as the </w:t>
      </w:r>
      <w:r>
        <w:rPr>
          <w:i/>
        </w:rPr>
        <w:t>Warrant Holder</w:t>
      </w:r>
      <w:r w:rsidRPr="00437F01">
        <w:rPr>
          <w:i/>
        </w:rPr>
        <w:t xml:space="preserve"> where these terms</w:t>
      </w:r>
      <w:r>
        <w:rPr>
          <w:i/>
        </w:rPr>
        <w:t xml:space="preserve"> and conditions</w:t>
      </w:r>
      <w:r w:rsidRPr="00437F01">
        <w:rPr>
          <w:i/>
        </w:rPr>
        <w:t xml:space="preserve"> are applied.</w:t>
      </w:r>
    </w:p>
    <w:p w14:paraId="5A2F7912" w14:textId="77777777" w:rsidR="006350FE" w:rsidRPr="00D04C29" w:rsidRDefault="006350FE" w:rsidP="006350FE">
      <w:pPr>
        <w:pStyle w:val="BodyText"/>
        <w:numPr>
          <w:ilvl w:val="0"/>
          <w:numId w:val="55"/>
        </w:numPr>
        <w:spacing w:after="0"/>
        <w:rPr>
          <w:b/>
          <w:bCs/>
          <w:lang w:val="sv-SE"/>
        </w:rPr>
      </w:pPr>
      <w:r w:rsidRPr="00D04C29">
        <w:rPr>
          <w:b/>
          <w:bCs/>
          <w:lang w:val="sv-SE"/>
        </w:rPr>
        <w:t>Meddelanden/</w:t>
      </w:r>
      <w:proofErr w:type="spellStart"/>
      <w:r w:rsidRPr="00D04C29">
        <w:rPr>
          <w:b/>
          <w:bCs/>
          <w:i/>
          <w:lang w:val="sv-SE"/>
        </w:rPr>
        <w:t>Notices</w:t>
      </w:r>
      <w:proofErr w:type="spellEnd"/>
    </w:p>
    <w:p w14:paraId="6A449CF3" w14:textId="77777777" w:rsidR="006350FE" w:rsidRPr="00437F01" w:rsidRDefault="006350FE" w:rsidP="006350FE">
      <w:pPr>
        <w:pStyle w:val="BodyText"/>
        <w:numPr>
          <w:ilvl w:val="1"/>
          <w:numId w:val="55"/>
        </w:numPr>
      </w:pPr>
      <w:r w:rsidRPr="00A50800">
        <w:rPr>
          <w:lang w:val="sv-SE"/>
        </w:rPr>
        <w:t xml:space="preserve">Meddelanden rörande Teckningsoptionerna </w:t>
      </w:r>
      <w:r>
        <w:rPr>
          <w:lang w:val="sv-SE"/>
        </w:rPr>
        <w:t>ska</w:t>
      </w:r>
      <w:r w:rsidRPr="00A50800">
        <w:rPr>
          <w:lang w:val="sv-SE"/>
        </w:rPr>
        <w:t xml:space="preserve"> tillställas varje </w:t>
      </w:r>
      <w:r>
        <w:rPr>
          <w:lang w:val="sv-SE"/>
        </w:rPr>
        <w:t>Optionsinnehavare</w:t>
      </w:r>
      <w:r w:rsidRPr="00A50800">
        <w:rPr>
          <w:lang w:val="sv-SE"/>
        </w:rPr>
        <w:t xml:space="preserve"> som skriftligen meddelat sin postadress till Bolaget.</w:t>
      </w:r>
      <w:r w:rsidRPr="00A50800">
        <w:rPr>
          <w:lang w:val="sv-SE"/>
        </w:rPr>
        <w:br/>
      </w:r>
      <w:r w:rsidRPr="00437F01">
        <w:rPr>
          <w:i/>
        </w:rPr>
        <w:t xml:space="preserve">Notices concerning the Warrants shall be sent to each </w:t>
      </w:r>
      <w:r>
        <w:rPr>
          <w:i/>
        </w:rPr>
        <w:t>Warrant Holder</w:t>
      </w:r>
      <w:r w:rsidRPr="00437F01">
        <w:rPr>
          <w:i/>
        </w:rPr>
        <w:t xml:space="preserve"> who has informed the Company of his/her/its </w:t>
      </w:r>
      <w:proofErr w:type="gramStart"/>
      <w:r w:rsidRPr="00437F01">
        <w:rPr>
          <w:i/>
        </w:rPr>
        <w:t>mail</w:t>
      </w:r>
      <w:proofErr w:type="gramEnd"/>
      <w:r w:rsidRPr="00437F01">
        <w:rPr>
          <w:i/>
        </w:rPr>
        <w:t xml:space="preserve"> address.</w:t>
      </w:r>
    </w:p>
    <w:p w14:paraId="65460851" w14:textId="77777777" w:rsidR="006350FE" w:rsidRPr="00437F01" w:rsidRDefault="006350FE" w:rsidP="006350FE">
      <w:pPr>
        <w:pStyle w:val="BodyText"/>
        <w:numPr>
          <w:ilvl w:val="1"/>
          <w:numId w:val="55"/>
        </w:numPr>
      </w:pPr>
      <w:r w:rsidRPr="00A50800">
        <w:rPr>
          <w:lang w:val="sv-SE"/>
        </w:rPr>
        <w:t xml:space="preserve">För det fall Teckningsoptionerna är registrerade av Euroclear i ett avstämningsregister </w:t>
      </w:r>
      <w:r>
        <w:rPr>
          <w:lang w:val="sv-SE"/>
        </w:rPr>
        <w:t>ska</w:t>
      </w:r>
      <w:r w:rsidRPr="00A50800">
        <w:rPr>
          <w:lang w:val="sv-SE"/>
        </w:rPr>
        <w:t xml:space="preserve"> meddelande rörande Teckningsoptionerna, istället för vad som stadgas i punkt </w:t>
      </w:r>
      <w:r>
        <w:fldChar w:fldCharType="begin"/>
      </w:r>
      <w:r>
        <w:rPr>
          <w:lang w:val="sv-SE"/>
        </w:rPr>
        <w:instrText xml:space="preserve"> REF _Ref167349964 \r \h </w:instrText>
      </w:r>
      <w:r>
        <w:fldChar w:fldCharType="separate"/>
      </w:r>
      <w:r>
        <w:rPr>
          <w:lang w:val="sv-SE"/>
        </w:rPr>
        <w:t>11.1</w:t>
      </w:r>
      <w:r>
        <w:fldChar w:fldCharType="end"/>
      </w:r>
      <w:r w:rsidRPr="00A50800">
        <w:rPr>
          <w:lang w:val="sv-SE"/>
        </w:rPr>
        <w:t xml:space="preserve"> ovan tillställas varje registrerad Optionsinnehavare och annan rättighetshavare som är antecknad på konto i Bolagets avstämningsregister.</w:t>
      </w:r>
      <w:r w:rsidRPr="00A50800">
        <w:rPr>
          <w:lang w:val="sv-SE"/>
        </w:rPr>
        <w:br/>
      </w:r>
      <w:r w:rsidRPr="00437F01">
        <w:rPr>
          <w:i/>
        </w:rPr>
        <w:t xml:space="preserve">In the event that the Warrants are registered with Euroclear in a, notices concerning the Warrants shall, instead of what is stated in section </w:t>
      </w:r>
      <w:r>
        <w:rPr>
          <w:b/>
          <w:i/>
        </w:rPr>
        <w:fldChar w:fldCharType="begin"/>
      </w:r>
      <w:r>
        <w:rPr>
          <w:i/>
        </w:rPr>
        <w:instrText xml:space="preserve"> REF _Ref167349964 \r \h </w:instrText>
      </w:r>
      <w:r>
        <w:rPr>
          <w:b/>
          <w:i/>
        </w:rPr>
      </w:r>
      <w:r>
        <w:rPr>
          <w:b/>
          <w:i/>
        </w:rPr>
        <w:fldChar w:fldCharType="separate"/>
      </w:r>
      <w:r>
        <w:rPr>
          <w:i/>
        </w:rPr>
        <w:t>11.1</w:t>
      </w:r>
      <w:r>
        <w:rPr>
          <w:b/>
          <w:i/>
        </w:rPr>
        <w:fldChar w:fldCharType="end"/>
      </w:r>
      <w:r w:rsidRPr="00437F01">
        <w:rPr>
          <w:i/>
        </w:rPr>
        <w:t xml:space="preserve"> above, be sent to each registered </w:t>
      </w:r>
      <w:r>
        <w:rPr>
          <w:i/>
        </w:rPr>
        <w:t>Warrant Holder</w:t>
      </w:r>
      <w:r w:rsidRPr="00437F01">
        <w:rPr>
          <w:i/>
        </w:rPr>
        <w:t xml:space="preserve"> or other right holder who is registered in an account the Company's securities register.</w:t>
      </w:r>
    </w:p>
    <w:p w14:paraId="4AB9F6CC" w14:textId="77777777" w:rsidR="006350FE" w:rsidRPr="00437F01" w:rsidRDefault="006350FE" w:rsidP="006350FE">
      <w:pPr>
        <w:pStyle w:val="BodyText"/>
        <w:numPr>
          <w:ilvl w:val="1"/>
          <w:numId w:val="55"/>
        </w:numPr>
      </w:pPr>
      <w:r w:rsidRPr="00A50800">
        <w:rPr>
          <w:lang w:val="sv-SE"/>
        </w:rPr>
        <w:t xml:space="preserve">Meddelanden </w:t>
      </w:r>
      <w:r>
        <w:rPr>
          <w:lang w:val="sv-SE"/>
        </w:rPr>
        <w:t>ska</w:t>
      </w:r>
      <w:r w:rsidRPr="00A50800">
        <w:rPr>
          <w:lang w:val="sv-SE"/>
        </w:rPr>
        <w:t>, i förekommande fall, även lämnas till marknadsplatsen och offentliggöras enligt marknadsplatsens regler.</w:t>
      </w:r>
      <w:r w:rsidRPr="00A50800">
        <w:rPr>
          <w:lang w:val="sv-SE"/>
        </w:rPr>
        <w:br/>
      </w:r>
      <w:r w:rsidRPr="00437F01">
        <w:rPr>
          <w:i/>
        </w:rPr>
        <w:t>Notices shall, if applicable, also be given to the market place and be made public in accordance with the rules applicable to such market place.</w:t>
      </w:r>
    </w:p>
    <w:p w14:paraId="5B3DD51D" w14:textId="77777777" w:rsidR="006350FE" w:rsidRPr="00D04C29" w:rsidRDefault="006350FE" w:rsidP="006350FE">
      <w:pPr>
        <w:pStyle w:val="BodyText"/>
        <w:numPr>
          <w:ilvl w:val="0"/>
          <w:numId w:val="55"/>
        </w:numPr>
        <w:spacing w:after="0"/>
        <w:rPr>
          <w:b/>
          <w:bCs/>
        </w:rPr>
      </w:pPr>
      <w:proofErr w:type="spellStart"/>
      <w:r w:rsidRPr="00D04C29">
        <w:rPr>
          <w:b/>
          <w:bCs/>
        </w:rPr>
        <w:t>Ändring</w:t>
      </w:r>
      <w:proofErr w:type="spellEnd"/>
      <w:r w:rsidRPr="00D04C29">
        <w:rPr>
          <w:b/>
          <w:bCs/>
        </w:rPr>
        <w:t xml:space="preserve"> </w:t>
      </w:r>
      <w:proofErr w:type="spellStart"/>
      <w:r w:rsidRPr="00D04C29">
        <w:rPr>
          <w:b/>
          <w:bCs/>
        </w:rPr>
        <w:t>av</w:t>
      </w:r>
      <w:proofErr w:type="spellEnd"/>
      <w:r w:rsidRPr="00D04C29">
        <w:rPr>
          <w:b/>
          <w:bCs/>
        </w:rPr>
        <w:t xml:space="preserve"> </w:t>
      </w:r>
      <w:proofErr w:type="spellStart"/>
      <w:r w:rsidRPr="00D04C29">
        <w:rPr>
          <w:b/>
          <w:bCs/>
        </w:rPr>
        <w:t>villkoren</w:t>
      </w:r>
      <w:proofErr w:type="spellEnd"/>
      <w:r w:rsidRPr="00D04C29">
        <w:rPr>
          <w:b/>
          <w:bCs/>
        </w:rPr>
        <w:t>/</w:t>
      </w:r>
      <w:r w:rsidRPr="00D04C29">
        <w:rPr>
          <w:b/>
          <w:bCs/>
          <w:i/>
        </w:rPr>
        <w:t>Amendments of the terms and conditions</w:t>
      </w:r>
    </w:p>
    <w:p w14:paraId="6E258DAD" w14:textId="77777777" w:rsidR="006350FE" w:rsidRDefault="006350FE" w:rsidP="006350FE">
      <w:pPr>
        <w:pStyle w:val="BodyText"/>
        <w:ind w:left="720"/>
        <w:rPr>
          <w:i/>
        </w:rPr>
      </w:pPr>
      <w:r w:rsidRPr="00A50800">
        <w:rPr>
          <w:lang w:val="sv-SE"/>
        </w:rPr>
        <w:t>Bolaget äger rätt att besluta om ändring av dessa villkor i den mån lagstiftning, domstolsavgörande eller myndighetsbeslut så kräver eller om det i övrigt – enligt Bolagets bedömning – av praktiska skäl är ändamålsenligt eller nödvändigt och Options</w:t>
      </w:r>
      <w:r>
        <w:rPr>
          <w:lang w:val="sv-SE"/>
        </w:rPr>
        <w:t>inne</w:t>
      </w:r>
      <w:r w:rsidRPr="00A50800">
        <w:rPr>
          <w:lang w:val="sv-SE"/>
        </w:rPr>
        <w:t xml:space="preserve">havarnas </w:t>
      </w:r>
      <w:r w:rsidRPr="00A50800">
        <w:rPr>
          <w:lang w:val="sv-SE"/>
        </w:rPr>
        <w:lastRenderedPageBreak/>
        <w:t>rättigheter inte i något väsentligt avseende försämras.</w:t>
      </w:r>
      <w:r w:rsidRPr="00A50800">
        <w:rPr>
          <w:lang w:val="sv-SE"/>
        </w:rPr>
        <w:br/>
      </w:r>
      <w:r w:rsidRPr="00437F01">
        <w:rPr>
          <w:i/>
        </w:rPr>
        <w:t>The Company is entitled to amend these terms</w:t>
      </w:r>
      <w:r>
        <w:rPr>
          <w:i/>
        </w:rPr>
        <w:t xml:space="preserve"> and conditions</w:t>
      </w:r>
      <w:r w:rsidRPr="00437F01">
        <w:rPr>
          <w:i/>
        </w:rPr>
        <w:t xml:space="preserve"> to the extent it is required by legislation, court decisions or decisions of authorities, or if there under other circumstances – according to the Company's opinion – are practical reasons that are appropriate or necessary and the </w:t>
      </w:r>
      <w:r>
        <w:rPr>
          <w:i/>
        </w:rPr>
        <w:t>Warrant Holder</w:t>
      </w:r>
      <w:r w:rsidRPr="00437F01">
        <w:rPr>
          <w:i/>
        </w:rPr>
        <w:t>s' rights are not materially impaired.</w:t>
      </w:r>
    </w:p>
    <w:p w14:paraId="31B92560" w14:textId="77777777" w:rsidR="006350FE" w:rsidRPr="00D04C29" w:rsidRDefault="006350FE" w:rsidP="006350FE">
      <w:pPr>
        <w:pStyle w:val="BodyText"/>
        <w:numPr>
          <w:ilvl w:val="0"/>
          <w:numId w:val="55"/>
        </w:numPr>
        <w:spacing w:after="0"/>
        <w:rPr>
          <w:b/>
          <w:bCs/>
          <w:lang w:val="sv-SE"/>
        </w:rPr>
      </w:pPr>
      <w:r w:rsidRPr="00D04C29">
        <w:rPr>
          <w:b/>
          <w:bCs/>
          <w:lang w:val="sv-SE"/>
        </w:rPr>
        <w:t>Sekretess/</w:t>
      </w:r>
      <w:proofErr w:type="spellStart"/>
      <w:r w:rsidRPr="00D04C29">
        <w:rPr>
          <w:b/>
          <w:bCs/>
          <w:i/>
          <w:lang w:val="sv-SE"/>
        </w:rPr>
        <w:t>Confidentiality</w:t>
      </w:r>
      <w:proofErr w:type="spellEnd"/>
    </w:p>
    <w:p w14:paraId="26DBB3B6" w14:textId="77777777" w:rsidR="006350FE" w:rsidRPr="00437F01" w:rsidRDefault="006350FE" w:rsidP="006350FE">
      <w:pPr>
        <w:pStyle w:val="BodyText"/>
        <w:ind w:left="720"/>
      </w:pPr>
      <w:r w:rsidRPr="00A50800">
        <w:rPr>
          <w:lang w:val="sv-SE"/>
        </w:rPr>
        <w:t xml:space="preserve">Bolaget, Banken eller Euroclear får ej obehörigen till tredje man lämna ut uppgift om Optionsinnehavare. Bolaget äger rätt att få ut följande uppgifter från Euroclear om </w:t>
      </w:r>
      <w:r>
        <w:rPr>
          <w:lang w:val="sv-SE"/>
        </w:rPr>
        <w:t>Optionsinnehavare</w:t>
      </w:r>
      <w:r w:rsidRPr="00A50800">
        <w:rPr>
          <w:lang w:val="sv-SE"/>
        </w:rPr>
        <w:t xml:space="preserve">s konto i Bolagets avstämningsregister: (i) </w:t>
      </w:r>
      <w:r w:rsidRPr="00D00630">
        <w:rPr>
          <w:lang w:val="sv-SE"/>
        </w:rPr>
        <w:t>Optionsinnehavare</w:t>
      </w:r>
      <w:r w:rsidRPr="00A50800">
        <w:rPr>
          <w:lang w:val="sv-SE"/>
        </w:rPr>
        <w:t>s namn, personnummer eller annat identifikationsnummer samt postadress och (ii) antal Teckningsoptioner.</w:t>
      </w:r>
      <w:r w:rsidRPr="00A50800">
        <w:rPr>
          <w:lang w:val="sv-SE"/>
        </w:rPr>
        <w:br/>
      </w:r>
      <w:r w:rsidRPr="00437F01">
        <w:rPr>
          <w:i/>
        </w:rPr>
        <w:t xml:space="preserve">The Company, the Bank or Euroclear may not without necessary authorization disclose information regarding the </w:t>
      </w:r>
      <w:r>
        <w:rPr>
          <w:i/>
        </w:rPr>
        <w:t>Warrant Holder</w:t>
      </w:r>
      <w:r w:rsidRPr="00437F01">
        <w:rPr>
          <w:i/>
        </w:rPr>
        <w:t xml:space="preserve">s to third parties. The Company shall be entitled to the following information from Euroclear about the </w:t>
      </w:r>
      <w:r>
        <w:rPr>
          <w:i/>
        </w:rPr>
        <w:t>Warrant Holder</w:t>
      </w:r>
      <w:r w:rsidRPr="00437F01">
        <w:rPr>
          <w:i/>
        </w:rPr>
        <w:t>'s account in the share register of the Company: (</w:t>
      </w:r>
      <w:proofErr w:type="spellStart"/>
      <w:r w:rsidRPr="00437F01">
        <w:rPr>
          <w:i/>
        </w:rPr>
        <w:t>i</w:t>
      </w:r>
      <w:proofErr w:type="spellEnd"/>
      <w:r w:rsidRPr="00437F01">
        <w:rPr>
          <w:i/>
        </w:rPr>
        <w:t xml:space="preserve">) the </w:t>
      </w:r>
      <w:r>
        <w:rPr>
          <w:i/>
        </w:rPr>
        <w:t>Warrant Holder</w:t>
      </w:r>
      <w:r w:rsidRPr="00437F01">
        <w:rPr>
          <w:i/>
        </w:rPr>
        <w:t>'s name, personal identity number or other identity number and address and (ii) the number of Warrants.</w:t>
      </w:r>
    </w:p>
    <w:p w14:paraId="558A0CCE" w14:textId="77777777" w:rsidR="006350FE" w:rsidRPr="00D04C29" w:rsidRDefault="006350FE" w:rsidP="006350FE">
      <w:pPr>
        <w:pStyle w:val="BodyText"/>
        <w:numPr>
          <w:ilvl w:val="0"/>
          <w:numId w:val="55"/>
        </w:numPr>
        <w:spacing w:after="0"/>
        <w:rPr>
          <w:b/>
          <w:bCs/>
        </w:rPr>
      </w:pPr>
      <w:proofErr w:type="spellStart"/>
      <w:r w:rsidRPr="00D04C29">
        <w:rPr>
          <w:b/>
          <w:bCs/>
        </w:rPr>
        <w:t>Begränsning</w:t>
      </w:r>
      <w:proofErr w:type="spellEnd"/>
      <w:r w:rsidRPr="00D04C29">
        <w:rPr>
          <w:b/>
          <w:bCs/>
        </w:rPr>
        <w:t xml:space="preserve"> </w:t>
      </w:r>
      <w:proofErr w:type="spellStart"/>
      <w:r w:rsidRPr="00D04C29">
        <w:rPr>
          <w:b/>
          <w:bCs/>
        </w:rPr>
        <w:t>av</w:t>
      </w:r>
      <w:proofErr w:type="spellEnd"/>
      <w:r w:rsidRPr="00D04C29">
        <w:rPr>
          <w:b/>
          <w:bCs/>
        </w:rPr>
        <w:t xml:space="preserve"> </w:t>
      </w:r>
      <w:proofErr w:type="spellStart"/>
      <w:r w:rsidRPr="00D04C29">
        <w:rPr>
          <w:b/>
          <w:bCs/>
        </w:rPr>
        <w:t>Bolagets</w:t>
      </w:r>
      <w:proofErr w:type="spellEnd"/>
      <w:r w:rsidRPr="00D04C29">
        <w:rPr>
          <w:b/>
          <w:bCs/>
        </w:rPr>
        <w:t xml:space="preserve">, </w:t>
      </w:r>
      <w:proofErr w:type="spellStart"/>
      <w:r w:rsidRPr="00D04C29">
        <w:rPr>
          <w:b/>
          <w:bCs/>
        </w:rPr>
        <w:t>Bankens</w:t>
      </w:r>
      <w:proofErr w:type="spellEnd"/>
      <w:r w:rsidRPr="00D04C29">
        <w:rPr>
          <w:b/>
          <w:bCs/>
        </w:rPr>
        <w:t xml:space="preserve"> </w:t>
      </w:r>
      <w:proofErr w:type="spellStart"/>
      <w:r w:rsidRPr="00D04C29">
        <w:rPr>
          <w:b/>
          <w:bCs/>
        </w:rPr>
        <w:t>och</w:t>
      </w:r>
      <w:proofErr w:type="spellEnd"/>
      <w:r w:rsidRPr="00D04C29">
        <w:rPr>
          <w:b/>
          <w:bCs/>
        </w:rPr>
        <w:t xml:space="preserve"> </w:t>
      </w:r>
      <w:proofErr w:type="spellStart"/>
      <w:r w:rsidRPr="00D04C29">
        <w:rPr>
          <w:b/>
          <w:bCs/>
        </w:rPr>
        <w:t>Euroclears</w:t>
      </w:r>
      <w:proofErr w:type="spellEnd"/>
      <w:r w:rsidRPr="00D04C29">
        <w:rPr>
          <w:b/>
          <w:bCs/>
        </w:rPr>
        <w:t xml:space="preserve"> </w:t>
      </w:r>
      <w:proofErr w:type="spellStart"/>
      <w:r w:rsidRPr="00D04C29">
        <w:rPr>
          <w:b/>
          <w:bCs/>
        </w:rPr>
        <w:t>ansvar</w:t>
      </w:r>
      <w:proofErr w:type="spellEnd"/>
      <w:r w:rsidRPr="00D04C29">
        <w:rPr>
          <w:b/>
          <w:bCs/>
        </w:rPr>
        <w:t>/</w:t>
      </w:r>
      <w:r w:rsidRPr="00D04C29">
        <w:rPr>
          <w:b/>
          <w:bCs/>
          <w:i/>
        </w:rPr>
        <w:t xml:space="preserve">Limitation of the Company's, the Bank's and the </w:t>
      </w:r>
      <w:r>
        <w:rPr>
          <w:b/>
          <w:bCs/>
          <w:i/>
        </w:rPr>
        <w:t>Euroclear</w:t>
      </w:r>
      <w:r w:rsidRPr="00D04C29">
        <w:rPr>
          <w:b/>
          <w:bCs/>
          <w:i/>
        </w:rPr>
        <w:t>'</w:t>
      </w:r>
      <w:r>
        <w:rPr>
          <w:b/>
          <w:bCs/>
          <w:i/>
        </w:rPr>
        <w:t xml:space="preserve">s </w:t>
      </w:r>
      <w:r w:rsidRPr="00D04C29">
        <w:rPr>
          <w:b/>
          <w:bCs/>
          <w:i/>
        </w:rPr>
        <w:t>liability</w:t>
      </w:r>
    </w:p>
    <w:p w14:paraId="2C1A23D0" w14:textId="77777777" w:rsidR="006350FE" w:rsidRPr="00437F01" w:rsidRDefault="006350FE" w:rsidP="006350FE">
      <w:pPr>
        <w:pStyle w:val="BodyText"/>
        <w:numPr>
          <w:ilvl w:val="1"/>
          <w:numId w:val="55"/>
        </w:numPr>
      </w:pPr>
      <w:r w:rsidRPr="00A50800">
        <w:rPr>
          <w:lang w:val="sv-SE"/>
        </w:rPr>
        <w:t xml:space="preserve">I fråga om de på Bolaget, Banken och Euroclear ankommande åtgärderna gäller – beträffande Euroclear med betraktande av bestämmelserna i lagen om värdepapperscentraler och kontoföring av finansiella instrument – att ansvarighet inte kan göras gällande för skada som beror på svenskt eller utländskt lagbud, svensk eller utländsk </w:t>
      </w:r>
      <w:proofErr w:type="gramStart"/>
      <w:r w:rsidRPr="00A50800">
        <w:rPr>
          <w:lang w:val="sv-SE"/>
        </w:rPr>
        <w:t>myndighets åtgärd</w:t>
      </w:r>
      <w:proofErr w:type="gramEnd"/>
      <w:r w:rsidRPr="00A50800">
        <w:rPr>
          <w:lang w:val="sv-SE"/>
        </w:rPr>
        <w:t>, krigshändelse, strejk, blockad, bojkott, lockout eller annan liknande omständighet. Förbehållet i fråga om strejk, blockad, bojkott och lockout gäller även om Bolaget, Banken eller Euroclear själv vidtar eller är föremål för sådan konfliktåtgärd.</w:t>
      </w:r>
      <w:r w:rsidRPr="00A50800">
        <w:rPr>
          <w:lang w:val="sv-SE"/>
        </w:rPr>
        <w:br/>
      </w:r>
      <w:r w:rsidRPr="00437F01">
        <w:rPr>
          <w:i/>
        </w:rPr>
        <w:t>With respect to the actions incumbent on the Company, the Bank or Euroclear, none of the Company, the Bank or Euroclear – in the case of Euroclear, subject to the provisions of the Central Securities Depositories and Swedish Financial Instruments Accounts Act – shall be held liable for damage arising as a result of Swedish or foreign legislation, any action of a Swedish or foreign authority, acts of war, strikes, blockades, boycotts, lockouts, or similar circumstances. The exemption in respect of strikes, blockades, boycotts and lockouts applies also in cases where the Company, the Bank or Euroclear itself takes or is the subject of such measure or conflict.</w:t>
      </w:r>
    </w:p>
    <w:p w14:paraId="01DCA866" w14:textId="77777777" w:rsidR="006350FE" w:rsidRPr="00437F01" w:rsidRDefault="006350FE" w:rsidP="006350FE">
      <w:pPr>
        <w:pStyle w:val="BodyText"/>
        <w:numPr>
          <w:ilvl w:val="1"/>
          <w:numId w:val="55"/>
        </w:numPr>
      </w:pPr>
      <w:r w:rsidRPr="00A50800">
        <w:rPr>
          <w:lang w:val="sv-SE"/>
        </w:rPr>
        <w:t xml:space="preserve">Bolaget, Banken eller Euroclear är inte heller skyldig att i andra fall ersätta skada som uppkommer om Bolaget, Banken eller Euroclear varit normalt aktsam. Bolaget, Banken och Euroclear är i intet fall ansvarig för indirekt skada. Härvid uppmärksammas </w:t>
      </w:r>
      <w:r>
        <w:rPr>
          <w:lang w:val="sv-SE"/>
        </w:rPr>
        <w:t>Optionsinnehavare</w:t>
      </w:r>
      <w:r w:rsidRPr="00A50800">
        <w:rPr>
          <w:lang w:val="sv-SE"/>
        </w:rPr>
        <w:t xml:space="preserve"> på att denne ansvarar för att handlingar som Bolaget tillställts är riktiga och behörigen undertecknade samt att Bolaget underrättas om ändringar som sker beträffande lämnade uppgifter.</w:t>
      </w:r>
      <w:r w:rsidRPr="00A50800">
        <w:rPr>
          <w:lang w:val="sv-SE"/>
        </w:rPr>
        <w:br/>
      </w:r>
      <w:r w:rsidRPr="00437F01">
        <w:rPr>
          <w:i/>
        </w:rPr>
        <w:t xml:space="preserve">Furthermore neither shall the Company, the Bank nor Euroclear shall be liable for damage arising in other cases if the Company, the Bank or Euroclear, as appropriate, has exercised normal caution. In addition, under no circumstances shall the Company, the Bank or Euroclear be held liable for any indirect damage. A </w:t>
      </w:r>
      <w:r>
        <w:rPr>
          <w:i/>
        </w:rPr>
        <w:t>Warrant Holder</w:t>
      </w:r>
      <w:r w:rsidRPr="00437F01">
        <w:rPr>
          <w:i/>
        </w:rPr>
        <w:t xml:space="preserve"> is hereby made aware that he/she/it is responsible for that the documents sent to the Company are correct and have been duly signed and that the Company is informed of changes that are made </w:t>
      </w:r>
      <w:proofErr w:type="gramStart"/>
      <w:r w:rsidRPr="00437F01">
        <w:rPr>
          <w:i/>
        </w:rPr>
        <w:t>with regard to</w:t>
      </w:r>
      <w:proofErr w:type="gramEnd"/>
      <w:r w:rsidRPr="00437F01">
        <w:rPr>
          <w:i/>
        </w:rPr>
        <w:t xml:space="preserve"> information provided.</w:t>
      </w:r>
    </w:p>
    <w:p w14:paraId="09350FA0" w14:textId="77777777" w:rsidR="006350FE" w:rsidRPr="00437F01" w:rsidRDefault="006350FE" w:rsidP="006350FE">
      <w:pPr>
        <w:pStyle w:val="BodyText"/>
        <w:numPr>
          <w:ilvl w:val="1"/>
          <w:numId w:val="55"/>
        </w:numPr>
      </w:pPr>
      <w:r w:rsidRPr="00A50800">
        <w:rPr>
          <w:lang w:val="sv-SE"/>
        </w:rPr>
        <w:t xml:space="preserve">Föreligger hinder för Bolaget, Banken eller Euroclear att verkställa betalning eller vidta annan åtgärd på grund av omständighet som anges i första stycket, får åtgärden uppskjutas till dess hindret har upphört. Om Bolaget till följd av en sådan omständighet är förhindrat att verkställa eller ta emot betalning </w:t>
      </w:r>
      <w:r>
        <w:rPr>
          <w:lang w:val="sv-SE"/>
        </w:rPr>
        <w:t>ska</w:t>
      </w:r>
      <w:r w:rsidRPr="00A50800">
        <w:rPr>
          <w:lang w:val="sv-SE"/>
        </w:rPr>
        <w:t xml:space="preserve"> Bolaget respektive </w:t>
      </w:r>
      <w:r>
        <w:rPr>
          <w:lang w:val="sv-SE"/>
        </w:rPr>
        <w:t>Optionsinnehavare</w:t>
      </w:r>
      <w:r w:rsidRPr="00A50800">
        <w:rPr>
          <w:lang w:val="sv-SE"/>
        </w:rPr>
        <w:t xml:space="preserve">n inte vara skyldig </w:t>
      </w:r>
      <w:r w:rsidRPr="00A50800">
        <w:rPr>
          <w:lang w:val="sv-SE"/>
        </w:rPr>
        <w:lastRenderedPageBreak/>
        <w:t>att erlägga dröjsmålsränta.</w:t>
      </w:r>
      <w:r w:rsidRPr="00A50800">
        <w:rPr>
          <w:lang w:val="sv-SE"/>
        </w:rPr>
        <w:br/>
      </w:r>
      <w:r w:rsidRPr="00437F01">
        <w:rPr>
          <w:i/>
        </w:rPr>
        <w:t xml:space="preserve">If the Company, the Bank or Euroclear is prevented from making payment or taking any measure due to a circumstance referred to in the first paragraph, the taking of such measure may be postponed until such hinder no longer exists. If the Company </w:t>
      </w:r>
      <w:proofErr w:type="gramStart"/>
      <w:r w:rsidRPr="00437F01">
        <w:rPr>
          <w:i/>
        </w:rPr>
        <w:t>as a result of</w:t>
      </w:r>
      <w:proofErr w:type="gramEnd"/>
      <w:r w:rsidRPr="00437F01">
        <w:rPr>
          <w:i/>
        </w:rPr>
        <w:t xml:space="preserve"> such a circumstance is prevented from making or receiving a payment, the Company or the </w:t>
      </w:r>
      <w:r>
        <w:rPr>
          <w:i/>
        </w:rPr>
        <w:t>Warrant Holder</w:t>
      </w:r>
      <w:r w:rsidRPr="00437F01">
        <w:rPr>
          <w:i/>
        </w:rPr>
        <w:t xml:space="preserve"> shall not be required to pay interest.</w:t>
      </w:r>
    </w:p>
    <w:p w14:paraId="53A513F0" w14:textId="77777777" w:rsidR="006350FE" w:rsidRPr="00D04C29" w:rsidRDefault="006350FE" w:rsidP="006350FE">
      <w:pPr>
        <w:pStyle w:val="BodyText"/>
        <w:numPr>
          <w:ilvl w:val="0"/>
          <w:numId w:val="55"/>
        </w:numPr>
        <w:spacing w:after="0"/>
        <w:rPr>
          <w:b/>
          <w:bCs/>
          <w:lang w:val="sv-SE"/>
        </w:rPr>
      </w:pPr>
      <w:r w:rsidRPr="00D04C29">
        <w:rPr>
          <w:b/>
          <w:bCs/>
          <w:lang w:val="sv-SE"/>
        </w:rPr>
        <w:t>Tillämplig lag och forum/</w:t>
      </w:r>
      <w:proofErr w:type="spellStart"/>
      <w:r w:rsidRPr="00D04C29">
        <w:rPr>
          <w:b/>
          <w:bCs/>
          <w:i/>
          <w:lang w:val="sv-SE"/>
        </w:rPr>
        <w:t>Applicable</w:t>
      </w:r>
      <w:proofErr w:type="spellEnd"/>
      <w:r w:rsidRPr="00D04C29">
        <w:rPr>
          <w:b/>
          <w:bCs/>
          <w:i/>
          <w:lang w:val="sv-SE"/>
        </w:rPr>
        <w:t xml:space="preserve"> </w:t>
      </w:r>
      <w:proofErr w:type="spellStart"/>
      <w:r w:rsidRPr="00D04C29">
        <w:rPr>
          <w:b/>
          <w:bCs/>
          <w:i/>
          <w:lang w:val="sv-SE"/>
        </w:rPr>
        <w:t>law</w:t>
      </w:r>
      <w:proofErr w:type="spellEnd"/>
      <w:r w:rsidRPr="00D04C29">
        <w:rPr>
          <w:b/>
          <w:bCs/>
          <w:i/>
          <w:lang w:val="sv-SE"/>
        </w:rPr>
        <w:t xml:space="preserve"> and </w:t>
      </w:r>
      <w:proofErr w:type="spellStart"/>
      <w:r w:rsidRPr="00D04C29">
        <w:rPr>
          <w:b/>
          <w:bCs/>
          <w:i/>
          <w:lang w:val="sv-SE"/>
        </w:rPr>
        <w:t>dispute</w:t>
      </w:r>
      <w:proofErr w:type="spellEnd"/>
      <w:r w:rsidRPr="00D04C29">
        <w:rPr>
          <w:b/>
          <w:bCs/>
          <w:i/>
          <w:lang w:val="sv-SE"/>
        </w:rPr>
        <w:t xml:space="preserve"> resolution</w:t>
      </w:r>
    </w:p>
    <w:p w14:paraId="7EFAD277" w14:textId="77777777" w:rsidR="006350FE" w:rsidRPr="006B6AC0" w:rsidRDefault="006350FE" w:rsidP="006350FE">
      <w:pPr>
        <w:pStyle w:val="BodyText"/>
        <w:numPr>
          <w:ilvl w:val="1"/>
          <w:numId w:val="55"/>
        </w:numPr>
        <w:rPr>
          <w:lang w:val="en-US"/>
        </w:rPr>
      </w:pPr>
      <w:r w:rsidRPr="00A50800">
        <w:rPr>
          <w:lang w:val="sv-SE"/>
        </w:rPr>
        <w:t xml:space="preserve">Dessa villkor och alla rättsliga frågor med anknytning till Teckningsoptionerna </w:t>
      </w:r>
      <w:r>
        <w:rPr>
          <w:lang w:val="sv-SE"/>
        </w:rPr>
        <w:t>ska</w:t>
      </w:r>
      <w:r w:rsidRPr="00A50800">
        <w:rPr>
          <w:lang w:val="sv-SE"/>
        </w:rPr>
        <w:t xml:space="preserve"> avgöras och tolkas enligt svensk rätt.</w:t>
      </w:r>
      <w:r w:rsidRPr="00A50800">
        <w:rPr>
          <w:lang w:val="sv-SE"/>
        </w:rPr>
        <w:br/>
      </w:r>
      <w:r w:rsidRPr="006B6AC0">
        <w:rPr>
          <w:i/>
          <w:lang w:val="en-US"/>
        </w:rPr>
        <w:t xml:space="preserve">These </w:t>
      </w:r>
      <w:r>
        <w:rPr>
          <w:i/>
          <w:lang w:val="en-US"/>
        </w:rPr>
        <w:t>terms and conditions</w:t>
      </w:r>
      <w:r w:rsidRPr="006B6AC0">
        <w:rPr>
          <w:i/>
          <w:lang w:val="en-US"/>
        </w:rPr>
        <w:t xml:space="preserve"> and relating legal matters with connection to the Warrants shall be governed and interpreted by Swedish law.</w:t>
      </w:r>
    </w:p>
    <w:p w14:paraId="77690C8C" w14:textId="77777777" w:rsidR="006350FE" w:rsidRPr="00437F01" w:rsidRDefault="006350FE" w:rsidP="006350FE">
      <w:pPr>
        <w:pStyle w:val="BodyText"/>
        <w:numPr>
          <w:ilvl w:val="1"/>
          <w:numId w:val="55"/>
        </w:numPr>
      </w:pPr>
      <w:r w:rsidRPr="00A50800">
        <w:rPr>
          <w:lang w:val="sv-SE"/>
        </w:rPr>
        <w:t xml:space="preserve">Tvist i anledning av dessa villkor </w:t>
      </w:r>
      <w:r>
        <w:rPr>
          <w:lang w:val="sv-SE"/>
        </w:rPr>
        <w:t>ska</w:t>
      </w:r>
      <w:r w:rsidRPr="00A50800">
        <w:rPr>
          <w:lang w:val="sv-SE"/>
        </w:rPr>
        <w:t xml:space="preserve"> slutligt avgöras genom skiljedom </w:t>
      </w:r>
      <w:r w:rsidRPr="00A50800">
        <w:rPr>
          <w:szCs w:val="22"/>
          <w:lang w:val="sv-SE"/>
        </w:rPr>
        <w:t xml:space="preserve">administrerad vid SCC Skiljedomsinstitut. </w:t>
      </w:r>
      <w:r w:rsidRPr="00A50800">
        <w:rPr>
          <w:lang w:val="sv-SE"/>
        </w:rPr>
        <w:br/>
      </w:r>
      <w:r w:rsidRPr="00437F01">
        <w:rPr>
          <w:i/>
        </w:rPr>
        <w:t xml:space="preserve">Any dispute with respect to these </w:t>
      </w:r>
      <w:r>
        <w:rPr>
          <w:i/>
        </w:rPr>
        <w:t>terms</w:t>
      </w:r>
      <w:r w:rsidRPr="00437F01">
        <w:rPr>
          <w:i/>
        </w:rPr>
        <w:t xml:space="preserve"> </w:t>
      </w:r>
      <w:r>
        <w:rPr>
          <w:i/>
        </w:rPr>
        <w:t xml:space="preserve">and conditions </w:t>
      </w:r>
      <w:r w:rsidRPr="00437F01">
        <w:rPr>
          <w:i/>
        </w:rPr>
        <w:t xml:space="preserve">shall be decided through </w:t>
      </w:r>
      <w:r w:rsidRPr="00437F01">
        <w:rPr>
          <w:i/>
          <w:szCs w:val="22"/>
        </w:rPr>
        <w:t>arbitration according to the Arbitration Rules of the SCC Arbitration Institute.</w:t>
      </w:r>
    </w:p>
    <w:p w14:paraId="141357AA" w14:textId="77777777" w:rsidR="006350FE" w:rsidRPr="00437F01" w:rsidRDefault="006350FE" w:rsidP="006350FE">
      <w:pPr>
        <w:pStyle w:val="BodyText"/>
        <w:numPr>
          <w:ilvl w:val="1"/>
          <w:numId w:val="55"/>
        </w:numPr>
      </w:pPr>
      <w:r w:rsidRPr="00A50800">
        <w:rPr>
          <w:lang w:val="sv-SE"/>
        </w:rPr>
        <w:t xml:space="preserve">Skiljeförfarandet </w:t>
      </w:r>
      <w:r>
        <w:rPr>
          <w:lang w:val="sv-SE"/>
        </w:rPr>
        <w:t>ska</w:t>
      </w:r>
      <w:r w:rsidRPr="00A50800">
        <w:rPr>
          <w:lang w:val="sv-SE"/>
        </w:rPr>
        <w:t xml:space="preserve"> hållas i Stockholm. Det svenska språket </w:t>
      </w:r>
      <w:r>
        <w:rPr>
          <w:lang w:val="sv-SE"/>
        </w:rPr>
        <w:t>ska</w:t>
      </w:r>
      <w:r w:rsidRPr="00A50800">
        <w:rPr>
          <w:lang w:val="sv-SE"/>
        </w:rPr>
        <w:t xml:space="preserve"> användas i förfarandet.</w:t>
      </w:r>
      <w:r w:rsidRPr="00A50800">
        <w:rPr>
          <w:lang w:val="sv-SE"/>
        </w:rPr>
        <w:br/>
      </w:r>
      <w:r w:rsidRPr="00437F01">
        <w:rPr>
          <w:i/>
        </w:rPr>
        <w:t>The arbitration shall take place in Stockholm. The Swedish language shall be used during the proceedings.</w:t>
      </w:r>
    </w:p>
    <w:p w14:paraId="4516D186" w14:textId="77777777" w:rsidR="006350FE" w:rsidRPr="00437F01" w:rsidRDefault="006350FE" w:rsidP="006350FE">
      <w:pPr>
        <w:pStyle w:val="BodyText"/>
        <w:numPr>
          <w:ilvl w:val="1"/>
          <w:numId w:val="55"/>
        </w:numPr>
      </w:pPr>
      <w:r w:rsidRPr="00A50800">
        <w:rPr>
          <w:lang w:val="sv-SE"/>
        </w:rPr>
        <w:t xml:space="preserve">Skiljeförfarande som påkallats med hänvisning till denna skiljeklausul omfattas av sekretess. Sekretessen omfattar all information som framkommer under förfarandet liksom beslut eller skiljedom som meddelas i anledning av förfarandet. Information som omfattas av sekretess får inte i någon form vidarebefordras till tredje person. Om Teckningsoptioner överlåts till en tredje person </w:t>
      </w:r>
      <w:r>
        <w:rPr>
          <w:lang w:val="sv-SE"/>
        </w:rPr>
        <w:t>ska</w:t>
      </w:r>
      <w:r w:rsidRPr="00A50800">
        <w:rPr>
          <w:lang w:val="sv-SE"/>
        </w:rPr>
        <w:t xml:space="preserve"> sådan tredje person automatiskt vara bunden av denna skiljeklausul.</w:t>
      </w:r>
      <w:r w:rsidRPr="00A50800">
        <w:rPr>
          <w:lang w:val="sv-SE"/>
        </w:rPr>
        <w:br/>
      </w:r>
      <w:r w:rsidRPr="00437F01">
        <w:rPr>
          <w:i/>
        </w:rPr>
        <w:t xml:space="preserve">Arbitration called for in accordance with this arbitration clause is subject to confidentiality. The confidentiality applies for all information which is obtained during the procedure as well as the decision or the arbitration decision which is communicated </w:t>
      </w:r>
      <w:proofErr w:type="gramStart"/>
      <w:r w:rsidRPr="00437F01">
        <w:rPr>
          <w:i/>
        </w:rPr>
        <w:t>as a result of</w:t>
      </w:r>
      <w:proofErr w:type="gramEnd"/>
      <w:r w:rsidRPr="00437F01">
        <w:rPr>
          <w:i/>
        </w:rPr>
        <w:t xml:space="preserve"> the procedure. Information covered by confidentiality may not in any form be forwarded to a third party. If the Warrants are transferred to a third party, such third party shall automatically be bound by this arbitration clause.</w:t>
      </w:r>
    </w:p>
    <w:p w14:paraId="1770E76F" w14:textId="77777777" w:rsidR="006350FE" w:rsidRPr="00D04C29" w:rsidRDefault="006350FE" w:rsidP="006350FE">
      <w:pPr>
        <w:pStyle w:val="BodyText"/>
        <w:numPr>
          <w:ilvl w:val="0"/>
          <w:numId w:val="55"/>
        </w:numPr>
        <w:spacing w:after="0"/>
        <w:rPr>
          <w:b/>
          <w:bCs/>
          <w:lang w:val="sv-SE"/>
        </w:rPr>
      </w:pPr>
      <w:r w:rsidRPr="00D04C29">
        <w:rPr>
          <w:b/>
          <w:bCs/>
          <w:lang w:val="sv-SE"/>
        </w:rPr>
        <w:t>Överlåtelse och äganderätt till Teckningsoptioner/</w:t>
      </w:r>
      <w:r w:rsidRPr="00D04C29">
        <w:rPr>
          <w:b/>
          <w:bCs/>
          <w:i/>
          <w:lang w:val="sv-SE"/>
        </w:rPr>
        <w:t xml:space="preserve">Transfer and </w:t>
      </w:r>
      <w:proofErr w:type="spellStart"/>
      <w:r>
        <w:rPr>
          <w:b/>
          <w:bCs/>
          <w:i/>
          <w:lang w:val="sv-SE"/>
        </w:rPr>
        <w:t>t</w:t>
      </w:r>
      <w:r w:rsidRPr="00D04C29">
        <w:rPr>
          <w:b/>
          <w:bCs/>
          <w:i/>
          <w:lang w:val="sv-SE"/>
        </w:rPr>
        <w:t>itle</w:t>
      </w:r>
      <w:proofErr w:type="spellEnd"/>
      <w:r w:rsidRPr="00D04C29">
        <w:rPr>
          <w:b/>
          <w:bCs/>
          <w:i/>
          <w:lang w:val="sv-SE"/>
        </w:rPr>
        <w:t xml:space="preserve"> to </w:t>
      </w:r>
      <w:proofErr w:type="spellStart"/>
      <w:r w:rsidRPr="00D04C29">
        <w:rPr>
          <w:b/>
          <w:bCs/>
          <w:i/>
          <w:lang w:val="sv-SE"/>
        </w:rPr>
        <w:t>Warrants</w:t>
      </w:r>
      <w:proofErr w:type="spellEnd"/>
    </w:p>
    <w:p w14:paraId="616B5A6C" w14:textId="77777777" w:rsidR="006350FE" w:rsidRPr="00437F01" w:rsidRDefault="006350FE" w:rsidP="006350FE">
      <w:pPr>
        <w:pStyle w:val="BodyText"/>
        <w:ind w:left="720"/>
      </w:pPr>
      <w:r w:rsidRPr="00A50800">
        <w:rPr>
          <w:lang w:val="sv-SE"/>
        </w:rPr>
        <w:t xml:space="preserve">Överlåtelse av Teckningsoption kan ske genom </w:t>
      </w:r>
      <w:proofErr w:type="gramStart"/>
      <w:r w:rsidRPr="00A50800">
        <w:rPr>
          <w:lang w:val="sv-SE"/>
        </w:rPr>
        <w:t>ett sedvanlig överlåtelsehandling</w:t>
      </w:r>
      <w:proofErr w:type="gramEnd"/>
      <w:r w:rsidRPr="00A50800">
        <w:rPr>
          <w:lang w:val="sv-SE"/>
        </w:rPr>
        <w:t xml:space="preserve"> och, om avtal föreligger avseende innehav av Teckningsoption i Bolaget, i enlighet med bestämmelserna i sådant avtal.</w:t>
      </w:r>
      <w:r w:rsidRPr="00A50800">
        <w:rPr>
          <w:lang w:val="sv-SE"/>
        </w:rPr>
        <w:br/>
      </w:r>
      <w:r w:rsidRPr="00437F01">
        <w:rPr>
          <w:i/>
        </w:rPr>
        <w:t xml:space="preserve">A transfer of a Warrant may be effected by an instrument of transfer in any usual or </w:t>
      </w:r>
      <w:proofErr w:type="gramStart"/>
      <w:r w:rsidRPr="00437F01">
        <w:rPr>
          <w:i/>
        </w:rPr>
        <w:t>common form</w:t>
      </w:r>
      <w:proofErr w:type="gramEnd"/>
      <w:r w:rsidRPr="00437F01">
        <w:rPr>
          <w:i/>
        </w:rPr>
        <w:t xml:space="preserve">, subject to the terms of any </w:t>
      </w:r>
      <w:r>
        <w:rPr>
          <w:i/>
        </w:rPr>
        <w:t>Warrant Holder</w:t>
      </w:r>
      <w:r w:rsidRPr="00437F01">
        <w:rPr>
          <w:i/>
        </w:rPr>
        <w:t xml:space="preserve"> agreement regarding the holding of Warrants in the Company.</w:t>
      </w:r>
    </w:p>
    <w:p w14:paraId="6E78DDEA" w14:textId="77777777" w:rsidR="006350FE" w:rsidRPr="003B12B8" w:rsidRDefault="006350FE" w:rsidP="006350FE">
      <w:pPr>
        <w:pStyle w:val="BodyText"/>
        <w:jc w:val="center"/>
      </w:pPr>
      <w:r w:rsidRPr="00437F01">
        <w:t>* * * * *</w:t>
      </w:r>
    </w:p>
    <w:p w14:paraId="2DE63D70" w14:textId="7A4D9F83" w:rsidR="006350FE" w:rsidRDefault="006350FE" w:rsidP="006350FE">
      <w:pPr>
        <w:pStyle w:val="BodyText"/>
        <w:spacing w:after="0"/>
        <w:rPr>
          <w:szCs w:val="22"/>
          <w:lang w:val="sv-SE"/>
        </w:rPr>
      </w:pPr>
    </w:p>
    <w:sectPr w:rsidR="006350FE" w:rsidSect="00BD2277">
      <w:headerReference w:type="even" r:id="rId10"/>
      <w:headerReference w:type="default" r:id="rId11"/>
      <w:footerReference w:type="even" r:id="rId12"/>
      <w:footerReference w:type="default" r:id="rId13"/>
      <w:headerReference w:type="first" r:id="rId14"/>
      <w:footerReference w:type="first" r:id="rId15"/>
      <w:pgSz w:w="11907" w:h="16839" w:code="1"/>
      <w:pgMar w:top="1440" w:right="1440" w:bottom="1440" w:left="1440" w:header="86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189B8" w14:textId="77777777" w:rsidR="00B32B2E" w:rsidRDefault="00B32B2E">
      <w:r>
        <w:separator/>
      </w:r>
    </w:p>
  </w:endnote>
  <w:endnote w:type="continuationSeparator" w:id="0">
    <w:p w14:paraId="4E7D2603" w14:textId="77777777" w:rsidR="00B32B2E" w:rsidRDefault="00B3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44C6" w14:textId="77777777" w:rsidR="00F33587" w:rsidRDefault="00F33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175B" w14:textId="4CFADB3B" w:rsidR="001667F0" w:rsidRDefault="00E049C2" w:rsidP="003F3B40">
    <w:pPr>
      <w:pStyle w:val="Footer"/>
    </w:pPr>
    <w:r w:rsidRPr="005811B8">
      <w:t>The English translation is for convenience only and in case of any discrepancy, the Swedish text shall control.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D778" w14:textId="164883ED" w:rsidR="001667F0" w:rsidRDefault="00E049C2" w:rsidP="004F5968">
    <w:pPr>
      <w:pStyle w:val="Footer"/>
    </w:pPr>
    <w:r w:rsidRPr="005811B8">
      <w:t>The English translation is for convenience only and in case of any discrepancy, the Swedish text shall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8FDA7" w14:textId="77777777" w:rsidR="00B32B2E" w:rsidRDefault="00B32B2E">
      <w:r>
        <w:separator/>
      </w:r>
    </w:p>
  </w:footnote>
  <w:footnote w:type="continuationSeparator" w:id="0">
    <w:p w14:paraId="2C1632CE" w14:textId="77777777" w:rsidR="00B32B2E" w:rsidRDefault="00B3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A251" w14:textId="77777777" w:rsidR="00F33587" w:rsidRDefault="00F33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65F7" w14:textId="77777777" w:rsidR="00F33587" w:rsidRDefault="00F33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50F4" w14:textId="77777777" w:rsidR="00F33587" w:rsidRDefault="00F33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0E061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DF2068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2A493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418DDD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90681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D4E905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78EA1E0"/>
    <w:lvl w:ilvl="0">
      <w:start w:val="1"/>
      <w:numFmt w:val="none"/>
      <w:pStyle w:val="PrecedentCoverTableText"/>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b/>
        <w:color w:val="A71930" w:themeColor="accent1"/>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upperRoman"/>
      <w:lvlText w:val="%7."/>
      <w:lvlJc w:val="left"/>
      <w:pPr>
        <w:tabs>
          <w:tab w:val="num" w:pos="720"/>
        </w:tabs>
        <w:ind w:left="720"/>
      </w:pPr>
      <w:rPr>
        <w:rFonts w:cs="Times New Roman" w:hint="default"/>
      </w:rPr>
    </w:lvl>
    <w:lvl w:ilvl="7">
      <w:start w:val="1"/>
      <w:numFmt w:val="lowerLetter"/>
      <w:lvlText w:val="%8."/>
      <w:lvlJc w:val="left"/>
      <w:pPr>
        <w:tabs>
          <w:tab w:val="num" w:pos="720"/>
        </w:tabs>
        <w:ind w:left="720"/>
      </w:pPr>
      <w:rPr>
        <w:rFonts w:cs="Times New Roman" w:hint="default"/>
      </w:rPr>
    </w:lvl>
    <w:lvl w:ilvl="8">
      <w:start w:val="1"/>
      <w:numFmt w:val="upperLetter"/>
      <w:lvlText w:val="%9."/>
      <w:lvlJc w:val="left"/>
      <w:pPr>
        <w:tabs>
          <w:tab w:val="num" w:pos="720"/>
        </w:tabs>
        <w:ind w:left="720"/>
      </w:pPr>
      <w:rPr>
        <w:rFonts w:cs="Times New Roman" w:hint="default"/>
      </w:rPr>
    </w:lvl>
  </w:abstractNum>
  <w:abstractNum w:abstractNumId="7" w15:restartNumberingAfterBreak="0">
    <w:nsid w:val="00EB5ACA"/>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A86C90"/>
    <w:multiLevelType w:val="multilevel"/>
    <w:tmpl w:val="1EB0953C"/>
    <w:name w:val="SchH"/>
    <w:lvl w:ilvl="0">
      <w:start w:val="1"/>
      <w:numFmt w:val="decimal"/>
      <w:pStyle w:val="SchH1"/>
      <w:suff w:val="nothing"/>
      <w:lvlText w:val="Schedule %1"/>
      <w:lvlJc w:val="left"/>
      <w:pPr>
        <w:ind w:left="0" w:firstLine="0"/>
      </w:pPr>
      <w:rPr>
        <w:strike w:val="0"/>
        <w:dstrike w:val="0"/>
        <w:sz w:val="22"/>
      </w:rPr>
    </w:lvl>
    <w:lvl w:ilvl="1">
      <w:start w:val="1"/>
      <w:numFmt w:val="upperRoman"/>
      <w:pStyle w:val="SchH2"/>
      <w:suff w:val="nothing"/>
      <w:lvlText w:val="Part %2"/>
      <w:lvlJc w:val="left"/>
      <w:pPr>
        <w:ind w:left="0" w:firstLine="0"/>
      </w:pPr>
      <w:rPr>
        <w:strike w:val="0"/>
        <w:dstrike w:val="0"/>
        <w:sz w:val="22"/>
      </w:rPr>
    </w:lvl>
    <w:lvl w:ilvl="2">
      <w:start w:val="1"/>
      <w:numFmt w:val="decimal"/>
      <w:pStyle w:val="SchH3"/>
      <w:lvlText w:val="%3."/>
      <w:lvlJc w:val="left"/>
      <w:pPr>
        <w:ind w:left="720" w:hanging="720"/>
      </w:pPr>
      <w:rPr>
        <w:strike w:val="0"/>
        <w:dstrike w:val="0"/>
        <w:sz w:val="22"/>
      </w:rPr>
    </w:lvl>
    <w:lvl w:ilvl="3">
      <w:start w:val="1"/>
      <w:numFmt w:val="decimal"/>
      <w:pStyle w:val="SchH4"/>
      <w:lvlText w:val="%3.%4"/>
      <w:lvlJc w:val="left"/>
      <w:pPr>
        <w:ind w:left="720" w:hanging="720"/>
      </w:pPr>
      <w:rPr>
        <w:strike w:val="0"/>
        <w:dstrike w:val="0"/>
        <w:sz w:val="22"/>
      </w:rPr>
    </w:lvl>
    <w:lvl w:ilvl="4">
      <w:start w:val="1"/>
      <w:numFmt w:val="lowerLetter"/>
      <w:pStyle w:val="SchH5"/>
      <w:lvlText w:val="(%5)"/>
      <w:lvlJc w:val="left"/>
      <w:pPr>
        <w:ind w:left="1440" w:hanging="720"/>
      </w:pPr>
      <w:rPr>
        <w:strike w:val="0"/>
        <w:dstrike w:val="0"/>
        <w:sz w:val="22"/>
      </w:rPr>
    </w:lvl>
    <w:lvl w:ilvl="5">
      <w:start w:val="1"/>
      <w:numFmt w:val="lowerRoman"/>
      <w:pStyle w:val="SchH6"/>
      <w:lvlText w:val="(%6)"/>
      <w:lvlJc w:val="left"/>
      <w:pPr>
        <w:ind w:left="2160" w:hanging="720"/>
      </w:pPr>
      <w:rPr>
        <w:strike w:val="0"/>
        <w:dstrike w:val="0"/>
        <w:sz w:val="22"/>
      </w:rPr>
    </w:lvl>
    <w:lvl w:ilvl="6">
      <w:start w:val="1"/>
      <w:numFmt w:val="upperLetter"/>
      <w:pStyle w:val="SchH7"/>
      <w:lvlText w:val="(%7)"/>
      <w:lvlJc w:val="left"/>
      <w:pPr>
        <w:ind w:left="2880" w:hanging="720"/>
      </w:pPr>
      <w:rPr>
        <w:strike w:val="0"/>
        <w:dstrike w:val="0"/>
        <w:sz w:val="22"/>
      </w:rPr>
    </w:lvl>
    <w:lvl w:ilvl="7">
      <w:start w:val="1"/>
      <w:numFmt w:val="decimal"/>
      <w:pStyle w:val="SchH8"/>
      <w:lvlText w:val="(%8)"/>
      <w:lvlJc w:val="left"/>
      <w:pPr>
        <w:ind w:left="3600" w:hanging="720"/>
      </w:pPr>
      <w:rPr>
        <w:i w:val="0"/>
        <w:caps w:val="0"/>
        <w:strike w:val="0"/>
        <w:dstrike w:val="0"/>
        <w:vanish w:val="0"/>
        <w:sz w:val="22"/>
        <w:u w:val="none"/>
        <w:effect w:val="none"/>
        <w:vertAlign w:val="baseline"/>
      </w:rPr>
    </w:lvl>
    <w:lvl w:ilvl="8">
      <w:start w:val="1"/>
      <w:numFmt w:val="upperRoman"/>
      <w:pStyle w:val="SchH9"/>
      <w:lvlText w:val="(%9)"/>
      <w:lvlJc w:val="left"/>
      <w:pPr>
        <w:ind w:left="4320" w:hanging="720"/>
      </w:pPr>
      <w:rPr>
        <w:strike w:val="0"/>
        <w:dstrike w:val="0"/>
        <w:sz w:val="22"/>
      </w:rPr>
    </w:lvl>
  </w:abstractNum>
  <w:abstractNum w:abstractNumId="9" w15:restartNumberingAfterBreak="0">
    <w:nsid w:val="096C1985"/>
    <w:multiLevelType w:val="multilevel"/>
    <w:tmpl w:val="F38A9D40"/>
    <w:styleLink w:val="BMSchedules"/>
    <w:lvl w:ilvl="0">
      <w:start w:val="1"/>
      <w:numFmt w:val="none"/>
      <w:pStyle w:val="SchH10"/>
      <w:suff w:val="nothing"/>
      <w:lvlText w:val="%1"/>
      <w:lvlJc w:val="left"/>
      <w:pPr>
        <w:ind w:left="0" w:firstLine="0"/>
      </w:pPr>
      <w:rPr>
        <w:rFonts w:hint="default"/>
      </w:rPr>
    </w:lvl>
    <w:lvl w:ilvl="1">
      <w:start w:val="1"/>
      <w:numFmt w:val="decimal"/>
      <w:pStyle w:val="SchH20"/>
      <w:lvlText w:val="%1%2."/>
      <w:lvlJc w:val="left"/>
      <w:pPr>
        <w:tabs>
          <w:tab w:val="num" w:pos="709"/>
        </w:tabs>
        <w:ind w:left="709" w:hanging="709"/>
      </w:pPr>
      <w:rPr>
        <w:rFonts w:hint="default"/>
      </w:rPr>
    </w:lvl>
    <w:lvl w:ilvl="2">
      <w:start w:val="1"/>
      <w:numFmt w:val="decimal"/>
      <w:pStyle w:val="SchH30"/>
      <w:lvlText w:val="%2.%3"/>
      <w:lvlJc w:val="left"/>
      <w:pPr>
        <w:tabs>
          <w:tab w:val="num" w:pos="709"/>
        </w:tabs>
        <w:ind w:left="709" w:hanging="709"/>
      </w:pPr>
      <w:rPr>
        <w:rFonts w:hint="default"/>
      </w:rPr>
    </w:lvl>
    <w:lvl w:ilvl="3">
      <w:start w:val="1"/>
      <w:numFmt w:val="lowerLetter"/>
      <w:pStyle w:val="SchH40"/>
      <w:lvlText w:val="(%4)"/>
      <w:lvlJc w:val="left"/>
      <w:pPr>
        <w:tabs>
          <w:tab w:val="num" w:pos="1418"/>
        </w:tabs>
        <w:ind w:left="1418" w:hanging="709"/>
      </w:pPr>
      <w:rPr>
        <w:rFonts w:hint="default"/>
      </w:rPr>
    </w:lvl>
    <w:lvl w:ilvl="4">
      <w:start w:val="1"/>
      <w:numFmt w:val="lowerRoman"/>
      <w:pStyle w:val="SchH50"/>
      <w:lvlText w:val="(%5)"/>
      <w:lvlJc w:val="left"/>
      <w:pPr>
        <w:tabs>
          <w:tab w:val="num" w:pos="2126"/>
        </w:tabs>
        <w:ind w:left="2126" w:hanging="708"/>
      </w:pPr>
      <w:rPr>
        <w:rFonts w:hint="default"/>
      </w:rPr>
    </w:lvl>
    <w:lvl w:ilvl="5">
      <w:start w:val="1"/>
      <w:numFmt w:val="upperLetter"/>
      <w:pStyle w:val="SchH60"/>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09B22CA1"/>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0CAC64F4"/>
    <w:multiLevelType w:val="hybridMultilevel"/>
    <w:tmpl w:val="F3580ECA"/>
    <w:lvl w:ilvl="0" w:tplc="FFFFFFFF">
      <w:start w:val="1"/>
      <w:numFmt w:val="upperRoman"/>
      <w:lvlText w:val="%1."/>
      <w:lvlJc w:val="left"/>
      <w:pPr>
        <w:ind w:left="720" w:hanging="360"/>
      </w:pPr>
      <w:rPr>
        <w:rFonts w:hint="default"/>
      </w:rPr>
    </w:lvl>
    <w:lvl w:ilvl="1" w:tplc="FFFFFFFF">
      <w:start w:val="1"/>
      <w:numFmt w:val="lowerRoman"/>
      <w:lvlText w:val="(%2)"/>
      <w:lvlJc w:val="left"/>
      <w:pPr>
        <w:ind w:left="1810" w:hanging="7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5A0600"/>
    <w:multiLevelType w:val="hybridMultilevel"/>
    <w:tmpl w:val="E94A4B54"/>
    <w:styleLink w:val="ArticleSection"/>
    <w:lvl w:ilvl="0" w:tplc="3F26289C">
      <w:start w:val="1"/>
      <w:numFmt w:val="lowerRoman"/>
      <w:lvlText w:val="%1."/>
      <w:lvlJc w:val="right"/>
      <w:pPr>
        <w:ind w:left="720" w:hanging="360"/>
      </w:pPr>
      <w:rPr>
        <w:i w:val="0"/>
        <w:iCs/>
      </w:rPr>
    </w:lvl>
    <w:lvl w:ilvl="1" w:tplc="4CD4D7F6" w:tentative="1">
      <w:start w:val="1"/>
      <w:numFmt w:val="lowerLetter"/>
      <w:lvlText w:val="%2."/>
      <w:lvlJc w:val="left"/>
      <w:pPr>
        <w:ind w:left="1440" w:hanging="360"/>
      </w:pPr>
    </w:lvl>
    <w:lvl w:ilvl="2" w:tplc="9E3E6064" w:tentative="1">
      <w:start w:val="1"/>
      <w:numFmt w:val="lowerRoman"/>
      <w:lvlText w:val="%3."/>
      <w:lvlJc w:val="right"/>
      <w:pPr>
        <w:ind w:left="2160" w:hanging="180"/>
      </w:pPr>
    </w:lvl>
    <w:lvl w:ilvl="3" w:tplc="5A0E322E" w:tentative="1">
      <w:start w:val="1"/>
      <w:numFmt w:val="decimal"/>
      <w:lvlText w:val="%4."/>
      <w:lvlJc w:val="left"/>
      <w:pPr>
        <w:ind w:left="2880" w:hanging="360"/>
      </w:pPr>
    </w:lvl>
    <w:lvl w:ilvl="4" w:tplc="54F8469A" w:tentative="1">
      <w:start w:val="1"/>
      <w:numFmt w:val="lowerLetter"/>
      <w:lvlText w:val="%5."/>
      <w:lvlJc w:val="left"/>
      <w:pPr>
        <w:ind w:left="3600" w:hanging="360"/>
      </w:pPr>
    </w:lvl>
    <w:lvl w:ilvl="5" w:tplc="D7F0CF2E" w:tentative="1">
      <w:start w:val="1"/>
      <w:numFmt w:val="lowerRoman"/>
      <w:lvlText w:val="%6."/>
      <w:lvlJc w:val="right"/>
      <w:pPr>
        <w:ind w:left="4320" w:hanging="180"/>
      </w:pPr>
    </w:lvl>
    <w:lvl w:ilvl="6" w:tplc="A9243B84" w:tentative="1">
      <w:start w:val="1"/>
      <w:numFmt w:val="decimal"/>
      <w:lvlText w:val="%7."/>
      <w:lvlJc w:val="left"/>
      <w:pPr>
        <w:ind w:left="5040" w:hanging="360"/>
      </w:pPr>
    </w:lvl>
    <w:lvl w:ilvl="7" w:tplc="C4B84FE6" w:tentative="1">
      <w:start w:val="1"/>
      <w:numFmt w:val="lowerLetter"/>
      <w:lvlText w:val="%8."/>
      <w:lvlJc w:val="left"/>
      <w:pPr>
        <w:ind w:left="5760" w:hanging="360"/>
      </w:pPr>
    </w:lvl>
    <w:lvl w:ilvl="8" w:tplc="A21EC0A0" w:tentative="1">
      <w:start w:val="1"/>
      <w:numFmt w:val="lowerRoman"/>
      <w:lvlText w:val="%9."/>
      <w:lvlJc w:val="right"/>
      <w:pPr>
        <w:ind w:left="6480" w:hanging="180"/>
      </w:pPr>
    </w:lvl>
  </w:abstractNum>
  <w:abstractNum w:abstractNumId="13" w15:restartNumberingAfterBreak="0">
    <w:nsid w:val="122423AC"/>
    <w:multiLevelType w:val="hybridMultilevel"/>
    <w:tmpl w:val="F3580ECA"/>
    <w:lvl w:ilvl="0" w:tplc="FFFFFFFF">
      <w:start w:val="1"/>
      <w:numFmt w:val="upperRoman"/>
      <w:lvlText w:val="%1."/>
      <w:lvlJc w:val="left"/>
      <w:pPr>
        <w:ind w:left="720" w:hanging="360"/>
      </w:pPr>
      <w:rPr>
        <w:rFonts w:hint="default"/>
      </w:rPr>
    </w:lvl>
    <w:lvl w:ilvl="1" w:tplc="FFFFFFFF">
      <w:start w:val="1"/>
      <w:numFmt w:val="lowerRoman"/>
      <w:lvlText w:val="(%2)"/>
      <w:lvlJc w:val="left"/>
      <w:pPr>
        <w:ind w:left="1810" w:hanging="7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A94572"/>
    <w:multiLevelType w:val="multilevel"/>
    <w:tmpl w:val="821846C0"/>
    <w:name w:val="List Numbering"/>
    <w:lvl w:ilvl="0">
      <w:start w:val="1"/>
      <w:numFmt w:val="decimal"/>
      <w:pStyle w:val="ListNumbering1"/>
      <w:lvlText w:val="%1."/>
      <w:lvlJc w:val="left"/>
      <w:pPr>
        <w:ind w:left="720" w:hanging="720"/>
      </w:pPr>
      <w:rPr>
        <w:strike w:val="0"/>
        <w:dstrike w:val="0"/>
      </w:rPr>
    </w:lvl>
    <w:lvl w:ilvl="1">
      <w:start w:val="1"/>
      <w:numFmt w:val="lowerLetter"/>
      <w:pStyle w:val="ListNumbering2"/>
      <w:lvlText w:val="(%2)"/>
      <w:lvlJc w:val="left"/>
      <w:pPr>
        <w:ind w:left="1440" w:hanging="720"/>
      </w:pPr>
      <w:rPr>
        <w:strike w:val="0"/>
        <w:dstrike w:val="0"/>
      </w:rPr>
    </w:lvl>
    <w:lvl w:ilvl="2">
      <w:start w:val="1"/>
      <w:numFmt w:val="lowerRoman"/>
      <w:pStyle w:val="ListNumbering3"/>
      <w:lvlText w:val="(%3)"/>
      <w:lvlJc w:val="left"/>
      <w:pPr>
        <w:ind w:left="2160" w:hanging="720"/>
      </w:pPr>
      <w:rPr>
        <w:strike w:val="0"/>
        <w:dstrike w:val="0"/>
      </w:rPr>
    </w:lvl>
    <w:lvl w:ilvl="3">
      <w:start w:val="1"/>
      <w:numFmt w:val="upperLetter"/>
      <w:pStyle w:val="ListNumbering4"/>
      <w:lvlText w:val="(%4)"/>
      <w:lvlJc w:val="left"/>
      <w:pPr>
        <w:ind w:left="2880" w:hanging="720"/>
      </w:pPr>
      <w:rPr>
        <w:strike w:val="0"/>
        <w:dstrike w:val="0"/>
      </w:rPr>
    </w:lvl>
    <w:lvl w:ilvl="4">
      <w:start w:val="1"/>
      <w:numFmt w:val="none"/>
      <w:pStyle w:val="ListNumbering5"/>
      <w:suff w:val="nothing"/>
      <w:lvlText w:val=""/>
      <w:lvlJc w:val="left"/>
      <w:pPr>
        <w:ind w:left="0" w:firstLine="0"/>
      </w:pPr>
      <w:rPr>
        <w:strike w:val="0"/>
        <w:dstrike w:val="0"/>
      </w:rPr>
    </w:lvl>
    <w:lvl w:ilvl="5">
      <w:start w:val="1"/>
      <w:numFmt w:val="none"/>
      <w:pStyle w:val="ListNumbering6"/>
      <w:suff w:val="nothing"/>
      <w:lvlText w:val=""/>
      <w:lvlJc w:val="left"/>
      <w:pPr>
        <w:ind w:left="0" w:firstLine="0"/>
      </w:pPr>
      <w:rPr>
        <w:strike w:val="0"/>
        <w:dstrike w:val="0"/>
      </w:rPr>
    </w:lvl>
    <w:lvl w:ilvl="6">
      <w:start w:val="1"/>
      <w:numFmt w:val="none"/>
      <w:pStyle w:val="ListNumbering7"/>
      <w:suff w:val="nothing"/>
      <w:lvlText w:val=""/>
      <w:lvlJc w:val="left"/>
      <w:pPr>
        <w:ind w:left="0" w:firstLine="0"/>
      </w:pPr>
      <w:rPr>
        <w:strike w:val="0"/>
        <w:dstrike w:val="0"/>
      </w:rPr>
    </w:lvl>
    <w:lvl w:ilvl="7">
      <w:start w:val="1"/>
      <w:numFmt w:val="none"/>
      <w:pStyle w:val="ListNumbering8"/>
      <w:suff w:val="nothing"/>
      <w:lvlText w:val=""/>
      <w:lvlJc w:val="left"/>
      <w:pPr>
        <w:ind w:left="0" w:firstLine="0"/>
      </w:pPr>
      <w:rPr>
        <w:strike w:val="0"/>
        <w:dstrike w:val="0"/>
      </w:rPr>
    </w:lvl>
    <w:lvl w:ilvl="8">
      <w:start w:val="1"/>
      <w:numFmt w:val="none"/>
      <w:pStyle w:val="ListNumbering9"/>
      <w:suff w:val="nothing"/>
      <w:lvlText w:val=""/>
      <w:lvlJc w:val="left"/>
      <w:pPr>
        <w:ind w:left="0" w:firstLine="0"/>
      </w:pPr>
      <w:rPr>
        <w:strike w:val="0"/>
        <w:dstrike w:val="0"/>
      </w:rPr>
    </w:lvl>
  </w:abstractNum>
  <w:abstractNum w:abstractNumId="15" w15:restartNumberingAfterBreak="0">
    <w:nsid w:val="16B66BDC"/>
    <w:multiLevelType w:val="multilevel"/>
    <w:tmpl w:val="55B8E28E"/>
    <w:name w:val="Annexure"/>
    <w:lvl w:ilvl="0">
      <w:start w:val="1"/>
      <w:numFmt w:val="decimal"/>
      <w:pStyle w:val="Annexure1"/>
      <w:suff w:val="nothing"/>
      <w:lvlText w:val="Annexure %1"/>
      <w:lvlJc w:val="left"/>
      <w:pPr>
        <w:ind w:left="0" w:firstLine="0"/>
      </w:pPr>
      <w:rPr>
        <w:strike w:val="0"/>
        <w:dstrike w:val="0"/>
      </w:rPr>
    </w:lvl>
    <w:lvl w:ilvl="1">
      <w:start w:val="1"/>
      <w:numFmt w:val="upperRoman"/>
      <w:pStyle w:val="Annexure2"/>
      <w:suff w:val="nothing"/>
      <w:lvlText w:val="Part %2"/>
      <w:lvlJc w:val="left"/>
      <w:pPr>
        <w:ind w:left="0" w:firstLine="0"/>
      </w:pPr>
      <w:rPr>
        <w:b/>
        <w:strike w:val="0"/>
        <w:dstrike w:val="0"/>
      </w:rPr>
    </w:lvl>
    <w:lvl w:ilvl="2">
      <w:start w:val="1"/>
      <w:numFmt w:val="decimal"/>
      <w:pStyle w:val="Annexure3"/>
      <w:lvlText w:val="%3."/>
      <w:lvlJc w:val="left"/>
      <w:pPr>
        <w:ind w:left="720" w:hanging="720"/>
      </w:pPr>
      <w:rPr>
        <w:strike w:val="0"/>
        <w:dstrike w:val="0"/>
      </w:rPr>
    </w:lvl>
    <w:lvl w:ilvl="3">
      <w:start w:val="1"/>
      <w:numFmt w:val="decimal"/>
      <w:pStyle w:val="Annexure4"/>
      <w:lvlText w:val="%3.%4"/>
      <w:lvlJc w:val="left"/>
      <w:pPr>
        <w:ind w:left="720" w:hanging="720"/>
      </w:pPr>
      <w:rPr>
        <w:strike w:val="0"/>
        <w:dstrike w:val="0"/>
      </w:rPr>
    </w:lvl>
    <w:lvl w:ilvl="4">
      <w:start w:val="1"/>
      <w:numFmt w:val="lowerLetter"/>
      <w:pStyle w:val="Annexure5"/>
      <w:lvlText w:val="(%5)"/>
      <w:lvlJc w:val="left"/>
      <w:pPr>
        <w:ind w:left="1440" w:hanging="720"/>
      </w:pPr>
      <w:rPr>
        <w:strike w:val="0"/>
        <w:dstrike w:val="0"/>
      </w:rPr>
    </w:lvl>
    <w:lvl w:ilvl="5">
      <w:start w:val="1"/>
      <w:numFmt w:val="lowerRoman"/>
      <w:pStyle w:val="Annexure6"/>
      <w:lvlText w:val="(%6)"/>
      <w:lvlJc w:val="left"/>
      <w:pPr>
        <w:ind w:left="2160" w:hanging="720"/>
      </w:pPr>
      <w:rPr>
        <w:strike w:val="0"/>
        <w:dstrike w:val="0"/>
      </w:rPr>
    </w:lvl>
    <w:lvl w:ilvl="6">
      <w:start w:val="1"/>
      <w:numFmt w:val="upperLetter"/>
      <w:pStyle w:val="Annexure7"/>
      <w:lvlText w:val="(%7)"/>
      <w:lvlJc w:val="left"/>
      <w:pPr>
        <w:ind w:left="2880" w:hanging="720"/>
      </w:pPr>
      <w:rPr>
        <w:strike w:val="0"/>
        <w:dstrike w:val="0"/>
      </w:rPr>
    </w:lvl>
    <w:lvl w:ilvl="7">
      <w:start w:val="1"/>
      <w:numFmt w:val="decimal"/>
      <w:pStyle w:val="Annexure8"/>
      <w:lvlText w:val="(%8)"/>
      <w:lvlJc w:val="left"/>
      <w:pPr>
        <w:ind w:left="3600" w:hanging="720"/>
      </w:pPr>
      <w:rPr>
        <w:strike w:val="0"/>
        <w:dstrike w:val="0"/>
      </w:rPr>
    </w:lvl>
    <w:lvl w:ilvl="8">
      <w:start w:val="1"/>
      <w:numFmt w:val="upperRoman"/>
      <w:pStyle w:val="Annexure9"/>
      <w:lvlText w:val="(%9)"/>
      <w:lvlJc w:val="left"/>
      <w:pPr>
        <w:ind w:left="4320" w:hanging="720"/>
      </w:pPr>
      <w:rPr>
        <w:strike w:val="0"/>
        <w:dstrike w:val="0"/>
      </w:rPr>
    </w:lvl>
  </w:abstractNum>
  <w:abstractNum w:abstractNumId="16" w15:restartNumberingAfterBreak="0">
    <w:nsid w:val="1CA93839"/>
    <w:multiLevelType w:val="multilevel"/>
    <w:tmpl w:val="6804C458"/>
    <w:lvl w:ilvl="0">
      <w:start w:val="1"/>
      <w:numFmt w:val="decimal"/>
      <w:lvlText w:val="%1."/>
      <w:lvlJc w:val="left"/>
      <w:pPr>
        <w:ind w:left="720" w:hanging="720"/>
      </w:pPr>
      <w:rPr>
        <w:rFonts w:hint="default"/>
        <w:b/>
        <w:i w:val="0"/>
        <w:sz w:val="22"/>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lowerLetter"/>
      <w:lvlText w:val="(%4)"/>
      <w:lvlJc w:val="left"/>
      <w:pPr>
        <w:ind w:left="1440" w:hanging="720"/>
      </w:pPr>
      <w:rPr>
        <w:rFonts w:hint="default"/>
        <w:b w:val="0"/>
        <w:i w:val="0"/>
        <w:sz w:val="22"/>
      </w:rPr>
    </w:lvl>
    <w:lvl w:ilvl="4">
      <w:start w:val="1"/>
      <w:numFmt w:val="upperRoman"/>
      <w:lvlText w:val="%5."/>
      <w:lvlJc w:val="left"/>
      <w:pPr>
        <w:ind w:left="720" w:firstLine="0"/>
      </w:pPr>
      <w:rPr>
        <w:rFonts w:hint="default"/>
        <w:b w:val="0"/>
        <w:i w:val="0"/>
        <w:sz w:val="22"/>
      </w:rPr>
    </w:lvl>
    <w:lvl w:ilvl="5">
      <w:start w:val="1"/>
      <w:numFmt w:val="lowerRoman"/>
      <w:lvlText w:val="(%6)"/>
      <w:lvlJc w:val="left"/>
      <w:pPr>
        <w:ind w:left="720" w:firstLine="0"/>
      </w:pPr>
      <w:rPr>
        <w:rFonts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62426B"/>
    <w:multiLevelType w:val="multilevel"/>
    <w:tmpl w:val="CBD6525C"/>
    <w:name w:val="Definition"/>
    <w:lvl w:ilvl="0">
      <w:start w:val="1"/>
      <w:numFmt w:val="none"/>
      <w:pStyle w:val="Definition1"/>
      <w:suff w:val="nothing"/>
      <w:lvlText w:val="%1"/>
      <w:lvlJc w:val="left"/>
      <w:pPr>
        <w:ind w:left="720" w:firstLine="0"/>
      </w:pPr>
      <w:rPr>
        <w:strike w:val="0"/>
        <w:dstrike w:val="0"/>
        <w:sz w:val="22"/>
      </w:rPr>
    </w:lvl>
    <w:lvl w:ilvl="1">
      <w:start w:val="1"/>
      <w:numFmt w:val="lowerLetter"/>
      <w:pStyle w:val="Definition2"/>
      <w:lvlText w:val="(%2)"/>
      <w:lvlJc w:val="left"/>
      <w:pPr>
        <w:ind w:left="1440" w:hanging="720"/>
      </w:pPr>
      <w:rPr>
        <w:strike w:val="0"/>
        <w:dstrike w:val="0"/>
        <w:sz w:val="22"/>
      </w:rPr>
    </w:lvl>
    <w:lvl w:ilvl="2">
      <w:start w:val="1"/>
      <w:numFmt w:val="lowerRoman"/>
      <w:pStyle w:val="Definition3"/>
      <w:lvlText w:val="(%3)"/>
      <w:lvlJc w:val="left"/>
      <w:pPr>
        <w:ind w:left="2160" w:hanging="720"/>
      </w:pPr>
      <w:rPr>
        <w:strike w:val="0"/>
        <w:dstrike w:val="0"/>
        <w:sz w:val="22"/>
      </w:rPr>
    </w:lvl>
    <w:lvl w:ilvl="3">
      <w:start w:val="1"/>
      <w:numFmt w:val="upperLetter"/>
      <w:pStyle w:val="Definition4"/>
      <w:lvlText w:val="(%4)"/>
      <w:lvlJc w:val="left"/>
      <w:pPr>
        <w:ind w:left="2880" w:hanging="720"/>
      </w:pPr>
      <w:rPr>
        <w:strike w:val="0"/>
        <w:dstrike w:val="0"/>
        <w:sz w:val="22"/>
      </w:rPr>
    </w:lvl>
    <w:lvl w:ilvl="4">
      <w:start w:val="1"/>
      <w:numFmt w:val="none"/>
      <w:pStyle w:val="Definition5"/>
      <w:suff w:val="nothing"/>
      <w:lvlText w:val=""/>
      <w:lvlJc w:val="left"/>
      <w:pPr>
        <w:ind w:left="0" w:firstLine="0"/>
      </w:pPr>
      <w:rPr>
        <w:strike w:val="0"/>
        <w:dstrike w:val="0"/>
        <w:sz w:val="22"/>
      </w:rPr>
    </w:lvl>
    <w:lvl w:ilvl="5">
      <w:start w:val="1"/>
      <w:numFmt w:val="none"/>
      <w:pStyle w:val="Definition6"/>
      <w:suff w:val="nothing"/>
      <w:lvlText w:val=""/>
      <w:lvlJc w:val="left"/>
      <w:pPr>
        <w:ind w:left="0" w:firstLine="0"/>
      </w:pPr>
      <w:rPr>
        <w:strike w:val="0"/>
        <w:dstrike w:val="0"/>
        <w:sz w:val="22"/>
      </w:rPr>
    </w:lvl>
    <w:lvl w:ilvl="6">
      <w:start w:val="1"/>
      <w:numFmt w:val="none"/>
      <w:pStyle w:val="Definition7"/>
      <w:suff w:val="nothing"/>
      <w:lvlText w:val=""/>
      <w:lvlJc w:val="left"/>
      <w:pPr>
        <w:ind w:left="0" w:firstLine="0"/>
      </w:pPr>
      <w:rPr>
        <w:strike w:val="0"/>
        <w:dstrike w:val="0"/>
        <w:sz w:val="22"/>
      </w:rPr>
    </w:lvl>
    <w:lvl w:ilvl="7">
      <w:start w:val="1"/>
      <w:numFmt w:val="none"/>
      <w:pStyle w:val="Definition8"/>
      <w:suff w:val="nothing"/>
      <w:lvlText w:val=""/>
      <w:lvlJc w:val="left"/>
      <w:pPr>
        <w:ind w:left="0" w:firstLine="0"/>
      </w:pPr>
      <w:rPr>
        <w:strike w:val="0"/>
        <w:dstrike w:val="0"/>
        <w:sz w:val="22"/>
      </w:rPr>
    </w:lvl>
    <w:lvl w:ilvl="8">
      <w:start w:val="1"/>
      <w:numFmt w:val="none"/>
      <w:pStyle w:val="Definition9"/>
      <w:suff w:val="nothing"/>
      <w:lvlText w:val=""/>
      <w:lvlJc w:val="left"/>
      <w:pPr>
        <w:ind w:left="0" w:firstLine="0"/>
      </w:pPr>
      <w:rPr>
        <w:strike w:val="0"/>
        <w:dstrike w:val="0"/>
        <w:sz w:val="22"/>
      </w:rPr>
    </w:lvl>
  </w:abstractNum>
  <w:abstractNum w:abstractNumId="18" w15:restartNumberingAfterBreak="0">
    <w:nsid w:val="1E8221F7"/>
    <w:multiLevelType w:val="hybridMultilevel"/>
    <w:tmpl w:val="96DAA784"/>
    <w:lvl w:ilvl="0" w:tplc="25EC4A78">
      <w:start w:val="1"/>
      <w:numFmt w:val="decimal"/>
      <w:pStyle w:val="PrecedentCoverTableText-Numbered"/>
      <w:lvlText w:val="%1."/>
      <w:lvlJc w:val="left"/>
      <w:pPr>
        <w:ind w:left="720" w:hanging="360"/>
      </w:pPr>
      <w:rPr>
        <w:rFonts w:hint="default"/>
        <w:b/>
        <w:i w:val="0"/>
        <w:color w:val="A71930" w:themeColor="accent1"/>
      </w:rPr>
    </w:lvl>
    <w:lvl w:ilvl="1" w:tplc="6ADC04DA" w:tentative="1">
      <w:start w:val="1"/>
      <w:numFmt w:val="lowerLetter"/>
      <w:lvlText w:val="%2."/>
      <w:lvlJc w:val="left"/>
      <w:pPr>
        <w:ind w:left="1440" w:hanging="360"/>
      </w:pPr>
    </w:lvl>
    <w:lvl w:ilvl="2" w:tplc="87262390" w:tentative="1">
      <w:start w:val="1"/>
      <w:numFmt w:val="lowerRoman"/>
      <w:lvlText w:val="%3."/>
      <w:lvlJc w:val="right"/>
      <w:pPr>
        <w:ind w:left="2160" w:hanging="180"/>
      </w:pPr>
    </w:lvl>
    <w:lvl w:ilvl="3" w:tplc="ACEC5AA4" w:tentative="1">
      <w:start w:val="1"/>
      <w:numFmt w:val="decimal"/>
      <w:lvlText w:val="%4."/>
      <w:lvlJc w:val="left"/>
      <w:pPr>
        <w:ind w:left="2880" w:hanging="360"/>
      </w:pPr>
    </w:lvl>
    <w:lvl w:ilvl="4" w:tplc="BDD071D8" w:tentative="1">
      <w:start w:val="1"/>
      <w:numFmt w:val="lowerLetter"/>
      <w:lvlText w:val="%5."/>
      <w:lvlJc w:val="left"/>
      <w:pPr>
        <w:ind w:left="3600" w:hanging="360"/>
      </w:pPr>
    </w:lvl>
    <w:lvl w:ilvl="5" w:tplc="C744F85A" w:tentative="1">
      <w:start w:val="1"/>
      <w:numFmt w:val="lowerRoman"/>
      <w:lvlText w:val="%6."/>
      <w:lvlJc w:val="right"/>
      <w:pPr>
        <w:ind w:left="4320" w:hanging="180"/>
      </w:pPr>
    </w:lvl>
    <w:lvl w:ilvl="6" w:tplc="456A88DE" w:tentative="1">
      <w:start w:val="1"/>
      <w:numFmt w:val="decimal"/>
      <w:lvlText w:val="%7."/>
      <w:lvlJc w:val="left"/>
      <w:pPr>
        <w:ind w:left="5040" w:hanging="360"/>
      </w:pPr>
    </w:lvl>
    <w:lvl w:ilvl="7" w:tplc="40A0CB86" w:tentative="1">
      <w:start w:val="1"/>
      <w:numFmt w:val="lowerLetter"/>
      <w:lvlText w:val="%8."/>
      <w:lvlJc w:val="left"/>
      <w:pPr>
        <w:ind w:left="5760" w:hanging="360"/>
      </w:pPr>
    </w:lvl>
    <w:lvl w:ilvl="8" w:tplc="73364F02" w:tentative="1">
      <w:start w:val="1"/>
      <w:numFmt w:val="lowerRoman"/>
      <w:lvlText w:val="%9."/>
      <w:lvlJc w:val="right"/>
      <w:pPr>
        <w:ind w:left="6480" w:hanging="180"/>
      </w:pPr>
    </w:lvl>
  </w:abstractNum>
  <w:abstractNum w:abstractNumId="19" w15:restartNumberingAfterBreak="0">
    <w:nsid w:val="21BE28D7"/>
    <w:multiLevelType w:val="hybridMultilevel"/>
    <w:tmpl w:val="F3B6362C"/>
    <w:lvl w:ilvl="0" w:tplc="56243AF6">
      <w:start w:val="1"/>
      <w:numFmt w:val="upperLetter"/>
      <w:pStyle w:val="Recital"/>
      <w:lvlText w:val="%1"/>
      <w:lvlJc w:val="left"/>
      <w:pPr>
        <w:tabs>
          <w:tab w:val="num" w:pos="709"/>
        </w:tabs>
        <w:ind w:left="709" w:hanging="709"/>
      </w:pPr>
      <w:rPr>
        <w:rFonts w:hint="default"/>
      </w:rPr>
    </w:lvl>
    <w:lvl w:ilvl="1" w:tplc="56CC2868" w:tentative="1">
      <w:start w:val="1"/>
      <w:numFmt w:val="lowerLetter"/>
      <w:lvlText w:val="%2."/>
      <w:lvlJc w:val="left"/>
      <w:pPr>
        <w:tabs>
          <w:tab w:val="num" w:pos="1440"/>
        </w:tabs>
        <w:ind w:left="1440" w:hanging="360"/>
      </w:pPr>
    </w:lvl>
    <w:lvl w:ilvl="2" w:tplc="A336EFDE" w:tentative="1">
      <w:start w:val="1"/>
      <w:numFmt w:val="lowerRoman"/>
      <w:lvlText w:val="%3."/>
      <w:lvlJc w:val="right"/>
      <w:pPr>
        <w:tabs>
          <w:tab w:val="num" w:pos="2160"/>
        </w:tabs>
        <w:ind w:left="2160" w:hanging="180"/>
      </w:pPr>
    </w:lvl>
    <w:lvl w:ilvl="3" w:tplc="B316ED64" w:tentative="1">
      <w:start w:val="1"/>
      <w:numFmt w:val="decimal"/>
      <w:lvlText w:val="%4."/>
      <w:lvlJc w:val="left"/>
      <w:pPr>
        <w:tabs>
          <w:tab w:val="num" w:pos="2880"/>
        </w:tabs>
        <w:ind w:left="2880" w:hanging="360"/>
      </w:pPr>
    </w:lvl>
    <w:lvl w:ilvl="4" w:tplc="9F946B4C" w:tentative="1">
      <w:start w:val="1"/>
      <w:numFmt w:val="lowerLetter"/>
      <w:lvlText w:val="%5."/>
      <w:lvlJc w:val="left"/>
      <w:pPr>
        <w:tabs>
          <w:tab w:val="num" w:pos="3600"/>
        </w:tabs>
        <w:ind w:left="3600" w:hanging="360"/>
      </w:pPr>
    </w:lvl>
    <w:lvl w:ilvl="5" w:tplc="9F5615F4" w:tentative="1">
      <w:start w:val="1"/>
      <w:numFmt w:val="lowerRoman"/>
      <w:lvlText w:val="%6."/>
      <w:lvlJc w:val="right"/>
      <w:pPr>
        <w:tabs>
          <w:tab w:val="num" w:pos="4320"/>
        </w:tabs>
        <w:ind w:left="4320" w:hanging="180"/>
      </w:pPr>
    </w:lvl>
    <w:lvl w:ilvl="6" w:tplc="9762FE32" w:tentative="1">
      <w:start w:val="1"/>
      <w:numFmt w:val="decimal"/>
      <w:lvlText w:val="%7."/>
      <w:lvlJc w:val="left"/>
      <w:pPr>
        <w:tabs>
          <w:tab w:val="num" w:pos="5040"/>
        </w:tabs>
        <w:ind w:left="5040" w:hanging="360"/>
      </w:pPr>
    </w:lvl>
    <w:lvl w:ilvl="7" w:tplc="6C3002BE" w:tentative="1">
      <w:start w:val="1"/>
      <w:numFmt w:val="lowerLetter"/>
      <w:lvlText w:val="%8."/>
      <w:lvlJc w:val="left"/>
      <w:pPr>
        <w:tabs>
          <w:tab w:val="num" w:pos="5760"/>
        </w:tabs>
        <w:ind w:left="5760" w:hanging="360"/>
      </w:pPr>
    </w:lvl>
    <w:lvl w:ilvl="8" w:tplc="7354FF58" w:tentative="1">
      <w:start w:val="1"/>
      <w:numFmt w:val="lowerRoman"/>
      <w:lvlText w:val="%9."/>
      <w:lvlJc w:val="right"/>
      <w:pPr>
        <w:tabs>
          <w:tab w:val="num" w:pos="6480"/>
        </w:tabs>
        <w:ind w:left="6480" w:hanging="180"/>
      </w:pPr>
    </w:lvl>
  </w:abstractNum>
  <w:abstractNum w:abstractNumId="20" w15:restartNumberingAfterBreak="0">
    <w:nsid w:val="22DA4E9A"/>
    <w:multiLevelType w:val="multilevel"/>
    <w:tmpl w:val="6804C458"/>
    <w:lvl w:ilvl="0">
      <w:start w:val="1"/>
      <w:numFmt w:val="decimal"/>
      <w:lvlText w:val="%1."/>
      <w:lvlJc w:val="left"/>
      <w:pPr>
        <w:ind w:left="720" w:hanging="720"/>
      </w:pPr>
      <w:rPr>
        <w:rFonts w:hint="default"/>
        <w:b/>
        <w:i w:val="0"/>
        <w:sz w:val="22"/>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lowerLetter"/>
      <w:lvlText w:val="(%4)"/>
      <w:lvlJc w:val="left"/>
      <w:pPr>
        <w:ind w:left="1440" w:hanging="720"/>
      </w:pPr>
      <w:rPr>
        <w:rFonts w:hint="default"/>
        <w:b w:val="0"/>
        <w:i w:val="0"/>
        <w:sz w:val="22"/>
      </w:rPr>
    </w:lvl>
    <w:lvl w:ilvl="4">
      <w:start w:val="1"/>
      <w:numFmt w:val="upperRoman"/>
      <w:lvlText w:val="%5."/>
      <w:lvlJc w:val="left"/>
      <w:pPr>
        <w:ind w:left="720" w:firstLine="0"/>
      </w:pPr>
      <w:rPr>
        <w:rFonts w:hint="default"/>
        <w:b w:val="0"/>
        <w:i w:val="0"/>
        <w:sz w:val="22"/>
      </w:rPr>
    </w:lvl>
    <w:lvl w:ilvl="5">
      <w:start w:val="1"/>
      <w:numFmt w:val="lowerRoman"/>
      <w:lvlText w:val="(%6)"/>
      <w:lvlJc w:val="left"/>
      <w:pPr>
        <w:ind w:left="720" w:firstLine="0"/>
      </w:pPr>
      <w:rPr>
        <w:rFonts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4230607"/>
    <w:multiLevelType w:val="multilevel"/>
    <w:tmpl w:val="0809001F"/>
    <w:styleLink w:val="111111"/>
    <w:lvl w:ilvl="0">
      <w:start w:val="1"/>
      <w:numFmt w:val="decimal"/>
      <w:lvlText w:val="%1."/>
      <w:lvlJc w:val="left"/>
      <w:pPr>
        <w:tabs>
          <w:tab w:val="num" w:pos="360"/>
        </w:tabs>
        <w:ind w:left="360" w:hanging="360"/>
      </w:pPr>
      <w:rPr>
        <w:rFonts w:ascii="Georgia" w:hAnsi="Georgia"/>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4A349FF"/>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27010CEF"/>
    <w:multiLevelType w:val="multilevel"/>
    <w:tmpl w:val="204C8D46"/>
    <w:styleLink w:val="1ai"/>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9014F41"/>
    <w:multiLevelType w:val="hybridMultilevel"/>
    <w:tmpl w:val="7B6AFDB6"/>
    <w:lvl w:ilvl="0" w:tplc="9B42E2BA">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C7119FC"/>
    <w:multiLevelType w:val="hybridMultilevel"/>
    <w:tmpl w:val="2622600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2E35514F"/>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1C7A27"/>
    <w:multiLevelType w:val="hybridMultilevel"/>
    <w:tmpl w:val="06924C16"/>
    <w:lvl w:ilvl="0" w:tplc="6F440D70">
      <w:start w:val="1"/>
      <w:numFmt w:val="bullet"/>
      <w:pStyle w:val="Bullet2"/>
      <w:lvlText w:val=""/>
      <w:lvlJc w:val="left"/>
      <w:pPr>
        <w:tabs>
          <w:tab w:val="num" w:pos="357"/>
        </w:tabs>
        <w:ind w:left="357" w:hanging="357"/>
      </w:pPr>
      <w:rPr>
        <w:rFonts w:ascii="Symbol" w:hAnsi="Symbol" w:hint="default"/>
      </w:rPr>
    </w:lvl>
    <w:lvl w:ilvl="1" w:tplc="EC82C550" w:tentative="1">
      <w:start w:val="1"/>
      <w:numFmt w:val="bullet"/>
      <w:lvlText w:val="o"/>
      <w:lvlJc w:val="left"/>
      <w:pPr>
        <w:tabs>
          <w:tab w:val="num" w:pos="1440"/>
        </w:tabs>
        <w:ind w:left="1440" w:hanging="360"/>
      </w:pPr>
      <w:rPr>
        <w:rFonts w:ascii="Courier New" w:hAnsi="Courier New" w:cs="Courier New" w:hint="default"/>
      </w:rPr>
    </w:lvl>
    <w:lvl w:ilvl="2" w:tplc="49D01C2A" w:tentative="1">
      <w:start w:val="1"/>
      <w:numFmt w:val="bullet"/>
      <w:lvlText w:val=""/>
      <w:lvlJc w:val="left"/>
      <w:pPr>
        <w:tabs>
          <w:tab w:val="num" w:pos="2160"/>
        </w:tabs>
        <w:ind w:left="2160" w:hanging="360"/>
      </w:pPr>
      <w:rPr>
        <w:rFonts w:ascii="Wingdings" w:hAnsi="Wingdings" w:hint="default"/>
      </w:rPr>
    </w:lvl>
    <w:lvl w:ilvl="3" w:tplc="D81E992A" w:tentative="1">
      <w:start w:val="1"/>
      <w:numFmt w:val="bullet"/>
      <w:lvlText w:val=""/>
      <w:lvlJc w:val="left"/>
      <w:pPr>
        <w:tabs>
          <w:tab w:val="num" w:pos="2880"/>
        </w:tabs>
        <w:ind w:left="2880" w:hanging="360"/>
      </w:pPr>
      <w:rPr>
        <w:rFonts w:ascii="Symbol" w:hAnsi="Symbol" w:hint="default"/>
      </w:rPr>
    </w:lvl>
    <w:lvl w:ilvl="4" w:tplc="7AA46E54" w:tentative="1">
      <w:start w:val="1"/>
      <w:numFmt w:val="bullet"/>
      <w:lvlText w:val="o"/>
      <w:lvlJc w:val="left"/>
      <w:pPr>
        <w:tabs>
          <w:tab w:val="num" w:pos="3600"/>
        </w:tabs>
        <w:ind w:left="3600" w:hanging="360"/>
      </w:pPr>
      <w:rPr>
        <w:rFonts w:ascii="Courier New" w:hAnsi="Courier New" w:cs="Courier New" w:hint="default"/>
      </w:rPr>
    </w:lvl>
    <w:lvl w:ilvl="5" w:tplc="05F4B7DA" w:tentative="1">
      <w:start w:val="1"/>
      <w:numFmt w:val="bullet"/>
      <w:lvlText w:val=""/>
      <w:lvlJc w:val="left"/>
      <w:pPr>
        <w:tabs>
          <w:tab w:val="num" w:pos="4320"/>
        </w:tabs>
        <w:ind w:left="4320" w:hanging="360"/>
      </w:pPr>
      <w:rPr>
        <w:rFonts w:ascii="Wingdings" w:hAnsi="Wingdings" w:hint="default"/>
      </w:rPr>
    </w:lvl>
    <w:lvl w:ilvl="6" w:tplc="BF04799E" w:tentative="1">
      <w:start w:val="1"/>
      <w:numFmt w:val="bullet"/>
      <w:lvlText w:val=""/>
      <w:lvlJc w:val="left"/>
      <w:pPr>
        <w:tabs>
          <w:tab w:val="num" w:pos="5040"/>
        </w:tabs>
        <w:ind w:left="5040" w:hanging="360"/>
      </w:pPr>
      <w:rPr>
        <w:rFonts w:ascii="Symbol" w:hAnsi="Symbol" w:hint="default"/>
      </w:rPr>
    </w:lvl>
    <w:lvl w:ilvl="7" w:tplc="1FA2150C" w:tentative="1">
      <w:start w:val="1"/>
      <w:numFmt w:val="bullet"/>
      <w:lvlText w:val="o"/>
      <w:lvlJc w:val="left"/>
      <w:pPr>
        <w:tabs>
          <w:tab w:val="num" w:pos="5760"/>
        </w:tabs>
        <w:ind w:left="5760" w:hanging="360"/>
      </w:pPr>
      <w:rPr>
        <w:rFonts w:ascii="Courier New" w:hAnsi="Courier New" w:cs="Courier New" w:hint="default"/>
      </w:rPr>
    </w:lvl>
    <w:lvl w:ilvl="8" w:tplc="E772867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451C4C"/>
    <w:multiLevelType w:val="multilevel"/>
    <w:tmpl w:val="6DE2DBE6"/>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34E91CBD"/>
    <w:multiLevelType w:val="hybridMultilevel"/>
    <w:tmpl w:val="B98E1D8C"/>
    <w:styleLink w:val="1111110"/>
    <w:lvl w:ilvl="0" w:tplc="C86A3396">
      <w:start w:val="1"/>
      <w:numFmt w:val="lowerRoman"/>
      <w:lvlText w:val="%1."/>
      <w:lvlJc w:val="right"/>
      <w:pPr>
        <w:ind w:left="72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8E86A98"/>
    <w:multiLevelType w:val="hybridMultilevel"/>
    <w:tmpl w:val="F17822BE"/>
    <w:styleLink w:val="BMIndents"/>
    <w:lvl w:ilvl="0" w:tplc="041D0019">
      <w:start w:val="1"/>
      <w:numFmt w:val="lowerLetter"/>
      <w:lvlText w:val="%1."/>
      <w:lvlJc w:val="left"/>
      <w:pPr>
        <w:ind w:left="928" w:hanging="360"/>
      </w:pPr>
    </w:lvl>
    <w:lvl w:ilvl="1" w:tplc="041D0019">
      <w:start w:val="1"/>
      <w:numFmt w:val="lowerLetter"/>
      <w:lvlText w:val="%2."/>
      <w:lvlJc w:val="left"/>
      <w:pPr>
        <w:ind w:left="1648" w:hanging="360"/>
      </w:pPr>
    </w:lvl>
    <w:lvl w:ilvl="2" w:tplc="041D001B">
      <w:start w:val="1"/>
      <w:numFmt w:val="lowerRoman"/>
      <w:lvlText w:val="%3."/>
      <w:lvlJc w:val="right"/>
      <w:pPr>
        <w:ind w:left="2368" w:hanging="180"/>
      </w:pPr>
    </w:lvl>
    <w:lvl w:ilvl="3" w:tplc="041D000F">
      <w:start w:val="1"/>
      <w:numFmt w:val="decimal"/>
      <w:lvlText w:val="%4."/>
      <w:lvlJc w:val="left"/>
      <w:pPr>
        <w:ind w:left="3088" w:hanging="360"/>
      </w:pPr>
    </w:lvl>
    <w:lvl w:ilvl="4" w:tplc="041D0019">
      <w:start w:val="1"/>
      <w:numFmt w:val="lowerLetter"/>
      <w:lvlText w:val="%5."/>
      <w:lvlJc w:val="left"/>
      <w:pPr>
        <w:ind w:left="3808" w:hanging="360"/>
      </w:pPr>
    </w:lvl>
    <w:lvl w:ilvl="5" w:tplc="041D001B">
      <w:start w:val="1"/>
      <w:numFmt w:val="lowerRoman"/>
      <w:lvlText w:val="%6."/>
      <w:lvlJc w:val="right"/>
      <w:pPr>
        <w:ind w:left="4528" w:hanging="180"/>
      </w:pPr>
    </w:lvl>
    <w:lvl w:ilvl="6" w:tplc="041D000F">
      <w:start w:val="1"/>
      <w:numFmt w:val="decimal"/>
      <w:lvlText w:val="%7."/>
      <w:lvlJc w:val="left"/>
      <w:pPr>
        <w:ind w:left="5248" w:hanging="360"/>
      </w:pPr>
    </w:lvl>
    <w:lvl w:ilvl="7" w:tplc="041D0019">
      <w:start w:val="1"/>
      <w:numFmt w:val="lowerLetter"/>
      <w:lvlText w:val="%8."/>
      <w:lvlJc w:val="left"/>
      <w:pPr>
        <w:ind w:left="5968" w:hanging="360"/>
      </w:pPr>
    </w:lvl>
    <w:lvl w:ilvl="8" w:tplc="041D001B">
      <w:start w:val="1"/>
      <w:numFmt w:val="lowerRoman"/>
      <w:lvlText w:val="%9."/>
      <w:lvlJc w:val="right"/>
      <w:pPr>
        <w:ind w:left="6688" w:hanging="180"/>
      </w:pPr>
    </w:lvl>
  </w:abstractNum>
  <w:abstractNum w:abstractNumId="31" w15:restartNumberingAfterBreak="0">
    <w:nsid w:val="3F1077B3"/>
    <w:multiLevelType w:val="multilevel"/>
    <w:tmpl w:val="6804C458"/>
    <w:lvl w:ilvl="0">
      <w:start w:val="1"/>
      <w:numFmt w:val="decimal"/>
      <w:lvlText w:val="%1."/>
      <w:lvlJc w:val="left"/>
      <w:pPr>
        <w:ind w:left="720" w:hanging="720"/>
      </w:pPr>
      <w:rPr>
        <w:rFonts w:hint="default"/>
        <w:b/>
        <w:i w:val="0"/>
        <w:sz w:val="22"/>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lowerLetter"/>
      <w:lvlText w:val="(%4)"/>
      <w:lvlJc w:val="left"/>
      <w:pPr>
        <w:ind w:left="1440" w:hanging="720"/>
      </w:pPr>
      <w:rPr>
        <w:rFonts w:hint="default"/>
        <w:b w:val="0"/>
        <w:i w:val="0"/>
        <w:sz w:val="22"/>
      </w:rPr>
    </w:lvl>
    <w:lvl w:ilvl="4">
      <w:start w:val="1"/>
      <w:numFmt w:val="upperRoman"/>
      <w:lvlText w:val="%5."/>
      <w:lvlJc w:val="left"/>
      <w:pPr>
        <w:ind w:left="720" w:firstLine="0"/>
      </w:pPr>
      <w:rPr>
        <w:rFonts w:hint="default"/>
        <w:b w:val="0"/>
        <w:i w:val="0"/>
        <w:sz w:val="22"/>
      </w:rPr>
    </w:lvl>
    <w:lvl w:ilvl="5">
      <w:start w:val="1"/>
      <w:numFmt w:val="lowerRoman"/>
      <w:lvlText w:val="(%6)"/>
      <w:lvlJc w:val="left"/>
      <w:pPr>
        <w:ind w:left="720" w:firstLine="0"/>
      </w:pPr>
      <w:rPr>
        <w:rFonts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FAA1A3A"/>
    <w:multiLevelType w:val="multilevel"/>
    <w:tmpl w:val="B0181FB4"/>
    <w:name w:val="Exhibit"/>
    <w:lvl w:ilvl="0">
      <w:start w:val="1"/>
      <w:numFmt w:val="decimal"/>
      <w:pStyle w:val="Exhibit1"/>
      <w:suff w:val="nothing"/>
      <w:lvlText w:val="Exhibit %1"/>
      <w:lvlJc w:val="left"/>
      <w:pPr>
        <w:ind w:left="0" w:firstLine="0"/>
      </w:pPr>
      <w:rPr>
        <w:strike w:val="0"/>
        <w:dstrike w:val="0"/>
      </w:rPr>
    </w:lvl>
    <w:lvl w:ilvl="1">
      <w:start w:val="1"/>
      <w:numFmt w:val="upperRoman"/>
      <w:pStyle w:val="Exhibit2"/>
      <w:suff w:val="nothing"/>
      <w:lvlText w:val="Part %2"/>
      <w:lvlJc w:val="left"/>
      <w:pPr>
        <w:ind w:left="0" w:firstLine="0"/>
      </w:pPr>
      <w:rPr>
        <w:strike w:val="0"/>
        <w:dstrike w:val="0"/>
      </w:rPr>
    </w:lvl>
    <w:lvl w:ilvl="2">
      <w:start w:val="1"/>
      <w:numFmt w:val="decimal"/>
      <w:pStyle w:val="Exhibit3"/>
      <w:lvlText w:val="%3."/>
      <w:lvlJc w:val="left"/>
      <w:pPr>
        <w:ind w:left="720" w:hanging="720"/>
      </w:pPr>
      <w:rPr>
        <w:b/>
        <w:strike w:val="0"/>
        <w:dstrike w:val="0"/>
      </w:rPr>
    </w:lvl>
    <w:lvl w:ilvl="3">
      <w:start w:val="1"/>
      <w:numFmt w:val="decimal"/>
      <w:pStyle w:val="Exhibit4"/>
      <w:lvlText w:val="%3.%4"/>
      <w:lvlJc w:val="left"/>
      <w:pPr>
        <w:ind w:left="720" w:hanging="720"/>
      </w:pPr>
      <w:rPr>
        <w:strike w:val="0"/>
        <w:dstrike w:val="0"/>
      </w:rPr>
    </w:lvl>
    <w:lvl w:ilvl="4">
      <w:start w:val="1"/>
      <w:numFmt w:val="lowerLetter"/>
      <w:pStyle w:val="Exhibit5"/>
      <w:lvlText w:val="(%5)"/>
      <w:lvlJc w:val="left"/>
      <w:pPr>
        <w:ind w:left="1440" w:hanging="720"/>
      </w:pPr>
      <w:rPr>
        <w:strike w:val="0"/>
        <w:dstrike w:val="0"/>
      </w:rPr>
    </w:lvl>
    <w:lvl w:ilvl="5">
      <w:start w:val="1"/>
      <w:numFmt w:val="lowerRoman"/>
      <w:pStyle w:val="Exhibit6"/>
      <w:lvlText w:val="(%6)"/>
      <w:lvlJc w:val="left"/>
      <w:pPr>
        <w:ind w:left="2160" w:hanging="720"/>
      </w:pPr>
      <w:rPr>
        <w:strike w:val="0"/>
        <w:dstrike w:val="0"/>
      </w:rPr>
    </w:lvl>
    <w:lvl w:ilvl="6">
      <w:start w:val="1"/>
      <w:numFmt w:val="upperLetter"/>
      <w:pStyle w:val="Exhibit7"/>
      <w:lvlText w:val="(%7)"/>
      <w:lvlJc w:val="left"/>
      <w:pPr>
        <w:ind w:left="2880" w:hanging="720"/>
      </w:pPr>
      <w:rPr>
        <w:strike w:val="0"/>
        <w:dstrike w:val="0"/>
      </w:rPr>
    </w:lvl>
    <w:lvl w:ilvl="7">
      <w:start w:val="1"/>
      <w:numFmt w:val="decimal"/>
      <w:pStyle w:val="Exhibit8"/>
      <w:lvlText w:val="(%8)"/>
      <w:lvlJc w:val="left"/>
      <w:pPr>
        <w:ind w:left="3600" w:hanging="720"/>
      </w:pPr>
      <w:rPr>
        <w:strike w:val="0"/>
        <w:dstrike w:val="0"/>
      </w:rPr>
    </w:lvl>
    <w:lvl w:ilvl="8">
      <w:start w:val="1"/>
      <w:numFmt w:val="upperRoman"/>
      <w:pStyle w:val="Exhibit9"/>
      <w:lvlText w:val="(%9)"/>
      <w:lvlJc w:val="left"/>
      <w:pPr>
        <w:ind w:left="4320" w:hanging="720"/>
      </w:pPr>
      <w:rPr>
        <w:strike w:val="0"/>
        <w:dstrike w:val="0"/>
      </w:rPr>
    </w:lvl>
  </w:abstractNum>
  <w:abstractNum w:abstractNumId="33" w15:restartNumberingAfterBreak="0">
    <w:nsid w:val="3FB9547C"/>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43431990"/>
    <w:multiLevelType w:val="singleLevel"/>
    <w:tmpl w:val="7C540144"/>
    <w:lvl w:ilvl="0">
      <w:start w:val="1"/>
      <w:numFmt w:val="decimal"/>
      <w:pStyle w:val="Parties"/>
      <w:lvlText w:val="(%1)"/>
      <w:lvlJc w:val="left"/>
      <w:pPr>
        <w:tabs>
          <w:tab w:val="num" w:pos="680"/>
        </w:tabs>
        <w:ind w:left="680" w:hanging="680"/>
      </w:pPr>
      <w:rPr>
        <w:rFonts w:ascii="Arial" w:hAnsi="Arial" w:cs="Times New Roman" w:hint="default"/>
        <w:b/>
        <w:i w:val="0"/>
        <w:sz w:val="20"/>
      </w:rPr>
    </w:lvl>
  </w:abstractNum>
  <w:abstractNum w:abstractNumId="36" w15:restartNumberingAfterBreak="0">
    <w:nsid w:val="452F5BE6"/>
    <w:multiLevelType w:val="hybridMultilevel"/>
    <w:tmpl w:val="7B6AFDB6"/>
    <w:lvl w:ilvl="0" w:tplc="9B42E2BA">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6C35A24"/>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15:restartNumberingAfterBreak="0">
    <w:nsid w:val="4706064C"/>
    <w:multiLevelType w:val="hybridMultilevel"/>
    <w:tmpl w:val="F3580ECA"/>
    <w:lvl w:ilvl="0" w:tplc="FFFFFFFF">
      <w:start w:val="1"/>
      <w:numFmt w:val="upperRoman"/>
      <w:lvlText w:val="%1."/>
      <w:lvlJc w:val="left"/>
      <w:pPr>
        <w:ind w:left="720" w:hanging="360"/>
      </w:pPr>
      <w:rPr>
        <w:rFonts w:hint="default"/>
      </w:rPr>
    </w:lvl>
    <w:lvl w:ilvl="1" w:tplc="FFFFFFFF">
      <w:start w:val="1"/>
      <w:numFmt w:val="lowerRoman"/>
      <w:lvlText w:val="(%2)"/>
      <w:lvlJc w:val="left"/>
      <w:pPr>
        <w:ind w:left="1810" w:hanging="7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54324E"/>
    <w:multiLevelType w:val="hybridMultilevel"/>
    <w:tmpl w:val="186A18FE"/>
    <w:lvl w:ilvl="0" w:tplc="2F56647C">
      <w:start w:val="1"/>
      <w:numFmt w:val="upperLetter"/>
      <w:pStyle w:val="ListBACKGROUNDA"/>
      <w:lvlText w:val="%1."/>
      <w:lvlJc w:val="left"/>
      <w:pPr>
        <w:tabs>
          <w:tab w:val="num" w:pos="1009"/>
        </w:tabs>
        <w:ind w:left="1009" w:hanging="1009"/>
      </w:pPr>
      <w:rPr>
        <w:rFonts w:hint="default"/>
      </w:rPr>
    </w:lvl>
    <w:lvl w:ilvl="1" w:tplc="558C42D0" w:tentative="1">
      <w:start w:val="1"/>
      <w:numFmt w:val="lowerLetter"/>
      <w:lvlText w:val="%2."/>
      <w:lvlJc w:val="left"/>
      <w:pPr>
        <w:tabs>
          <w:tab w:val="num" w:pos="1440"/>
        </w:tabs>
        <w:ind w:left="1440" w:hanging="360"/>
      </w:pPr>
    </w:lvl>
    <w:lvl w:ilvl="2" w:tplc="716A4A08" w:tentative="1">
      <w:start w:val="1"/>
      <w:numFmt w:val="lowerRoman"/>
      <w:lvlText w:val="%3."/>
      <w:lvlJc w:val="right"/>
      <w:pPr>
        <w:tabs>
          <w:tab w:val="num" w:pos="2160"/>
        </w:tabs>
        <w:ind w:left="2160" w:hanging="180"/>
      </w:pPr>
    </w:lvl>
    <w:lvl w:ilvl="3" w:tplc="AAB46DC4" w:tentative="1">
      <w:start w:val="1"/>
      <w:numFmt w:val="decimal"/>
      <w:lvlText w:val="%4."/>
      <w:lvlJc w:val="left"/>
      <w:pPr>
        <w:tabs>
          <w:tab w:val="num" w:pos="2880"/>
        </w:tabs>
        <w:ind w:left="2880" w:hanging="360"/>
      </w:pPr>
    </w:lvl>
    <w:lvl w:ilvl="4" w:tplc="52CA8958" w:tentative="1">
      <w:start w:val="1"/>
      <w:numFmt w:val="lowerLetter"/>
      <w:lvlText w:val="%5."/>
      <w:lvlJc w:val="left"/>
      <w:pPr>
        <w:tabs>
          <w:tab w:val="num" w:pos="3600"/>
        </w:tabs>
        <w:ind w:left="3600" w:hanging="360"/>
      </w:pPr>
    </w:lvl>
    <w:lvl w:ilvl="5" w:tplc="6974E0D8" w:tentative="1">
      <w:start w:val="1"/>
      <w:numFmt w:val="lowerRoman"/>
      <w:lvlText w:val="%6."/>
      <w:lvlJc w:val="right"/>
      <w:pPr>
        <w:tabs>
          <w:tab w:val="num" w:pos="4320"/>
        </w:tabs>
        <w:ind w:left="4320" w:hanging="180"/>
      </w:pPr>
    </w:lvl>
    <w:lvl w:ilvl="6" w:tplc="706AEC60" w:tentative="1">
      <w:start w:val="1"/>
      <w:numFmt w:val="decimal"/>
      <w:lvlText w:val="%7."/>
      <w:lvlJc w:val="left"/>
      <w:pPr>
        <w:tabs>
          <w:tab w:val="num" w:pos="5040"/>
        </w:tabs>
        <w:ind w:left="5040" w:hanging="360"/>
      </w:pPr>
    </w:lvl>
    <w:lvl w:ilvl="7" w:tplc="9E522796" w:tentative="1">
      <w:start w:val="1"/>
      <w:numFmt w:val="lowerLetter"/>
      <w:lvlText w:val="%8."/>
      <w:lvlJc w:val="left"/>
      <w:pPr>
        <w:tabs>
          <w:tab w:val="num" w:pos="5760"/>
        </w:tabs>
        <w:ind w:left="5760" w:hanging="360"/>
      </w:pPr>
    </w:lvl>
    <w:lvl w:ilvl="8" w:tplc="0AE4351E" w:tentative="1">
      <w:start w:val="1"/>
      <w:numFmt w:val="lowerRoman"/>
      <w:lvlText w:val="%9."/>
      <w:lvlJc w:val="right"/>
      <w:pPr>
        <w:tabs>
          <w:tab w:val="num" w:pos="6480"/>
        </w:tabs>
        <w:ind w:left="6480" w:hanging="180"/>
      </w:pPr>
    </w:lvl>
  </w:abstractNum>
  <w:abstractNum w:abstractNumId="40" w15:restartNumberingAfterBreak="0">
    <w:nsid w:val="48953B76"/>
    <w:multiLevelType w:val="multilevel"/>
    <w:tmpl w:val="CB5C1A90"/>
    <w:name w:val="BBScheduleList"/>
    <w:lvl w:ilvl="0">
      <w:start w:val="1"/>
      <w:numFmt w:val="none"/>
      <w:pStyle w:val="BBScheduleTitle"/>
      <w:suff w:val="nothing"/>
      <w:lvlText w:val=""/>
      <w:lvlJc w:val="left"/>
      <w:pPr>
        <w:ind w:left="0" w:firstLine="0"/>
      </w:pPr>
      <w:rPr>
        <w:rFonts w:hint="default"/>
      </w:rPr>
    </w:lvl>
    <w:lvl w:ilvl="1">
      <w:start w:val="1"/>
      <w:numFmt w:val="decimal"/>
      <w:pStyle w:val="BBScheduleHeading1"/>
      <w:lvlText w:val="%2."/>
      <w:lvlJc w:val="left"/>
      <w:pPr>
        <w:tabs>
          <w:tab w:val="num" w:pos="720"/>
        </w:tabs>
        <w:ind w:left="720" w:hanging="720"/>
      </w:pPr>
      <w:rPr>
        <w:rFonts w:hint="default"/>
        <w:b w:val="0"/>
        <w:i w:val="0"/>
      </w:rPr>
    </w:lvl>
    <w:lvl w:ilvl="2">
      <w:start w:val="1"/>
      <w:numFmt w:val="decimal"/>
      <w:pStyle w:val="BBScheduleHeading2"/>
      <w:lvlText w:val="%2.%3"/>
      <w:lvlJc w:val="left"/>
      <w:pPr>
        <w:tabs>
          <w:tab w:val="num" w:pos="720"/>
        </w:tabs>
        <w:ind w:left="720" w:hanging="720"/>
      </w:pPr>
      <w:rPr>
        <w:rFonts w:hint="default"/>
        <w:b w:val="0"/>
        <w:i w:val="0"/>
      </w:rPr>
    </w:lvl>
    <w:lvl w:ilvl="3">
      <w:start w:val="1"/>
      <w:numFmt w:val="lowerLetter"/>
      <w:pStyle w:val="BBSchedule3"/>
      <w:lvlText w:val="(%4)"/>
      <w:lvlJc w:val="left"/>
      <w:pPr>
        <w:tabs>
          <w:tab w:val="num" w:pos="1440"/>
        </w:tabs>
        <w:ind w:left="1440" w:hanging="720"/>
      </w:pPr>
      <w:rPr>
        <w:rFonts w:hint="default"/>
        <w:b w:val="0"/>
        <w:i w:val="0"/>
      </w:rPr>
    </w:lvl>
    <w:lvl w:ilvl="4">
      <w:start w:val="1"/>
      <w:numFmt w:val="lowerRoman"/>
      <w:pStyle w:val="BBSchedule4"/>
      <w:lvlText w:val="(%5)"/>
      <w:lvlJc w:val="left"/>
      <w:pPr>
        <w:tabs>
          <w:tab w:val="num" w:pos="2160"/>
        </w:tabs>
        <w:ind w:left="2160" w:hanging="720"/>
      </w:pPr>
      <w:rPr>
        <w:rFonts w:hint="default"/>
        <w:b w:val="0"/>
        <w:i w:val="0"/>
      </w:rPr>
    </w:lvl>
    <w:lvl w:ilvl="5">
      <w:start w:val="1"/>
      <w:numFmt w:val="upperLetter"/>
      <w:pStyle w:val="BBSchedule5"/>
      <w:lvlText w:val="(%6)"/>
      <w:lvlJc w:val="left"/>
      <w:pPr>
        <w:tabs>
          <w:tab w:val="num" w:pos="2880"/>
        </w:tabs>
        <w:ind w:left="2880" w:hanging="720"/>
      </w:pPr>
      <w:rPr>
        <w:rFonts w:hint="default"/>
        <w:b w:val="0"/>
        <w:i w:val="0"/>
      </w:rPr>
    </w:lvl>
    <w:lvl w:ilvl="6">
      <w:start w:val="1"/>
      <w:numFmt w:val="upperRoman"/>
      <w:pStyle w:val="BBSchedule6"/>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4DC365FC"/>
    <w:multiLevelType w:val="multilevel"/>
    <w:tmpl w:val="B7466C04"/>
    <w:name w:val="Bullet (12pt After)"/>
    <w:lvl w:ilvl="0">
      <w:start w:val="1"/>
      <w:numFmt w:val="bullet"/>
      <w:pStyle w:val="Bullet12ptAfter1"/>
      <w:lvlText w:val=""/>
      <w:lvlJc w:val="left"/>
      <w:pPr>
        <w:ind w:left="720" w:hanging="720"/>
      </w:pPr>
      <w:rPr>
        <w:rFonts w:ascii="Symbol" w:hAnsi="Symbol" w:hint="default"/>
        <w:strike w:val="0"/>
        <w:dstrike w:val="0"/>
      </w:rPr>
    </w:lvl>
    <w:lvl w:ilvl="1">
      <w:start w:val="1"/>
      <w:numFmt w:val="bullet"/>
      <w:pStyle w:val="Bullet12ptAfter2"/>
      <w:lvlText w:val=""/>
      <w:lvlJc w:val="left"/>
      <w:pPr>
        <w:ind w:left="1440" w:hanging="720"/>
      </w:pPr>
      <w:rPr>
        <w:rFonts w:ascii="Symbol" w:hAnsi="Symbol" w:hint="default"/>
        <w:strike w:val="0"/>
        <w:dstrike w:val="0"/>
      </w:rPr>
    </w:lvl>
    <w:lvl w:ilvl="2">
      <w:start w:val="1"/>
      <w:numFmt w:val="bullet"/>
      <w:pStyle w:val="Bullet12ptAfter3"/>
      <w:lvlText w:val=""/>
      <w:lvlJc w:val="left"/>
      <w:pPr>
        <w:ind w:left="2160" w:hanging="720"/>
      </w:pPr>
      <w:rPr>
        <w:rFonts w:ascii="Symbol" w:hAnsi="Symbol" w:hint="default"/>
        <w:strike w:val="0"/>
        <w:dstrike w:val="0"/>
      </w:rPr>
    </w:lvl>
    <w:lvl w:ilvl="3">
      <w:start w:val="1"/>
      <w:numFmt w:val="bullet"/>
      <w:pStyle w:val="Bullet12ptAfter4"/>
      <w:lvlText w:val=""/>
      <w:lvlJc w:val="left"/>
      <w:pPr>
        <w:ind w:left="2880" w:hanging="720"/>
      </w:pPr>
      <w:rPr>
        <w:rFonts w:ascii="Symbol" w:hAnsi="Symbol" w:hint="default"/>
        <w:strike w:val="0"/>
        <w:dstrike w:val="0"/>
      </w:rPr>
    </w:lvl>
    <w:lvl w:ilvl="4">
      <w:start w:val="1"/>
      <w:numFmt w:val="bullet"/>
      <w:pStyle w:val="Bullet12ptAfter5"/>
      <w:lvlText w:val=""/>
      <w:lvlJc w:val="left"/>
      <w:pPr>
        <w:ind w:left="3600" w:hanging="720"/>
      </w:pPr>
      <w:rPr>
        <w:rFonts w:ascii="Symbol" w:hAnsi="Symbol" w:hint="default"/>
        <w:strike w:val="0"/>
        <w:dstrike w:val="0"/>
      </w:rPr>
    </w:lvl>
    <w:lvl w:ilvl="5">
      <w:start w:val="1"/>
      <w:numFmt w:val="bullet"/>
      <w:pStyle w:val="Bullet12ptAfter6"/>
      <w:lvlText w:val=""/>
      <w:lvlJc w:val="left"/>
      <w:pPr>
        <w:ind w:left="4320" w:hanging="720"/>
      </w:pPr>
      <w:rPr>
        <w:rFonts w:ascii="Symbol" w:hAnsi="Symbol" w:hint="default"/>
        <w:strike w:val="0"/>
        <w:dstrike w:val="0"/>
      </w:rPr>
    </w:lvl>
    <w:lvl w:ilvl="6">
      <w:start w:val="1"/>
      <w:numFmt w:val="none"/>
      <w:pStyle w:val="Bullet12ptAfter7"/>
      <w:suff w:val="nothing"/>
      <w:lvlText w:val=""/>
      <w:lvlJc w:val="left"/>
      <w:pPr>
        <w:ind w:left="360" w:firstLine="0"/>
      </w:pPr>
      <w:rPr>
        <w:strike w:val="0"/>
        <w:dstrike w:val="0"/>
      </w:rPr>
    </w:lvl>
    <w:lvl w:ilvl="7">
      <w:start w:val="1"/>
      <w:numFmt w:val="none"/>
      <w:pStyle w:val="Bullet12ptAfter8"/>
      <w:suff w:val="nothing"/>
      <w:lvlText w:val=""/>
      <w:lvlJc w:val="left"/>
      <w:pPr>
        <w:ind w:left="360" w:firstLine="0"/>
      </w:pPr>
      <w:rPr>
        <w:strike w:val="0"/>
        <w:dstrike w:val="0"/>
      </w:rPr>
    </w:lvl>
    <w:lvl w:ilvl="8">
      <w:start w:val="1"/>
      <w:numFmt w:val="none"/>
      <w:pStyle w:val="Bullet12ptAfter9"/>
      <w:suff w:val="nothing"/>
      <w:lvlText w:val=""/>
      <w:lvlJc w:val="left"/>
      <w:pPr>
        <w:ind w:left="360" w:firstLine="0"/>
      </w:pPr>
      <w:rPr>
        <w:strike w:val="0"/>
        <w:dstrike w:val="0"/>
      </w:rPr>
    </w:lvl>
  </w:abstractNum>
  <w:abstractNum w:abstractNumId="42" w15:restartNumberingAfterBreak="0">
    <w:nsid w:val="5123008F"/>
    <w:multiLevelType w:val="multilevel"/>
    <w:tmpl w:val="5F0CD808"/>
    <w:name w:val="Section"/>
    <w:lvl w:ilvl="0">
      <w:start w:val="1"/>
      <w:numFmt w:val="decimal"/>
      <w:pStyle w:val="Section"/>
      <w:lvlText w:val="Section %1"/>
      <w:lvlJc w:val="left"/>
      <w:pPr>
        <w:ind w:left="1080" w:hanging="1080"/>
      </w:pPr>
      <w:rPr>
        <w:rFonts w:hint="default"/>
      </w:rPr>
    </w:lvl>
    <w:lvl w:ilvl="1">
      <w:start w:val="1"/>
      <w:numFmt w:val="lowerLetter"/>
      <w:lvlText w:val="%2."/>
      <w:lvlJc w:val="left"/>
      <w:pPr>
        <w:ind w:left="6469" w:hanging="360"/>
      </w:pPr>
      <w:rPr>
        <w:rFonts w:hint="default"/>
      </w:rPr>
    </w:lvl>
    <w:lvl w:ilvl="2">
      <w:start w:val="1"/>
      <w:numFmt w:val="lowerRoman"/>
      <w:lvlText w:val="%3."/>
      <w:lvlJc w:val="right"/>
      <w:pPr>
        <w:ind w:left="7189" w:hanging="180"/>
      </w:pPr>
      <w:rPr>
        <w:rFonts w:hint="default"/>
      </w:rPr>
    </w:lvl>
    <w:lvl w:ilvl="3">
      <w:start w:val="1"/>
      <w:numFmt w:val="decimal"/>
      <w:lvlText w:val="%4."/>
      <w:lvlJc w:val="left"/>
      <w:pPr>
        <w:ind w:left="7909" w:hanging="360"/>
      </w:pPr>
      <w:rPr>
        <w:rFonts w:hint="default"/>
      </w:rPr>
    </w:lvl>
    <w:lvl w:ilvl="4">
      <w:start w:val="1"/>
      <w:numFmt w:val="lowerLetter"/>
      <w:lvlText w:val="%5."/>
      <w:lvlJc w:val="left"/>
      <w:pPr>
        <w:ind w:left="8629" w:hanging="360"/>
      </w:pPr>
      <w:rPr>
        <w:rFonts w:hint="default"/>
      </w:rPr>
    </w:lvl>
    <w:lvl w:ilvl="5">
      <w:start w:val="1"/>
      <w:numFmt w:val="lowerRoman"/>
      <w:lvlText w:val="%6."/>
      <w:lvlJc w:val="right"/>
      <w:pPr>
        <w:ind w:left="9349" w:hanging="180"/>
      </w:pPr>
      <w:rPr>
        <w:rFonts w:hint="default"/>
      </w:rPr>
    </w:lvl>
    <w:lvl w:ilvl="6">
      <w:start w:val="1"/>
      <w:numFmt w:val="decimal"/>
      <w:lvlText w:val="%7."/>
      <w:lvlJc w:val="left"/>
      <w:pPr>
        <w:ind w:left="10069" w:hanging="360"/>
      </w:pPr>
      <w:rPr>
        <w:rFonts w:hint="default"/>
      </w:rPr>
    </w:lvl>
    <w:lvl w:ilvl="7">
      <w:start w:val="1"/>
      <w:numFmt w:val="lowerLetter"/>
      <w:lvlText w:val="%8."/>
      <w:lvlJc w:val="left"/>
      <w:pPr>
        <w:ind w:left="10789" w:hanging="360"/>
      </w:pPr>
      <w:rPr>
        <w:rFonts w:hint="default"/>
      </w:rPr>
    </w:lvl>
    <w:lvl w:ilvl="8">
      <w:start w:val="1"/>
      <w:numFmt w:val="lowerRoman"/>
      <w:lvlText w:val="%9."/>
      <w:lvlJc w:val="right"/>
      <w:pPr>
        <w:ind w:left="11509" w:hanging="180"/>
      </w:pPr>
      <w:rPr>
        <w:rFonts w:hint="default"/>
      </w:rPr>
    </w:lvl>
  </w:abstractNum>
  <w:abstractNum w:abstractNumId="43"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4" w15:restartNumberingAfterBreak="0">
    <w:nsid w:val="531A4C9C"/>
    <w:multiLevelType w:val="hybridMultilevel"/>
    <w:tmpl w:val="5F56CAAC"/>
    <w:lvl w:ilvl="0" w:tplc="6DF267DE">
      <w:start w:val="1"/>
      <w:numFmt w:val="upperLetter"/>
      <w:pStyle w:val="NormalABC"/>
      <w:lvlText w:val="%1."/>
      <w:lvlJc w:val="left"/>
      <w:pPr>
        <w:tabs>
          <w:tab w:val="num" w:pos="1134"/>
        </w:tabs>
        <w:ind w:left="1134" w:hanging="1134"/>
      </w:pPr>
      <w:rPr>
        <w:rFonts w:cs="Times New Roman" w:hint="default"/>
      </w:rPr>
    </w:lvl>
    <w:lvl w:ilvl="1" w:tplc="23143EB0" w:tentative="1">
      <w:start w:val="1"/>
      <w:numFmt w:val="lowerLetter"/>
      <w:lvlText w:val="%2."/>
      <w:lvlJc w:val="left"/>
      <w:pPr>
        <w:tabs>
          <w:tab w:val="num" w:pos="1440"/>
        </w:tabs>
        <w:ind w:left="1440" w:hanging="360"/>
      </w:pPr>
      <w:rPr>
        <w:rFonts w:cs="Times New Roman"/>
      </w:rPr>
    </w:lvl>
    <w:lvl w:ilvl="2" w:tplc="51909516" w:tentative="1">
      <w:start w:val="1"/>
      <w:numFmt w:val="lowerRoman"/>
      <w:lvlText w:val="%3."/>
      <w:lvlJc w:val="right"/>
      <w:pPr>
        <w:tabs>
          <w:tab w:val="num" w:pos="2160"/>
        </w:tabs>
        <w:ind w:left="2160" w:hanging="180"/>
      </w:pPr>
      <w:rPr>
        <w:rFonts w:cs="Times New Roman"/>
      </w:rPr>
    </w:lvl>
    <w:lvl w:ilvl="3" w:tplc="133A0A20" w:tentative="1">
      <w:start w:val="1"/>
      <w:numFmt w:val="decimal"/>
      <w:lvlText w:val="%4."/>
      <w:lvlJc w:val="left"/>
      <w:pPr>
        <w:tabs>
          <w:tab w:val="num" w:pos="2880"/>
        </w:tabs>
        <w:ind w:left="2880" w:hanging="360"/>
      </w:pPr>
      <w:rPr>
        <w:rFonts w:cs="Times New Roman"/>
      </w:rPr>
    </w:lvl>
    <w:lvl w:ilvl="4" w:tplc="CE2C16C4" w:tentative="1">
      <w:start w:val="1"/>
      <w:numFmt w:val="lowerLetter"/>
      <w:lvlText w:val="%5."/>
      <w:lvlJc w:val="left"/>
      <w:pPr>
        <w:tabs>
          <w:tab w:val="num" w:pos="3600"/>
        </w:tabs>
        <w:ind w:left="3600" w:hanging="360"/>
      </w:pPr>
      <w:rPr>
        <w:rFonts w:cs="Times New Roman"/>
      </w:rPr>
    </w:lvl>
    <w:lvl w:ilvl="5" w:tplc="DC38D044" w:tentative="1">
      <w:start w:val="1"/>
      <w:numFmt w:val="lowerRoman"/>
      <w:lvlText w:val="%6."/>
      <w:lvlJc w:val="right"/>
      <w:pPr>
        <w:tabs>
          <w:tab w:val="num" w:pos="4320"/>
        </w:tabs>
        <w:ind w:left="4320" w:hanging="180"/>
      </w:pPr>
      <w:rPr>
        <w:rFonts w:cs="Times New Roman"/>
      </w:rPr>
    </w:lvl>
    <w:lvl w:ilvl="6" w:tplc="55C4D03E" w:tentative="1">
      <w:start w:val="1"/>
      <w:numFmt w:val="decimal"/>
      <w:lvlText w:val="%7."/>
      <w:lvlJc w:val="left"/>
      <w:pPr>
        <w:tabs>
          <w:tab w:val="num" w:pos="5040"/>
        </w:tabs>
        <w:ind w:left="5040" w:hanging="360"/>
      </w:pPr>
      <w:rPr>
        <w:rFonts w:cs="Times New Roman"/>
      </w:rPr>
    </w:lvl>
    <w:lvl w:ilvl="7" w:tplc="8CA2BBEC" w:tentative="1">
      <w:start w:val="1"/>
      <w:numFmt w:val="lowerLetter"/>
      <w:lvlText w:val="%8."/>
      <w:lvlJc w:val="left"/>
      <w:pPr>
        <w:tabs>
          <w:tab w:val="num" w:pos="5760"/>
        </w:tabs>
        <w:ind w:left="5760" w:hanging="360"/>
      </w:pPr>
      <w:rPr>
        <w:rFonts w:cs="Times New Roman"/>
      </w:rPr>
    </w:lvl>
    <w:lvl w:ilvl="8" w:tplc="C8DC230A" w:tentative="1">
      <w:start w:val="1"/>
      <w:numFmt w:val="lowerRoman"/>
      <w:lvlText w:val="%9."/>
      <w:lvlJc w:val="right"/>
      <w:pPr>
        <w:tabs>
          <w:tab w:val="num" w:pos="6480"/>
        </w:tabs>
        <w:ind w:left="6480" w:hanging="180"/>
      </w:pPr>
      <w:rPr>
        <w:rFonts w:cs="Times New Roman"/>
      </w:rPr>
    </w:lvl>
  </w:abstractNum>
  <w:abstractNum w:abstractNumId="45" w15:restartNumberingAfterBreak="0">
    <w:nsid w:val="579C3C72"/>
    <w:multiLevelType w:val="multilevel"/>
    <w:tmpl w:val="712E7C58"/>
    <w:name w:val="Bullet (0pt After)"/>
    <w:lvl w:ilvl="0">
      <w:start w:val="1"/>
      <w:numFmt w:val="bullet"/>
      <w:pStyle w:val="Bullet0ptAfter1"/>
      <w:lvlText w:val=""/>
      <w:lvlJc w:val="left"/>
      <w:pPr>
        <w:ind w:left="720" w:hanging="720"/>
      </w:pPr>
      <w:rPr>
        <w:rFonts w:ascii="Symbol" w:hAnsi="Symbol" w:hint="default"/>
        <w:strike w:val="0"/>
        <w:dstrike w:val="0"/>
      </w:rPr>
    </w:lvl>
    <w:lvl w:ilvl="1">
      <w:start w:val="1"/>
      <w:numFmt w:val="bullet"/>
      <w:pStyle w:val="Bullet0ptAfter2"/>
      <w:lvlText w:val=""/>
      <w:lvlJc w:val="left"/>
      <w:pPr>
        <w:ind w:left="1440" w:hanging="720"/>
      </w:pPr>
      <w:rPr>
        <w:rFonts w:ascii="Symbol" w:hAnsi="Symbol" w:hint="default"/>
        <w:strike w:val="0"/>
        <w:dstrike w:val="0"/>
      </w:rPr>
    </w:lvl>
    <w:lvl w:ilvl="2">
      <w:start w:val="1"/>
      <w:numFmt w:val="bullet"/>
      <w:pStyle w:val="Bullet0ptAfter3"/>
      <w:lvlText w:val=""/>
      <w:lvlJc w:val="left"/>
      <w:pPr>
        <w:ind w:left="2160" w:hanging="720"/>
      </w:pPr>
      <w:rPr>
        <w:rFonts w:ascii="Symbol" w:hAnsi="Symbol" w:hint="default"/>
        <w:strike w:val="0"/>
        <w:dstrike w:val="0"/>
      </w:rPr>
    </w:lvl>
    <w:lvl w:ilvl="3">
      <w:start w:val="1"/>
      <w:numFmt w:val="bullet"/>
      <w:pStyle w:val="Bullet0ptAfter4"/>
      <w:lvlText w:val=""/>
      <w:lvlJc w:val="left"/>
      <w:pPr>
        <w:ind w:left="2880" w:hanging="720"/>
      </w:pPr>
      <w:rPr>
        <w:rFonts w:ascii="Symbol" w:hAnsi="Symbol" w:hint="default"/>
        <w:strike w:val="0"/>
        <w:dstrike w:val="0"/>
      </w:rPr>
    </w:lvl>
    <w:lvl w:ilvl="4">
      <w:start w:val="1"/>
      <w:numFmt w:val="bullet"/>
      <w:pStyle w:val="Bullet0ptAfter5"/>
      <w:lvlText w:val=""/>
      <w:lvlJc w:val="left"/>
      <w:pPr>
        <w:ind w:left="3600" w:hanging="720"/>
      </w:pPr>
      <w:rPr>
        <w:rFonts w:ascii="Symbol" w:hAnsi="Symbol" w:hint="default"/>
        <w:strike w:val="0"/>
        <w:dstrike w:val="0"/>
      </w:rPr>
    </w:lvl>
    <w:lvl w:ilvl="5">
      <w:start w:val="1"/>
      <w:numFmt w:val="bullet"/>
      <w:pStyle w:val="Bullet0ptAfter6"/>
      <w:lvlText w:val=""/>
      <w:lvlJc w:val="left"/>
      <w:pPr>
        <w:ind w:left="4320" w:hanging="720"/>
      </w:pPr>
      <w:rPr>
        <w:rFonts w:ascii="Symbol" w:hAnsi="Symbol" w:hint="default"/>
        <w:strike w:val="0"/>
        <w:dstrike w:val="0"/>
      </w:rPr>
    </w:lvl>
    <w:lvl w:ilvl="6">
      <w:start w:val="1"/>
      <w:numFmt w:val="none"/>
      <w:pStyle w:val="Bullet0ptAfter7"/>
      <w:suff w:val="nothing"/>
      <w:lvlText w:val=""/>
      <w:lvlJc w:val="left"/>
      <w:pPr>
        <w:ind w:left="0" w:firstLine="0"/>
      </w:pPr>
      <w:rPr>
        <w:strike w:val="0"/>
        <w:dstrike w:val="0"/>
      </w:rPr>
    </w:lvl>
    <w:lvl w:ilvl="7">
      <w:start w:val="1"/>
      <w:numFmt w:val="none"/>
      <w:pStyle w:val="Bullet0ptAfter8"/>
      <w:suff w:val="nothing"/>
      <w:lvlText w:val=""/>
      <w:lvlJc w:val="left"/>
      <w:pPr>
        <w:ind w:left="0" w:firstLine="0"/>
      </w:pPr>
      <w:rPr>
        <w:strike w:val="0"/>
        <w:dstrike w:val="0"/>
      </w:rPr>
    </w:lvl>
    <w:lvl w:ilvl="8">
      <w:start w:val="1"/>
      <w:numFmt w:val="none"/>
      <w:pStyle w:val="Bullet0ptAfter9"/>
      <w:suff w:val="nothing"/>
      <w:lvlText w:val=""/>
      <w:lvlJc w:val="left"/>
      <w:pPr>
        <w:ind w:left="0" w:firstLine="0"/>
      </w:pPr>
      <w:rPr>
        <w:strike w:val="0"/>
        <w:dstrike w:val="0"/>
      </w:rPr>
    </w:lvl>
  </w:abstractNum>
  <w:abstractNum w:abstractNumId="46" w15:restartNumberingAfterBreak="0">
    <w:nsid w:val="58101515"/>
    <w:multiLevelType w:val="hybridMultilevel"/>
    <w:tmpl w:val="2622600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A270D6"/>
    <w:multiLevelType w:val="singleLevel"/>
    <w:tmpl w:val="D2A453F2"/>
    <w:lvl w:ilvl="0">
      <w:start w:val="1"/>
      <w:numFmt w:val="upperLetter"/>
      <w:pStyle w:val="Recitals"/>
      <w:lvlText w:val="(%1)"/>
      <w:lvlJc w:val="left"/>
      <w:pPr>
        <w:tabs>
          <w:tab w:val="num" w:pos="680"/>
        </w:tabs>
        <w:ind w:left="680" w:hanging="680"/>
      </w:pPr>
      <w:rPr>
        <w:rFonts w:ascii="Times New Roman" w:hAnsi="Times New Roman" w:cs="Times New Roman" w:hint="default"/>
        <w:b w:val="0"/>
        <w:i w:val="0"/>
        <w:sz w:val="22"/>
        <w:szCs w:val="22"/>
      </w:rPr>
    </w:lvl>
  </w:abstractNum>
  <w:abstractNum w:abstractNumId="48" w15:restartNumberingAfterBreak="0">
    <w:nsid w:val="5D3867F6"/>
    <w:multiLevelType w:val="hybridMultilevel"/>
    <w:tmpl w:val="1BCEEF14"/>
    <w:lvl w:ilvl="0" w:tplc="0464C1D2">
      <w:start w:val="1"/>
      <w:numFmt w:val="bullet"/>
      <w:pStyle w:val="Bullet1"/>
      <w:lvlText w:val=""/>
      <w:lvlJc w:val="left"/>
      <w:pPr>
        <w:tabs>
          <w:tab w:val="num" w:pos="709"/>
        </w:tabs>
        <w:ind w:left="709" w:hanging="709"/>
      </w:pPr>
      <w:rPr>
        <w:rFonts w:ascii="Symbol" w:hAnsi="Symbol" w:hint="default"/>
      </w:rPr>
    </w:lvl>
    <w:lvl w:ilvl="1" w:tplc="220C6BB8" w:tentative="1">
      <w:start w:val="1"/>
      <w:numFmt w:val="bullet"/>
      <w:lvlText w:val="o"/>
      <w:lvlJc w:val="left"/>
      <w:pPr>
        <w:tabs>
          <w:tab w:val="num" w:pos="1440"/>
        </w:tabs>
        <w:ind w:left="1440" w:hanging="360"/>
      </w:pPr>
      <w:rPr>
        <w:rFonts w:ascii="Courier New" w:hAnsi="Courier New" w:cs="Courier New" w:hint="default"/>
      </w:rPr>
    </w:lvl>
    <w:lvl w:ilvl="2" w:tplc="D77646F0" w:tentative="1">
      <w:start w:val="1"/>
      <w:numFmt w:val="bullet"/>
      <w:lvlText w:val=""/>
      <w:lvlJc w:val="left"/>
      <w:pPr>
        <w:tabs>
          <w:tab w:val="num" w:pos="2160"/>
        </w:tabs>
        <w:ind w:left="2160" w:hanging="360"/>
      </w:pPr>
      <w:rPr>
        <w:rFonts w:ascii="Wingdings" w:hAnsi="Wingdings" w:hint="default"/>
      </w:rPr>
    </w:lvl>
    <w:lvl w:ilvl="3" w:tplc="B90A37A2" w:tentative="1">
      <w:start w:val="1"/>
      <w:numFmt w:val="bullet"/>
      <w:lvlText w:val=""/>
      <w:lvlJc w:val="left"/>
      <w:pPr>
        <w:tabs>
          <w:tab w:val="num" w:pos="2880"/>
        </w:tabs>
        <w:ind w:left="2880" w:hanging="360"/>
      </w:pPr>
      <w:rPr>
        <w:rFonts w:ascii="Symbol" w:hAnsi="Symbol" w:hint="default"/>
      </w:rPr>
    </w:lvl>
    <w:lvl w:ilvl="4" w:tplc="B4C4648A" w:tentative="1">
      <w:start w:val="1"/>
      <w:numFmt w:val="bullet"/>
      <w:lvlText w:val="o"/>
      <w:lvlJc w:val="left"/>
      <w:pPr>
        <w:tabs>
          <w:tab w:val="num" w:pos="3600"/>
        </w:tabs>
        <w:ind w:left="3600" w:hanging="360"/>
      </w:pPr>
      <w:rPr>
        <w:rFonts w:ascii="Courier New" w:hAnsi="Courier New" w:cs="Courier New" w:hint="default"/>
      </w:rPr>
    </w:lvl>
    <w:lvl w:ilvl="5" w:tplc="9C3071B6" w:tentative="1">
      <w:start w:val="1"/>
      <w:numFmt w:val="bullet"/>
      <w:lvlText w:val=""/>
      <w:lvlJc w:val="left"/>
      <w:pPr>
        <w:tabs>
          <w:tab w:val="num" w:pos="4320"/>
        </w:tabs>
        <w:ind w:left="4320" w:hanging="360"/>
      </w:pPr>
      <w:rPr>
        <w:rFonts w:ascii="Wingdings" w:hAnsi="Wingdings" w:hint="default"/>
      </w:rPr>
    </w:lvl>
    <w:lvl w:ilvl="6" w:tplc="DE643284" w:tentative="1">
      <w:start w:val="1"/>
      <w:numFmt w:val="bullet"/>
      <w:lvlText w:val=""/>
      <w:lvlJc w:val="left"/>
      <w:pPr>
        <w:tabs>
          <w:tab w:val="num" w:pos="5040"/>
        </w:tabs>
        <w:ind w:left="5040" w:hanging="360"/>
      </w:pPr>
      <w:rPr>
        <w:rFonts w:ascii="Symbol" w:hAnsi="Symbol" w:hint="default"/>
      </w:rPr>
    </w:lvl>
    <w:lvl w:ilvl="7" w:tplc="51209DAA" w:tentative="1">
      <w:start w:val="1"/>
      <w:numFmt w:val="bullet"/>
      <w:lvlText w:val="o"/>
      <w:lvlJc w:val="left"/>
      <w:pPr>
        <w:tabs>
          <w:tab w:val="num" w:pos="5760"/>
        </w:tabs>
        <w:ind w:left="5760" w:hanging="360"/>
      </w:pPr>
      <w:rPr>
        <w:rFonts w:ascii="Courier New" w:hAnsi="Courier New" w:cs="Courier New" w:hint="default"/>
      </w:rPr>
    </w:lvl>
    <w:lvl w:ilvl="8" w:tplc="2BE6690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A8338E"/>
    <w:multiLevelType w:val="hybridMultilevel"/>
    <w:tmpl w:val="F3580ECA"/>
    <w:lvl w:ilvl="0" w:tplc="9B42E2BA">
      <w:start w:val="1"/>
      <w:numFmt w:val="upperRoman"/>
      <w:lvlText w:val="%1."/>
      <w:lvlJc w:val="left"/>
      <w:pPr>
        <w:ind w:left="720" w:hanging="360"/>
      </w:pPr>
      <w:rPr>
        <w:rFonts w:hint="default"/>
      </w:rPr>
    </w:lvl>
    <w:lvl w:ilvl="1" w:tplc="D11C9CCC">
      <w:start w:val="1"/>
      <w:numFmt w:val="lowerRoman"/>
      <w:lvlText w:val="(%2)"/>
      <w:lvlJc w:val="left"/>
      <w:pPr>
        <w:ind w:left="1810" w:hanging="7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51" w15:restartNumberingAfterBreak="0">
    <w:nsid w:val="5FE65139"/>
    <w:multiLevelType w:val="multilevel"/>
    <w:tmpl w:val="3EDE571E"/>
    <w:name w:val="Table Number"/>
    <w:lvl w:ilvl="0">
      <w:start w:val="1"/>
      <w:numFmt w:val="decimal"/>
      <w:pStyle w:val="TableNumber1"/>
      <w:lvlText w:val="%1."/>
      <w:lvlJc w:val="left"/>
      <w:pPr>
        <w:ind w:left="360" w:hanging="360"/>
      </w:pPr>
      <w:rPr>
        <w:strike w:val="0"/>
        <w:dstrike w:val="0"/>
      </w:rPr>
    </w:lvl>
    <w:lvl w:ilvl="1">
      <w:start w:val="1"/>
      <w:numFmt w:val="decimal"/>
      <w:pStyle w:val="TableNumber2"/>
      <w:lvlText w:val="%1.%2"/>
      <w:lvlJc w:val="left"/>
      <w:pPr>
        <w:ind w:left="720" w:hanging="360"/>
      </w:pPr>
      <w:rPr>
        <w:strike w:val="0"/>
        <w:dstrike w:val="0"/>
      </w:rPr>
    </w:lvl>
    <w:lvl w:ilvl="2">
      <w:start w:val="1"/>
      <w:numFmt w:val="lowerLetter"/>
      <w:pStyle w:val="TableNumber3"/>
      <w:lvlText w:val="(%3)"/>
      <w:lvlJc w:val="left"/>
      <w:pPr>
        <w:ind w:left="1080" w:hanging="360"/>
      </w:pPr>
      <w:rPr>
        <w:strike w:val="0"/>
        <w:dstrike w:val="0"/>
      </w:rPr>
    </w:lvl>
    <w:lvl w:ilvl="3">
      <w:start w:val="1"/>
      <w:numFmt w:val="none"/>
      <w:pStyle w:val="TableNumber4"/>
      <w:suff w:val="nothing"/>
      <w:lvlText w:val=""/>
      <w:lvlJc w:val="left"/>
      <w:pPr>
        <w:ind w:left="0" w:firstLine="0"/>
      </w:pPr>
      <w:rPr>
        <w:strike w:val="0"/>
        <w:dstrike w:val="0"/>
      </w:rPr>
    </w:lvl>
    <w:lvl w:ilvl="4">
      <w:start w:val="1"/>
      <w:numFmt w:val="none"/>
      <w:pStyle w:val="TableNumber5"/>
      <w:suff w:val="nothing"/>
      <w:lvlText w:val=""/>
      <w:lvlJc w:val="left"/>
      <w:pPr>
        <w:ind w:left="0" w:firstLine="0"/>
      </w:pPr>
      <w:rPr>
        <w:strike w:val="0"/>
        <w:dstrike w:val="0"/>
      </w:rPr>
    </w:lvl>
    <w:lvl w:ilvl="5">
      <w:start w:val="1"/>
      <w:numFmt w:val="none"/>
      <w:pStyle w:val="TableNumber6"/>
      <w:suff w:val="nothing"/>
      <w:lvlText w:val=""/>
      <w:lvlJc w:val="left"/>
      <w:pPr>
        <w:ind w:left="0" w:firstLine="0"/>
      </w:pPr>
      <w:rPr>
        <w:strike w:val="0"/>
        <w:dstrike w:val="0"/>
      </w:rPr>
    </w:lvl>
    <w:lvl w:ilvl="6">
      <w:start w:val="1"/>
      <w:numFmt w:val="none"/>
      <w:pStyle w:val="TableNumber7"/>
      <w:suff w:val="nothing"/>
      <w:lvlText w:val=""/>
      <w:lvlJc w:val="left"/>
      <w:pPr>
        <w:ind w:left="0" w:firstLine="0"/>
      </w:pPr>
      <w:rPr>
        <w:strike w:val="0"/>
        <w:dstrike w:val="0"/>
      </w:rPr>
    </w:lvl>
    <w:lvl w:ilvl="7">
      <w:start w:val="1"/>
      <w:numFmt w:val="none"/>
      <w:pStyle w:val="TableNumber8"/>
      <w:suff w:val="nothing"/>
      <w:lvlText w:val=""/>
      <w:lvlJc w:val="left"/>
      <w:pPr>
        <w:ind w:left="0" w:firstLine="0"/>
      </w:pPr>
      <w:rPr>
        <w:strike w:val="0"/>
        <w:dstrike w:val="0"/>
      </w:rPr>
    </w:lvl>
    <w:lvl w:ilvl="8">
      <w:start w:val="1"/>
      <w:numFmt w:val="none"/>
      <w:pStyle w:val="TableNumber9"/>
      <w:suff w:val="nothing"/>
      <w:lvlText w:val=""/>
      <w:lvlJc w:val="left"/>
      <w:pPr>
        <w:ind w:left="0" w:firstLine="0"/>
      </w:pPr>
      <w:rPr>
        <w:strike w:val="0"/>
        <w:dstrike w:val="0"/>
      </w:rPr>
    </w:lvl>
  </w:abstractNum>
  <w:abstractNum w:abstractNumId="52" w15:restartNumberingAfterBreak="0">
    <w:nsid w:val="66F873FE"/>
    <w:multiLevelType w:val="multilevel"/>
    <w:tmpl w:val="453C6B26"/>
    <w:name w:val="Parties/Recitals"/>
    <w:lvl w:ilvl="0">
      <w:start w:val="1"/>
      <w:numFmt w:val="decimal"/>
      <w:pStyle w:val="PartiesRecitals1"/>
      <w:lvlText w:val="(%1)"/>
      <w:lvlJc w:val="left"/>
      <w:pPr>
        <w:ind w:left="720" w:hanging="720"/>
      </w:pPr>
      <w:rPr>
        <w:strike w:val="0"/>
        <w:dstrike w:val="0"/>
        <w:sz w:val="22"/>
      </w:rPr>
    </w:lvl>
    <w:lvl w:ilvl="1">
      <w:start w:val="1"/>
      <w:numFmt w:val="upperLetter"/>
      <w:lvlRestart w:val="0"/>
      <w:pStyle w:val="PartiesRecitals2"/>
      <w:lvlText w:val="%2."/>
      <w:lvlJc w:val="left"/>
      <w:pPr>
        <w:ind w:left="720" w:hanging="720"/>
      </w:pPr>
      <w:rPr>
        <w:strike w:val="0"/>
        <w:dstrike w:val="0"/>
        <w:sz w:val="22"/>
      </w:rPr>
    </w:lvl>
    <w:lvl w:ilvl="2">
      <w:start w:val="1"/>
      <w:numFmt w:val="none"/>
      <w:pStyle w:val="PartiesRecitals3"/>
      <w:suff w:val="nothing"/>
      <w:lvlText w:val="%3"/>
      <w:lvlJc w:val="left"/>
      <w:pPr>
        <w:ind w:left="0" w:firstLine="0"/>
      </w:pPr>
      <w:rPr>
        <w:strike w:val="0"/>
        <w:dstrike w:val="0"/>
        <w:sz w:val="22"/>
      </w:rPr>
    </w:lvl>
    <w:lvl w:ilvl="3">
      <w:start w:val="1"/>
      <w:numFmt w:val="none"/>
      <w:pStyle w:val="PartiesRecitals4"/>
      <w:suff w:val="nothing"/>
      <w:lvlText w:val=""/>
      <w:lvlJc w:val="left"/>
      <w:pPr>
        <w:ind w:left="0" w:firstLine="0"/>
      </w:pPr>
      <w:rPr>
        <w:strike w:val="0"/>
        <w:dstrike w:val="0"/>
        <w:sz w:val="22"/>
      </w:rPr>
    </w:lvl>
    <w:lvl w:ilvl="4">
      <w:start w:val="1"/>
      <w:numFmt w:val="none"/>
      <w:pStyle w:val="PartiesRecitals5"/>
      <w:suff w:val="nothing"/>
      <w:lvlText w:val=""/>
      <w:lvlJc w:val="left"/>
      <w:pPr>
        <w:ind w:left="0" w:firstLine="0"/>
      </w:pPr>
      <w:rPr>
        <w:strike w:val="0"/>
        <w:dstrike w:val="0"/>
        <w:sz w:val="22"/>
      </w:rPr>
    </w:lvl>
    <w:lvl w:ilvl="5">
      <w:start w:val="1"/>
      <w:numFmt w:val="none"/>
      <w:pStyle w:val="PartiesRecitals6"/>
      <w:suff w:val="nothing"/>
      <w:lvlText w:val=""/>
      <w:lvlJc w:val="left"/>
      <w:pPr>
        <w:ind w:left="0" w:firstLine="0"/>
      </w:pPr>
      <w:rPr>
        <w:strike w:val="0"/>
        <w:dstrike w:val="0"/>
        <w:sz w:val="22"/>
      </w:rPr>
    </w:lvl>
    <w:lvl w:ilvl="6">
      <w:start w:val="1"/>
      <w:numFmt w:val="none"/>
      <w:pStyle w:val="PartiesRecitals7"/>
      <w:suff w:val="nothing"/>
      <w:lvlText w:val=""/>
      <w:lvlJc w:val="left"/>
      <w:pPr>
        <w:ind w:left="0" w:firstLine="0"/>
      </w:pPr>
      <w:rPr>
        <w:strike w:val="0"/>
        <w:dstrike w:val="0"/>
        <w:sz w:val="22"/>
      </w:rPr>
    </w:lvl>
    <w:lvl w:ilvl="7">
      <w:start w:val="1"/>
      <w:numFmt w:val="none"/>
      <w:pStyle w:val="PartiesRecitals8"/>
      <w:suff w:val="nothing"/>
      <w:lvlText w:val=""/>
      <w:lvlJc w:val="left"/>
      <w:pPr>
        <w:ind w:left="0" w:firstLine="0"/>
      </w:pPr>
      <w:rPr>
        <w:strike w:val="0"/>
        <w:dstrike w:val="0"/>
        <w:sz w:val="22"/>
      </w:rPr>
    </w:lvl>
    <w:lvl w:ilvl="8">
      <w:start w:val="1"/>
      <w:numFmt w:val="none"/>
      <w:pStyle w:val="PartiesRecitals9"/>
      <w:suff w:val="nothing"/>
      <w:lvlText w:val=""/>
      <w:lvlJc w:val="left"/>
      <w:pPr>
        <w:ind w:left="0" w:firstLine="0"/>
      </w:pPr>
      <w:rPr>
        <w:strike w:val="0"/>
        <w:dstrike w:val="0"/>
        <w:sz w:val="22"/>
      </w:rPr>
    </w:lvl>
  </w:abstractNum>
  <w:abstractNum w:abstractNumId="53" w15:restartNumberingAfterBreak="0">
    <w:nsid w:val="68B23FF6"/>
    <w:multiLevelType w:val="multilevel"/>
    <w:tmpl w:val="0809001D"/>
    <w:styleLink w:val="1ai0"/>
    <w:lvl w:ilvl="0">
      <w:start w:val="1"/>
      <w:numFmt w:val="decimal"/>
      <w:lvlText w:val="%1)"/>
      <w:lvlJc w:val="left"/>
      <w:pPr>
        <w:tabs>
          <w:tab w:val="num" w:pos="360"/>
        </w:tabs>
        <w:ind w:left="360" w:hanging="360"/>
      </w:pPr>
      <w:rPr>
        <w:rFonts w:ascii="Georgia" w:hAnsi="Georgi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BB6682F"/>
    <w:multiLevelType w:val="multilevel"/>
    <w:tmpl w:val="B8B6C762"/>
    <w:name w:val="Heading"/>
    <w:lvl w:ilvl="0">
      <w:start w:val="1"/>
      <w:numFmt w:val="decimal"/>
      <w:lvlText w:val="%1."/>
      <w:lvlJc w:val="left"/>
      <w:pPr>
        <w:ind w:left="720" w:hanging="720"/>
      </w:pPr>
      <w:rPr>
        <w:strike w:val="0"/>
        <w:dstrike w:val="0"/>
        <w:sz w:val="22"/>
      </w:rPr>
    </w:lvl>
    <w:lvl w:ilvl="1">
      <w:start w:val="1"/>
      <w:numFmt w:val="decimal"/>
      <w:lvlText w:val="%1.%2"/>
      <w:lvlJc w:val="left"/>
      <w:pPr>
        <w:ind w:left="720" w:hanging="720"/>
      </w:pPr>
      <w:rPr>
        <w:strike w:val="0"/>
        <w:dstrike w:val="0"/>
        <w:sz w:val="22"/>
      </w:rPr>
    </w:lvl>
    <w:lvl w:ilvl="2">
      <w:start w:val="1"/>
      <w:numFmt w:val="lowerLetter"/>
      <w:lvlText w:val="(%3)"/>
      <w:lvlJc w:val="left"/>
      <w:pPr>
        <w:ind w:left="1440" w:hanging="720"/>
      </w:pPr>
      <w:rPr>
        <w:strike w:val="0"/>
        <w:dstrike w:val="0"/>
        <w:sz w:val="22"/>
      </w:rPr>
    </w:lvl>
    <w:lvl w:ilvl="3">
      <w:start w:val="1"/>
      <w:numFmt w:val="lowerRoman"/>
      <w:lvlText w:val="(%4)"/>
      <w:lvlJc w:val="left"/>
      <w:pPr>
        <w:ind w:left="2160" w:hanging="720"/>
      </w:pPr>
      <w:rPr>
        <w:strike w:val="0"/>
        <w:dstrike w:val="0"/>
        <w:sz w:val="22"/>
      </w:rPr>
    </w:lvl>
    <w:lvl w:ilvl="4">
      <w:start w:val="1"/>
      <w:numFmt w:val="upperLetter"/>
      <w:lvlText w:val="(%5)"/>
      <w:lvlJc w:val="left"/>
      <w:pPr>
        <w:ind w:left="2880" w:hanging="720"/>
      </w:pPr>
      <w:rPr>
        <w:strike w:val="0"/>
        <w:dstrike w:val="0"/>
        <w:sz w:val="22"/>
      </w:rPr>
    </w:lvl>
    <w:lvl w:ilvl="5">
      <w:start w:val="1"/>
      <w:numFmt w:val="decimal"/>
      <w:lvlText w:val="(%6)"/>
      <w:lvlJc w:val="left"/>
      <w:pPr>
        <w:ind w:left="3600" w:hanging="720"/>
      </w:pPr>
      <w:rPr>
        <w:strike w:val="0"/>
        <w:dstrike w:val="0"/>
        <w:sz w:val="22"/>
      </w:rPr>
    </w:lvl>
    <w:lvl w:ilvl="6">
      <w:start w:val="1"/>
      <w:numFmt w:val="upperRoman"/>
      <w:lvlText w:val="(%7)"/>
      <w:lvlJc w:val="left"/>
      <w:pPr>
        <w:ind w:left="4320" w:hanging="720"/>
      </w:pPr>
      <w:rPr>
        <w:strike w:val="0"/>
        <w:dstrike w:val="0"/>
        <w:sz w:val="22"/>
      </w:rPr>
    </w:lvl>
    <w:lvl w:ilvl="7">
      <w:start w:val="1"/>
      <w:numFmt w:val="none"/>
      <w:suff w:val="nothing"/>
      <w:lvlText w:val="%8"/>
      <w:lvlJc w:val="left"/>
      <w:pPr>
        <w:ind w:left="3600" w:hanging="720"/>
      </w:pPr>
      <w:rPr>
        <w:i w:val="0"/>
        <w:caps w:val="0"/>
        <w:strike w:val="0"/>
        <w:dstrike w:val="0"/>
        <w:vanish w:val="0"/>
        <w:sz w:val="22"/>
        <w:u w:val="none"/>
        <w:effect w:val="none"/>
        <w:vertAlign w:val="baseline"/>
      </w:rPr>
    </w:lvl>
    <w:lvl w:ilvl="8">
      <w:start w:val="1"/>
      <w:numFmt w:val="none"/>
      <w:suff w:val="nothing"/>
      <w:lvlText w:val="%9"/>
      <w:lvlJc w:val="left"/>
      <w:pPr>
        <w:ind w:left="4320" w:hanging="720"/>
      </w:pPr>
      <w:rPr>
        <w:strike w:val="0"/>
        <w:dstrike w:val="0"/>
        <w:sz w:val="22"/>
      </w:rPr>
    </w:lvl>
  </w:abstractNum>
  <w:abstractNum w:abstractNumId="55" w15:restartNumberingAfterBreak="0">
    <w:nsid w:val="6CAA1187"/>
    <w:multiLevelType w:val="hybridMultilevel"/>
    <w:tmpl w:val="F3580ECA"/>
    <w:lvl w:ilvl="0" w:tplc="9B42E2BA">
      <w:start w:val="1"/>
      <w:numFmt w:val="upperRoman"/>
      <w:lvlText w:val="%1."/>
      <w:lvlJc w:val="left"/>
      <w:pPr>
        <w:ind w:left="720" w:hanging="360"/>
      </w:pPr>
      <w:rPr>
        <w:rFonts w:hint="default"/>
      </w:rPr>
    </w:lvl>
    <w:lvl w:ilvl="1" w:tplc="D11C9CCC">
      <w:start w:val="1"/>
      <w:numFmt w:val="lowerRoman"/>
      <w:lvlText w:val="(%2)"/>
      <w:lvlJc w:val="left"/>
      <w:pPr>
        <w:ind w:left="1810" w:hanging="7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3B6434"/>
    <w:multiLevelType w:val="multilevel"/>
    <w:tmpl w:val="90882D9A"/>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98"/>
        </w:tabs>
        <w:ind w:left="2098" w:hanging="680"/>
      </w:pPr>
      <w:rPr>
        <w:rFonts w:ascii="Times New Roman" w:hAnsi="Times New Roman"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57" w15:restartNumberingAfterBreak="0">
    <w:nsid w:val="703E52A0"/>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8" w15:restartNumberingAfterBreak="0">
    <w:nsid w:val="70C93035"/>
    <w:multiLevelType w:val="hybridMultilevel"/>
    <w:tmpl w:val="9A72B286"/>
    <w:name w:val="Box Note Bullet"/>
    <w:lvl w:ilvl="0" w:tplc="4E2EC6B8">
      <w:start w:val="1"/>
      <w:numFmt w:val="bullet"/>
      <w:pStyle w:val="BoxNoteBullet"/>
      <w:lvlText w:val=""/>
      <w:lvlJc w:val="left"/>
      <w:pPr>
        <w:ind w:left="720" w:hanging="360"/>
      </w:pPr>
      <w:rPr>
        <w:rFonts w:ascii="Wingdings" w:hAnsi="Wingdings" w:hint="default"/>
        <w:color w:val="A7193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4074D3"/>
    <w:multiLevelType w:val="hybridMultilevel"/>
    <w:tmpl w:val="2622600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9910EFB"/>
    <w:multiLevelType w:val="multilevel"/>
    <w:tmpl w:val="10BC8254"/>
    <w:name w:val="bilaga"/>
    <w:lvl w:ilvl="0">
      <w:start w:val="1"/>
      <w:numFmt w:val="decimal"/>
      <w:pStyle w:val="Schedule"/>
      <w:suff w:val="space"/>
      <w:lvlText w:val="Schedule %1"/>
      <w:lvlJc w:val="left"/>
      <w:rPr>
        <w:rFonts w:hint="default"/>
      </w:rPr>
    </w:lvl>
    <w:lvl w:ilvl="1">
      <w:start w:val="1"/>
      <w:numFmt w:val="none"/>
      <w:pStyle w:val="ScheduleHeadingToC"/>
      <w:lvlText w:val=""/>
      <w:lvlJc w:val="left"/>
      <w:pPr>
        <w:tabs>
          <w:tab w:val="num" w:pos="0"/>
        </w:tabs>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A58598E"/>
    <w:multiLevelType w:val="multilevel"/>
    <w:tmpl w:val="08090023"/>
    <w:styleLink w:val="ArticleSection0"/>
    <w:lvl w:ilvl="0">
      <w:start w:val="1"/>
      <w:numFmt w:val="upperRoman"/>
      <w:lvlText w:val="Article %1."/>
      <w:lvlJc w:val="left"/>
      <w:pPr>
        <w:tabs>
          <w:tab w:val="num" w:pos="1440"/>
        </w:tabs>
        <w:ind w:left="0" w:firstLine="0"/>
      </w:pPr>
      <w:rPr>
        <w:rFonts w:ascii="Georgia" w:hAnsi="Georgia"/>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2" w15:restartNumberingAfterBreak="0">
    <w:nsid w:val="7CD67A0D"/>
    <w:multiLevelType w:val="multilevel"/>
    <w:tmpl w:val="46FEEDF8"/>
    <w:lvl w:ilvl="0">
      <w:start w:val="1"/>
      <w:numFmt w:val="decimal"/>
      <w:pStyle w:val="nRubrik1"/>
      <w:lvlText w:val="%1"/>
      <w:lvlJc w:val="left"/>
      <w:pPr>
        <w:tabs>
          <w:tab w:val="num" w:pos="1020"/>
        </w:tabs>
        <w:ind w:left="1020" w:hanging="1020"/>
      </w:pPr>
      <w:rPr>
        <w:rFonts w:ascii="Arial" w:hAnsi="Arial" w:cs="Arial" w:hint="default"/>
        <w:b/>
        <w:i w:val="0"/>
        <w:sz w:val="20"/>
        <w:szCs w:val="20"/>
      </w:rPr>
    </w:lvl>
    <w:lvl w:ilvl="1">
      <w:start w:val="1"/>
      <w:numFmt w:val="decimal"/>
      <w:pStyle w:val="nRubrik2"/>
      <w:lvlText w:val="%1.%2"/>
      <w:lvlJc w:val="left"/>
      <w:pPr>
        <w:tabs>
          <w:tab w:val="num" w:pos="1020"/>
        </w:tabs>
        <w:ind w:left="1020" w:hanging="1020"/>
      </w:pPr>
      <w:rPr>
        <w:rFonts w:ascii="Arial" w:hAnsi="Arial" w:cs="Arial" w:hint="default"/>
        <w:b/>
        <w:i w:val="0"/>
        <w:sz w:val="22"/>
      </w:rPr>
    </w:lvl>
    <w:lvl w:ilvl="2">
      <w:start w:val="1"/>
      <w:numFmt w:val="decimal"/>
      <w:pStyle w:val="nRubrik3"/>
      <w:lvlText w:val="%1.%2.%3"/>
      <w:lvlJc w:val="left"/>
      <w:pPr>
        <w:tabs>
          <w:tab w:val="num" w:pos="1020"/>
        </w:tabs>
        <w:ind w:left="1020" w:hanging="1020"/>
      </w:pPr>
      <w:rPr>
        <w:rFonts w:ascii="Arial" w:hAnsi="Arial" w:cs="Arial" w:hint="default"/>
        <w:b w:val="0"/>
        <w:i/>
        <w:strike w:val="0"/>
        <w:dstrike w:val="0"/>
        <w:sz w:val="22"/>
        <w:u w:val="none"/>
        <w:effect w:val="none"/>
      </w:rPr>
    </w:lvl>
    <w:lvl w:ilvl="3">
      <w:start w:val="1"/>
      <w:numFmt w:val="decimal"/>
      <w:pStyle w:val="nRubrik4"/>
      <w:lvlText w:val="%1.%2.%3.%4"/>
      <w:lvlJc w:val="left"/>
      <w:pPr>
        <w:tabs>
          <w:tab w:val="num" w:pos="1020"/>
        </w:tabs>
        <w:ind w:left="1020" w:hanging="1020"/>
      </w:pPr>
      <w:rPr>
        <w:rFonts w:ascii="Arial" w:hAnsi="Arial" w:cs="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63" w15:restartNumberingAfterBreak="0">
    <w:nsid w:val="7D520640"/>
    <w:multiLevelType w:val="multilevel"/>
    <w:tmpl w:val="06C04B8C"/>
    <w:name w:val="Table Bullet"/>
    <w:lvl w:ilvl="0">
      <w:start w:val="1"/>
      <w:numFmt w:val="bullet"/>
      <w:pStyle w:val="TableBullet1"/>
      <w:lvlText w:val=""/>
      <w:lvlJc w:val="left"/>
      <w:pPr>
        <w:ind w:left="360" w:hanging="360"/>
      </w:pPr>
      <w:rPr>
        <w:rFonts w:ascii="Symbol" w:hAnsi="Symbol" w:hint="default"/>
        <w:b w:val="0"/>
        <w:i w:val="0"/>
        <w:strike w:val="0"/>
        <w:dstrike w:val="0"/>
        <w:color w:val="auto"/>
        <w:sz w:val="22"/>
      </w:rPr>
    </w:lvl>
    <w:lvl w:ilvl="1">
      <w:start w:val="1"/>
      <w:numFmt w:val="bullet"/>
      <w:pStyle w:val="TableBullet2"/>
      <w:lvlText w:val=""/>
      <w:lvlJc w:val="left"/>
      <w:pPr>
        <w:ind w:left="720" w:hanging="360"/>
      </w:pPr>
      <w:rPr>
        <w:rFonts w:ascii="Symbol" w:hAnsi="Symbol" w:hint="default"/>
        <w:strike w:val="0"/>
        <w:dstrike w:val="0"/>
      </w:rPr>
    </w:lvl>
    <w:lvl w:ilvl="2">
      <w:start w:val="1"/>
      <w:numFmt w:val="bullet"/>
      <w:pStyle w:val="TableBullet3"/>
      <w:lvlText w:val=""/>
      <w:lvlJc w:val="left"/>
      <w:pPr>
        <w:ind w:left="1080" w:hanging="360"/>
      </w:pPr>
      <w:rPr>
        <w:rFonts w:ascii="Symbol" w:hAnsi="Symbol" w:hint="default"/>
        <w:strike w:val="0"/>
        <w:dstrike w:val="0"/>
      </w:rPr>
    </w:lvl>
    <w:lvl w:ilvl="3">
      <w:start w:val="1"/>
      <w:numFmt w:val="none"/>
      <w:pStyle w:val="TableBullet4"/>
      <w:suff w:val="nothing"/>
      <w:lvlText w:val=""/>
      <w:lvlJc w:val="left"/>
      <w:pPr>
        <w:ind w:left="0" w:firstLine="0"/>
      </w:pPr>
      <w:rPr>
        <w:strike w:val="0"/>
        <w:dstrike w:val="0"/>
      </w:rPr>
    </w:lvl>
    <w:lvl w:ilvl="4">
      <w:start w:val="1"/>
      <w:numFmt w:val="none"/>
      <w:pStyle w:val="TableBullet5"/>
      <w:suff w:val="nothing"/>
      <w:lvlText w:val=""/>
      <w:lvlJc w:val="left"/>
      <w:pPr>
        <w:ind w:left="0" w:firstLine="0"/>
      </w:pPr>
      <w:rPr>
        <w:strike w:val="0"/>
        <w:dstrike w:val="0"/>
      </w:rPr>
    </w:lvl>
    <w:lvl w:ilvl="5">
      <w:start w:val="1"/>
      <w:numFmt w:val="none"/>
      <w:pStyle w:val="TableBullet6"/>
      <w:suff w:val="nothing"/>
      <w:lvlText w:val=""/>
      <w:lvlJc w:val="left"/>
      <w:pPr>
        <w:ind w:left="0" w:firstLine="0"/>
      </w:pPr>
      <w:rPr>
        <w:strike w:val="0"/>
        <w:dstrike w:val="0"/>
      </w:rPr>
    </w:lvl>
    <w:lvl w:ilvl="6">
      <w:start w:val="1"/>
      <w:numFmt w:val="none"/>
      <w:pStyle w:val="TableBullet7"/>
      <w:suff w:val="nothing"/>
      <w:lvlText w:val=""/>
      <w:lvlJc w:val="left"/>
      <w:pPr>
        <w:ind w:left="0" w:firstLine="0"/>
      </w:pPr>
      <w:rPr>
        <w:strike w:val="0"/>
        <w:dstrike w:val="0"/>
      </w:rPr>
    </w:lvl>
    <w:lvl w:ilvl="7">
      <w:start w:val="1"/>
      <w:numFmt w:val="none"/>
      <w:pStyle w:val="TableBullet8"/>
      <w:suff w:val="nothing"/>
      <w:lvlText w:val=""/>
      <w:lvlJc w:val="left"/>
      <w:pPr>
        <w:ind w:left="0" w:firstLine="0"/>
      </w:pPr>
      <w:rPr>
        <w:strike w:val="0"/>
        <w:dstrike w:val="0"/>
      </w:rPr>
    </w:lvl>
    <w:lvl w:ilvl="8">
      <w:start w:val="1"/>
      <w:numFmt w:val="none"/>
      <w:pStyle w:val="TableBullet9"/>
      <w:suff w:val="nothing"/>
      <w:lvlText w:val=""/>
      <w:lvlJc w:val="left"/>
      <w:pPr>
        <w:ind w:left="0" w:firstLine="0"/>
      </w:pPr>
      <w:rPr>
        <w:strike w:val="0"/>
        <w:dstrike w:val="0"/>
      </w:rPr>
    </w:lvl>
  </w:abstractNum>
  <w:abstractNum w:abstractNumId="64" w15:restartNumberingAfterBreak="0">
    <w:nsid w:val="7F49585E"/>
    <w:multiLevelType w:val="multilevel"/>
    <w:tmpl w:val="FB50D40E"/>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2279"/>
        </w:tabs>
        <w:ind w:left="2279" w:hanging="720"/>
      </w:pPr>
      <w:rPr>
        <w:rFonts w:hint="default"/>
        <w:b w:val="0"/>
        <w:i w:val="0"/>
      </w:rPr>
    </w:lvl>
    <w:lvl w:ilvl="2">
      <w:start w:val="1"/>
      <w:numFmt w:val="decimal"/>
      <w:pStyle w:val="BBHeading3"/>
      <w:lvlText w:val="%1.%2.%3"/>
      <w:lvlJc w:val="left"/>
      <w:pPr>
        <w:tabs>
          <w:tab w:val="num" w:pos="1895"/>
        </w:tabs>
        <w:ind w:left="1895"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1787"/>
        </w:tabs>
        <w:ind w:left="1787" w:hanging="1077"/>
      </w:pPr>
      <w:rPr>
        <w:rFonts w:hint="default"/>
        <w:b w:val="0"/>
        <w:i w:val="0"/>
        <w:lang w:val="en-GB"/>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2023433151">
    <w:abstractNumId w:val="48"/>
  </w:num>
  <w:num w:numId="2" w16cid:durableId="2026007570">
    <w:abstractNumId w:val="27"/>
  </w:num>
  <w:num w:numId="3" w16cid:durableId="1128821984">
    <w:abstractNumId w:val="28"/>
  </w:num>
  <w:num w:numId="4" w16cid:durableId="1213273731">
    <w:abstractNumId w:val="34"/>
  </w:num>
  <w:num w:numId="5" w16cid:durableId="313996376">
    <w:abstractNumId w:val="9"/>
  </w:num>
  <w:num w:numId="6" w16cid:durableId="981736885">
    <w:abstractNumId w:val="43"/>
  </w:num>
  <w:num w:numId="7" w16cid:durableId="6543787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364753">
    <w:abstractNumId w:val="44"/>
  </w:num>
  <w:num w:numId="9" w16cid:durableId="1995255335">
    <w:abstractNumId w:val="56"/>
  </w:num>
  <w:num w:numId="10" w16cid:durableId="1861241836">
    <w:abstractNumId w:val="35"/>
  </w:num>
  <w:num w:numId="11" w16cid:durableId="2124955597">
    <w:abstractNumId w:val="47"/>
  </w:num>
  <w:num w:numId="12" w16cid:durableId="431173635">
    <w:abstractNumId w:val="19"/>
  </w:num>
  <w:num w:numId="13" w16cid:durableId="1563175132">
    <w:abstractNumId w:val="50"/>
  </w:num>
  <w:num w:numId="14" w16cid:durableId="303705251">
    <w:abstractNumId w:val="64"/>
  </w:num>
  <w:num w:numId="15" w16cid:durableId="811942334">
    <w:abstractNumId w:val="39"/>
  </w:num>
  <w:num w:numId="16" w16cid:durableId="468135032">
    <w:abstractNumId w:val="5"/>
  </w:num>
  <w:num w:numId="17" w16cid:durableId="1404522278">
    <w:abstractNumId w:val="4"/>
  </w:num>
  <w:num w:numId="18" w16cid:durableId="754664905">
    <w:abstractNumId w:val="3"/>
  </w:num>
  <w:num w:numId="19" w16cid:durableId="2008244157">
    <w:abstractNumId w:val="2"/>
  </w:num>
  <w:num w:numId="20" w16cid:durableId="355347533">
    <w:abstractNumId w:val="1"/>
  </w:num>
  <w:num w:numId="21" w16cid:durableId="1098142488">
    <w:abstractNumId w:val="0"/>
  </w:num>
  <w:num w:numId="22" w16cid:durableId="1832938686">
    <w:abstractNumId w:val="40"/>
  </w:num>
  <w:num w:numId="23" w16cid:durableId="1585916118">
    <w:abstractNumId w:val="53"/>
  </w:num>
  <w:num w:numId="24" w16cid:durableId="670530116">
    <w:abstractNumId w:val="61"/>
  </w:num>
  <w:num w:numId="25" w16cid:durableId="2077430526">
    <w:abstractNumId w:val="21"/>
  </w:num>
  <w:num w:numId="26" w16cid:durableId="329674093">
    <w:abstractNumId w:val="60"/>
  </w:num>
  <w:num w:numId="27" w16cid:durableId="1443955761">
    <w:abstractNumId w:val="6"/>
  </w:num>
  <w:num w:numId="28" w16cid:durableId="1465460598">
    <w:abstractNumId w:val="18"/>
  </w:num>
  <w:num w:numId="29" w16cid:durableId="282031477">
    <w:abstractNumId w:val="23"/>
  </w:num>
  <w:num w:numId="30" w16cid:durableId="575167925">
    <w:abstractNumId w:val="12"/>
  </w:num>
  <w:num w:numId="31" w16cid:durableId="1429882651">
    <w:abstractNumId w:val="29"/>
  </w:num>
  <w:num w:numId="32" w16cid:durableId="1126504038">
    <w:abstractNumId w:val="30"/>
  </w:num>
  <w:num w:numId="33" w16cid:durableId="1538621159">
    <w:abstractNumId w:val="25"/>
  </w:num>
  <w:num w:numId="34" w16cid:durableId="966591215">
    <w:abstractNumId w:val="7"/>
  </w:num>
  <w:num w:numId="35" w16cid:durableId="241529793">
    <w:abstractNumId w:val="59"/>
  </w:num>
  <w:num w:numId="36" w16cid:durableId="56785720">
    <w:abstractNumId w:val="26"/>
  </w:num>
  <w:num w:numId="37" w16cid:durableId="1349671667">
    <w:abstractNumId w:val="33"/>
  </w:num>
  <w:num w:numId="38" w16cid:durableId="1760911327">
    <w:abstractNumId w:val="46"/>
  </w:num>
  <w:num w:numId="39" w16cid:durableId="148441746">
    <w:abstractNumId w:val="58"/>
  </w:num>
  <w:num w:numId="40" w16cid:durableId="2067097557">
    <w:abstractNumId w:val="51"/>
  </w:num>
  <w:num w:numId="41" w16cid:durableId="939412850">
    <w:abstractNumId w:val="63"/>
  </w:num>
  <w:num w:numId="42" w16cid:durableId="1523740366">
    <w:abstractNumId w:val="14"/>
  </w:num>
  <w:num w:numId="43" w16cid:durableId="1671253267">
    <w:abstractNumId w:val="41"/>
  </w:num>
  <w:num w:numId="44" w16cid:durableId="1549880305">
    <w:abstractNumId w:val="45"/>
  </w:num>
  <w:num w:numId="45" w16cid:durableId="1673070028">
    <w:abstractNumId w:val="42"/>
  </w:num>
  <w:num w:numId="46" w16cid:durableId="176387042">
    <w:abstractNumId w:val="17"/>
  </w:num>
  <w:num w:numId="47" w16cid:durableId="1937009510">
    <w:abstractNumId w:val="52"/>
  </w:num>
  <w:num w:numId="48" w16cid:durableId="763575240">
    <w:abstractNumId w:val="32"/>
  </w:num>
  <w:num w:numId="49" w16cid:durableId="473835257">
    <w:abstractNumId w:val="15"/>
  </w:num>
  <w:num w:numId="50" w16cid:durableId="160202352">
    <w:abstractNumId w:val="8"/>
  </w:num>
  <w:num w:numId="51" w16cid:durableId="896285948">
    <w:abstractNumId w:val="49"/>
  </w:num>
  <w:num w:numId="52" w16cid:durableId="1256094257">
    <w:abstractNumId w:val="24"/>
  </w:num>
  <w:num w:numId="53" w16cid:durableId="1340157404">
    <w:abstractNumId w:val="36"/>
  </w:num>
  <w:num w:numId="54" w16cid:durableId="373193147">
    <w:abstractNumId w:val="55"/>
  </w:num>
  <w:num w:numId="55" w16cid:durableId="1779912122">
    <w:abstractNumId w:val="20"/>
  </w:num>
  <w:num w:numId="56" w16cid:durableId="1390686601">
    <w:abstractNumId w:val="31"/>
  </w:num>
  <w:num w:numId="57" w16cid:durableId="812528864">
    <w:abstractNumId w:val="16"/>
  </w:num>
  <w:num w:numId="58" w16cid:durableId="1119833337">
    <w:abstractNumId w:val="11"/>
  </w:num>
  <w:num w:numId="59" w16cid:durableId="900822762">
    <w:abstractNumId w:val="38"/>
  </w:num>
  <w:num w:numId="60" w16cid:durableId="1938294057">
    <w:abstractNumId w:val="22"/>
  </w:num>
  <w:num w:numId="61" w16cid:durableId="1743286098">
    <w:abstractNumId w:val="37"/>
  </w:num>
  <w:num w:numId="62" w16cid:durableId="1003507018">
    <w:abstractNumId w:val="13"/>
  </w:num>
  <w:num w:numId="63" w16cid:durableId="1317879843">
    <w:abstractNumId w:val="10"/>
  </w:num>
  <w:num w:numId="64" w16cid:durableId="210267782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AA"/>
    <w:rsid w:val="000028BC"/>
    <w:rsid w:val="0000695E"/>
    <w:rsid w:val="0001435A"/>
    <w:rsid w:val="000167FF"/>
    <w:rsid w:val="000215FD"/>
    <w:rsid w:val="00025E6E"/>
    <w:rsid w:val="00026BF3"/>
    <w:rsid w:val="000323FC"/>
    <w:rsid w:val="000403FD"/>
    <w:rsid w:val="00040452"/>
    <w:rsid w:val="000421F2"/>
    <w:rsid w:val="000428BF"/>
    <w:rsid w:val="00042C4D"/>
    <w:rsid w:val="0004655C"/>
    <w:rsid w:val="00054D46"/>
    <w:rsid w:val="00057CD7"/>
    <w:rsid w:val="00060252"/>
    <w:rsid w:val="000610C6"/>
    <w:rsid w:val="000610FF"/>
    <w:rsid w:val="00065393"/>
    <w:rsid w:val="00074907"/>
    <w:rsid w:val="000769C7"/>
    <w:rsid w:val="00083CF5"/>
    <w:rsid w:val="00084A3C"/>
    <w:rsid w:val="00087D8E"/>
    <w:rsid w:val="0009269A"/>
    <w:rsid w:val="0009483C"/>
    <w:rsid w:val="000959D4"/>
    <w:rsid w:val="000A03ED"/>
    <w:rsid w:val="000A416E"/>
    <w:rsid w:val="000A5F17"/>
    <w:rsid w:val="000B0A78"/>
    <w:rsid w:val="000B3840"/>
    <w:rsid w:val="000B391A"/>
    <w:rsid w:val="000C1EBA"/>
    <w:rsid w:val="000C7015"/>
    <w:rsid w:val="000D607C"/>
    <w:rsid w:val="000D7887"/>
    <w:rsid w:val="000D7A70"/>
    <w:rsid w:val="000E4406"/>
    <w:rsid w:val="000F076F"/>
    <w:rsid w:val="000F1A68"/>
    <w:rsid w:val="000F3E47"/>
    <w:rsid w:val="000F5A53"/>
    <w:rsid w:val="000F74C0"/>
    <w:rsid w:val="00101F8B"/>
    <w:rsid w:val="00103389"/>
    <w:rsid w:val="00107284"/>
    <w:rsid w:val="00114A3A"/>
    <w:rsid w:val="00121574"/>
    <w:rsid w:val="00121A00"/>
    <w:rsid w:val="001250A6"/>
    <w:rsid w:val="001251A8"/>
    <w:rsid w:val="001332F7"/>
    <w:rsid w:val="001349D5"/>
    <w:rsid w:val="00136BD8"/>
    <w:rsid w:val="00145906"/>
    <w:rsid w:val="00145FF1"/>
    <w:rsid w:val="001466CC"/>
    <w:rsid w:val="001471B6"/>
    <w:rsid w:val="001502B0"/>
    <w:rsid w:val="00153282"/>
    <w:rsid w:val="0015372C"/>
    <w:rsid w:val="0015501F"/>
    <w:rsid w:val="0015661D"/>
    <w:rsid w:val="00156A39"/>
    <w:rsid w:val="00163E8D"/>
    <w:rsid w:val="00164521"/>
    <w:rsid w:val="001667F0"/>
    <w:rsid w:val="00166BCF"/>
    <w:rsid w:val="00166D10"/>
    <w:rsid w:val="00171F44"/>
    <w:rsid w:val="00172627"/>
    <w:rsid w:val="001727C1"/>
    <w:rsid w:val="00175641"/>
    <w:rsid w:val="00175FA1"/>
    <w:rsid w:val="001822FE"/>
    <w:rsid w:val="00183991"/>
    <w:rsid w:val="001854E4"/>
    <w:rsid w:val="00187928"/>
    <w:rsid w:val="001918E4"/>
    <w:rsid w:val="0019226F"/>
    <w:rsid w:val="00194EEA"/>
    <w:rsid w:val="001950D1"/>
    <w:rsid w:val="001951FA"/>
    <w:rsid w:val="001A030F"/>
    <w:rsid w:val="001A0B17"/>
    <w:rsid w:val="001A1DEB"/>
    <w:rsid w:val="001A47F9"/>
    <w:rsid w:val="001A7360"/>
    <w:rsid w:val="001B261E"/>
    <w:rsid w:val="001B38F2"/>
    <w:rsid w:val="001B67DC"/>
    <w:rsid w:val="001B793B"/>
    <w:rsid w:val="001C2015"/>
    <w:rsid w:val="001D1897"/>
    <w:rsid w:val="001D643B"/>
    <w:rsid w:val="001E344B"/>
    <w:rsid w:val="001E3A48"/>
    <w:rsid w:val="001E3D3E"/>
    <w:rsid w:val="001E568F"/>
    <w:rsid w:val="001E5795"/>
    <w:rsid w:val="001E58ED"/>
    <w:rsid w:val="001F1972"/>
    <w:rsid w:val="001F65F8"/>
    <w:rsid w:val="0020052D"/>
    <w:rsid w:val="0020309E"/>
    <w:rsid w:val="00203A04"/>
    <w:rsid w:val="00204685"/>
    <w:rsid w:val="00207B57"/>
    <w:rsid w:val="00211621"/>
    <w:rsid w:val="00213C3B"/>
    <w:rsid w:val="002146E2"/>
    <w:rsid w:val="0021480E"/>
    <w:rsid w:val="002148FD"/>
    <w:rsid w:val="002153B6"/>
    <w:rsid w:val="00216A8E"/>
    <w:rsid w:val="002209F6"/>
    <w:rsid w:val="00222BA8"/>
    <w:rsid w:val="00235723"/>
    <w:rsid w:val="002364D8"/>
    <w:rsid w:val="0023706D"/>
    <w:rsid w:val="0024538D"/>
    <w:rsid w:val="002472B7"/>
    <w:rsid w:val="002477D2"/>
    <w:rsid w:val="00247C82"/>
    <w:rsid w:val="00251D6C"/>
    <w:rsid w:val="00252BAF"/>
    <w:rsid w:val="00253161"/>
    <w:rsid w:val="00253D35"/>
    <w:rsid w:val="00254AFF"/>
    <w:rsid w:val="002608C2"/>
    <w:rsid w:val="00270D09"/>
    <w:rsid w:val="00273C72"/>
    <w:rsid w:val="00275DB1"/>
    <w:rsid w:val="002765D9"/>
    <w:rsid w:val="00276C6A"/>
    <w:rsid w:val="00280326"/>
    <w:rsid w:val="00281FC2"/>
    <w:rsid w:val="00282564"/>
    <w:rsid w:val="00282747"/>
    <w:rsid w:val="00285BE4"/>
    <w:rsid w:val="00286B75"/>
    <w:rsid w:val="00287283"/>
    <w:rsid w:val="00291E24"/>
    <w:rsid w:val="00292264"/>
    <w:rsid w:val="00293192"/>
    <w:rsid w:val="00293E29"/>
    <w:rsid w:val="00294B64"/>
    <w:rsid w:val="002960D1"/>
    <w:rsid w:val="0029755C"/>
    <w:rsid w:val="002A0465"/>
    <w:rsid w:val="002A4EC1"/>
    <w:rsid w:val="002B0391"/>
    <w:rsid w:val="002B08EB"/>
    <w:rsid w:val="002B6B8E"/>
    <w:rsid w:val="002C05D8"/>
    <w:rsid w:val="002C0BBB"/>
    <w:rsid w:val="002D0065"/>
    <w:rsid w:val="002D1B94"/>
    <w:rsid w:val="002D59E9"/>
    <w:rsid w:val="002D62D9"/>
    <w:rsid w:val="002D6B02"/>
    <w:rsid w:val="002D7258"/>
    <w:rsid w:val="002D786F"/>
    <w:rsid w:val="002E349C"/>
    <w:rsid w:val="002E494C"/>
    <w:rsid w:val="002E7394"/>
    <w:rsid w:val="002F08AC"/>
    <w:rsid w:val="002F172F"/>
    <w:rsid w:val="002F4440"/>
    <w:rsid w:val="00300AF8"/>
    <w:rsid w:val="00304271"/>
    <w:rsid w:val="0030478D"/>
    <w:rsid w:val="003047D0"/>
    <w:rsid w:val="00305227"/>
    <w:rsid w:val="00305FC6"/>
    <w:rsid w:val="00306A1D"/>
    <w:rsid w:val="0031044E"/>
    <w:rsid w:val="00311E9E"/>
    <w:rsid w:val="0031286A"/>
    <w:rsid w:val="00314634"/>
    <w:rsid w:val="0031706D"/>
    <w:rsid w:val="0031785B"/>
    <w:rsid w:val="00320C6A"/>
    <w:rsid w:val="003359D6"/>
    <w:rsid w:val="00337309"/>
    <w:rsid w:val="00342C2B"/>
    <w:rsid w:val="003459B2"/>
    <w:rsid w:val="00351118"/>
    <w:rsid w:val="003515B7"/>
    <w:rsid w:val="00354F94"/>
    <w:rsid w:val="00356C76"/>
    <w:rsid w:val="00361B31"/>
    <w:rsid w:val="00363BE1"/>
    <w:rsid w:val="00363ECA"/>
    <w:rsid w:val="00371809"/>
    <w:rsid w:val="00371CA1"/>
    <w:rsid w:val="00374361"/>
    <w:rsid w:val="00374570"/>
    <w:rsid w:val="003748E1"/>
    <w:rsid w:val="00374C24"/>
    <w:rsid w:val="00377779"/>
    <w:rsid w:val="00381138"/>
    <w:rsid w:val="00383A96"/>
    <w:rsid w:val="00384C9B"/>
    <w:rsid w:val="00390591"/>
    <w:rsid w:val="003907D5"/>
    <w:rsid w:val="0039134E"/>
    <w:rsid w:val="00392F15"/>
    <w:rsid w:val="003964FA"/>
    <w:rsid w:val="003A1A9B"/>
    <w:rsid w:val="003A3C31"/>
    <w:rsid w:val="003A3D77"/>
    <w:rsid w:val="003A713B"/>
    <w:rsid w:val="003A7A98"/>
    <w:rsid w:val="003B08DF"/>
    <w:rsid w:val="003B12B8"/>
    <w:rsid w:val="003C343D"/>
    <w:rsid w:val="003D358A"/>
    <w:rsid w:val="003D4788"/>
    <w:rsid w:val="003D4EB0"/>
    <w:rsid w:val="003D73C9"/>
    <w:rsid w:val="003D77BE"/>
    <w:rsid w:val="003D78E8"/>
    <w:rsid w:val="003E0393"/>
    <w:rsid w:val="003E0AD1"/>
    <w:rsid w:val="003E3233"/>
    <w:rsid w:val="003E44FD"/>
    <w:rsid w:val="003E4E26"/>
    <w:rsid w:val="003F07B0"/>
    <w:rsid w:val="003F0AB4"/>
    <w:rsid w:val="003F3015"/>
    <w:rsid w:val="003F3B40"/>
    <w:rsid w:val="00400BA5"/>
    <w:rsid w:val="0040181F"/>
    <w:rsid w:val="0041021C"/>
    <w:rsid w:val="004130AB"/>
    <w:rsid w:val="00422634"/>
    <w:rsid w:val="00425BCF"/>
    <w:rsid w:val="00437557"/>
    <w:rsid w:val="0043784D"/>
    <w:rsid w:val="004439AE"/>
    <w:rsid w:val="0044463C"/>
    <w:rsid w:val="00445D3F"/>
    <w:rsid w:val="0045767E"/>
    <w:rsid w:val="00460AF0"/>
    <w:rsid w:val="00462E59"/>
    <w:rsid w:val="004736A4"/>
    <w:rsid w:val="00487EE5"/>
    <w:rsid w:val="00492EE3"/>
    <w:rsid w:val="00493380"/>
    <w:rsid w:val="00493C27"/>
    <w:rsid w:val="00496B15"/>
    <w:rsid w:val="004A1869"/>
    <w:rsid w:val="004A24B9"/>
    <w:rsid w:val="004A39C0"/>
    <w:rsid w:val="004A40A9"/>
    <w:rsid w:val="004A6234"/>
    <w:rsid w:val="004A6A25"/>
    <w:rsid w:val="004B172D"/>
    <w:rsid w:val="004B2AEE"/>
    <w:rsid w:val="004B2C3C"/>
    <w:rsid w:val="004B34FA"/>
    <w:rsid w:val="004B4658"/>
    <w:rsid w:val="004B4FD6"/>
    <w:rsid w:val="004B663F"/>
    <w:rsid w:val="004B7EB4"/>
    <w:rsid w:val="004C2320"/>
    <w:rsid w:val="004C2623"/>
    <w:rsid w:val="004C2AD1"/>
    <w:rsid w:val="004C5C21"/>
    <w:rsid w:val="004D3BA9"/>
    <w:rsid w:val="004D4F1C"/>
    <w:rsid w:val="004D6FAF"/>
    <w:rsid w:val="004D760A"/>
    <w:rsid w:val="004D7F10"/>
    <w:rsid w:val="004D7FE8"/>
    <w:rsid w:val="004E05B9"/>
    <w:rsid w:val="004E05ED"/>
    <w:rsid w:val="004E0D0F"/>
    <w:rsid w:val="004E13D6"/>
    <w:rsid w:val="004E20C5"/>
    <w:rsid w:val="004E287C"/>
    <w:rsid w:val="004E2EEE"/>
    <w:rsid w:val="004E3FBD"/>
    <w:rsid w:val="004E411C"/>
    <w:rsid w:val="004E41D3"/>
    <w:rsid w:val="004F426E"/>
    <w:rsid w:val="004F5968"/>
    <w:rsid w:val="004F7FC3"/>
    <w:rsid w:val="005045E8"/>
    <w:rsid w:val="00505898"/>
    <w:rsid w:val="0051281D"/>
    <w:rsid w:val="00513700"/>
    <w:rsid w:val="00515796"/>
    <w:rsid w:val="00521AFF"/>
    <w:rsid w:val="005220E1"/>
    <w:rsid w:val="00522471"/>
    <w:rsid w:val="0052541E"/>
    <w:rsid w:val="00526604"/>
    <w:rsid w:val="00526C61"/>
    <w:rsid w:val="005317CA"/>
    <w:rsid w:val="00537C2C"/>
    <w:rsid w:val="005447C3"/>
    <w:rsid w:val="00545E05"/>
    <w:rsid w:val="005468F3"/>
    <w:rsid w:val="00557CB7"/>
    <w:rsid w:val="0056184D"/>
    <w:rsid w:val="005668F3"/>
    <w:rsid w:val="005678B2"/>
    <w:rsid w:val="00570971"/>
    <w:rsid w:val="00577167"/>
    <w:rsid w:val="00581481"/>
    <w:rsid w:val="00581F79"/>
    <w:rsid w:val="00584534"/>
    <w:rsid w:val="005846EB"/>
    <w:rsid w:val="00586799"/>
    <w:rsid w:val="00586F87"/>
    <w:rsid w:val="005915F1"/>
    <w:rsid w:val="00595395"/>
    <w:rsid w:val="005968E2"/>
    <w:rsid w:val="00596D9E"/>
    <w:rsid w:val="005A06FA"/>
    <w:rsid w:val="005A3627"/>
    <w:rsid w:val="005A3F31"/>
    <w:rsid w:val="005A5034"/>
    <w:rsid w:val="005A62D5"/>
    <w:rsid w:val="005A699D"/>
    <w:rsid w:val="005A768F"/>
    <w:rsid w:val="005B304C"/>
    <w:rsid w:val="005B31E6"/>
    <w:rsid w:val="005B4E58"/>
    <w:rsid w:val="005B568A"/>
    <w:rsid w:val="005B572B"/>
    <w:rsid w:val="005C0D22"/>
    <w:rsid w:val="005C449A"/>
    <w:rsid w:val="005C45A6"/>
    <w:rsid w:val="005C5DA4"/>
    <w:rsid w:val="005C5EB9"/>
    <w:rsid w:val="005C6344"/>
    <w:rsid w:val="005D08C2"/>
    <w:rsid w:val="005D4962"/>
    <w:rsid w:val="005D4976"/>
    <w:rsid w:val="005D5226"/>
    <w:rsid w:val="005E05BA"/>
    <w:rsid w:val="005E0605"/>
    <w:rsid w:val="005E5031"/>
    <w:rsid w:val="005E641D"/>
    <w:rsid w:val="005E7804"/>
    <w:rsid w:val="005F3F2C"/>
    <w:rsid w:val="0060346C"/>
    <w:rsid w:val="006042B8"/>
    <w:rsid w:val="00605AF0"/>
    <w:rsid w:val="006107E3"/>
    <w:rsid w:val="00620395"/>
    <w:rsid w:val="006222B1"/>
    <w:rsid w:val="0062440E"/>
    <w:rsid w:val="00625364"/>
    <w:rsid w:val="006255F9"/>
    <w:rsid w:val="00630730"/>
    <w:rsid w:val="006346F2"/>
    <w:rsid w:val="006350FE"/>
    <w:rsid w:val="006367AE"/>
    <w:rsid w:val="00637A62"/>
    <w:rsid w:val="00652F1D"/>
    <w:rsid w:val="00655224"/>
    <w:rsid w:val="006625B4"/>
    <w:rsid w:val="00665BF3"/>
    <w:rsid w:val="00671028"/>
    <w:rsid w:val="00676F08"/>
    <w:rsid w:val="00680290"/>
    <w:rsid w:val="0068193C"/>
    <w:rsid w:val="0068387A"/>
    <w:rsid w:val="0068469E"/>
    <w:rsid w:val="00696DB2"/>
    <w:rsid w:val="006971CE"/>
    <w:rsid w:val="006A6952"/>
    <w:rsid w:val="006B1763"/>
    <w:rsid w:val="006B2971"/>
    <w:rsid w:val="006B7D8D"/>
    <w:rsid w:val="006B7DE0"/>
    <w:rsid w:val="006C3078"/>
    <w:rsid w:val="006C672E"/>
    <w:rsid w:val="006C7BA1"/>
    <w:rsid w:val="006D5BEB"/>
    <w:rsid w:val="006D6812"/>
    <w:rsid w:val="006E2B36"/>
    <w:rsid w:val="006E52B1"/>
    <w:rsid w:val="006F20AF"/>
    <w:rsid w:val="006F4816"/>
    <w:rsid w:val="00700C25"/>
    <w:rsid w:val="007062DC"/>
    <w:rsid w:val="0070640A"/>
    <w:rsid w:val="00706A14"/>
    <w:rsid w:val="00706F56"/>
    <w:rsid w:val="0071328E"/>
    <w:rsid w:val="00725DD2"/>
    <w:rsid w:val="0072688B"/>
    <w:rsid w:val="00731FEC"/>
    <w:rsid w:val="00736AF1"/>
    <w:rsid w:val="0073794C"/>
    <w:rsid w:val="0074235D"/>
    <w:rsid w:val="0074749D"/>
    <w:rsid w:val="00750B64"/>
    <w:rsid w:val="00754C5C"/>
    <w:rsid w:val="007563D1"/>
    <w:rsid w:val="00756DDA"/>
    <w:rsid w:val="00760CF4"/>
    <w:rsid w:val="007643CD"/>
    <w:rsid w:val="007666ED"/>
    <w:rsid w:val="00767736"/>
    <w:rsid w:val="00771A85"/>
    <w:rsid w:val="007733B6"/>
    <w:rsid w:val="0077604D"/>
    <w:rsid w:val="00777BC4"/>
    <w:rsid w:val="00780BCC"/>
    <w:rsid w:val="007814C7"/>
    <w:rsid w:val="00781CDE"/>
    <w:rsid w:val="007825AF"/>
    <w:rsid w:val="00782C35"/>
    <w:rsid w:val="00783CCF"/>
    <w:rsid w:val="007907A9"/>
    <w:rsid w:val="0079298A"/>
    <w:rsid w:val="00793168"/>
    <w:rsid w:val="00796FAA"/>
    <w:rsid w:val="007A003B"/>
    <w:rsid w:val="007A21E4"/>
    <w:rsid w:val="007A56B9"/>
    <w:rsid w:val="007A7D1C"/>
    <w:rsid w:val="007B7467"/>
    <w:rsid w:val="007B7614"/>
    <w:rsid w:val="007C00BD"/>
    <w:rsid w:val="007C1F0A"/>
    <w:rsid w:val="007C42E9"/>
    <w:rsid w:val="007C4B62"/>
    <w:rsid w:val="007C601D"/>
    <w:rsid w:val="007C615F"/>
    <w:rsid w:val="007C6F42"/>
    <w:rsid w:val="007D2C42"/>
    <w:rsid w:val="007D4319"/>
    <w:rsid w:val="007D4740"/>
    <w:rsid w:val="007D498F"/>
    <w:rsid w:val="007D7F53"/>
    <w:rsid w:val="007E1BFA"/>
    <w:rsid w:val="007E6536"/>
    <w:rsid w:val="007F108F"/>
    <w:rsid w:val="007F1571"/>
    <w:rsid w:val="007F1ABE"/>
    <w:rsid w:val="007F1DBA"/>
    <w:rsid w:val="007F5E32"/>
    <w:rsid w:val="007F6E34"/>
    <w:rsid w:val="0080133A"/>
    <w:rsid w:val="0080190E"/>
    <w:rsid w:val="0081148E"/>
    <w:rsid w:val="0081200B"/>
    <w:rsid w:val="008131BA"/>
    <w:rsid w:val="00813367"/>
    <w:rsid w:val="00813561"/>
    <w:rsid w:val="00816F04"/>
    <w:rsid w:val="008232DA"/>
    <w:rsid w:val="00826666"/>
    <w:rsid w:val="00826AAA"/>
    <w:rsid w:val="008318D8"/>
    <w:rsid w:val="00835ED1"/>
    <w:rsid w:val="008370E6"/>
    <w:rsid w:val="00843F24"/>
    <w:rsid w:val="00844603"/>
    <w:rsid w:val="00846A99"/>
    <w:rsid w:val="008523D3"/>
    <w:rsid w:val="0085367E"/>
    <w:rsid w:val="00855EE0"/>
    <w:rsid w:val="008606B8"/>
    <w:rsid w:val="008662C7"/>
    <w:rsid w:val="00867990"/>
    <w:rsid w:val="008700CC"/>
    <w:rsid w:val="008732EC"/>
    <w:rsid w:val="008736B0"/>
    <w:rsid w:val="0087614F"/>
    <w:rsid w:val="008762F0"/>
    <w:rsid w:val="008771EB"/>
    <w:rsid w:val="0088149A"/>
    <w:rsid w:val="00882779"/>
    <w:rsid w:val="00882BC6"/>
    <w:rsid w:val="00886CB1"/>
    <w:rsid w:val="008945D5"/>
    <w:rsid w:val="008A04A3"/>
    <w:rsid w:val="008A58CD"/>
    <w:rsid w:val="008A69DC"/>
    <w:rsid w:val="008B1343"/>
    <w:rsid w:val="008B545F"/>
    <w:rsid w:val="008C3F57"/>
    <w:rsid w:val="008C6575"/>
    <w:rsid w:val="008C7D8A"/>
    <w:rsid w:val="008D1E36"/>
    <w:rsid w:val="008D27B8"/>
    <w:rsid w:val="008D27EA"/>
    <w:rsid w:val="008D550E"/>
    <w:rsid w:val="008E2E01"/>
    <w:rsid w:val="008F012C"/>
    <w:rsid w:val="008F1272"/>
    <w:rsid w:val="008F3662"/>
    <w:rsid w:val="008F79AA"/>
    <w:rsid w:val="008F7D0E"/>
    <w:rsid w:val="008F7F9C"/>
    <w:rsid w:val="008F7FE7"/>
    <w:rsid w:val="009026EF"/>
    <w:rsid w:val="00903328"/>
    <w:rsid w:val="00904381"/>
    <w:rsid w:val="009066AC"/>
    <w:rsid w:val="00914050"/>
    <w:rsid w:val="00915285"/>
    <w:rsid w:val="00920337"/>
    <w:rsid w:val="00922933"/>
    <w:rsid w:val="00922F42"/>
    <w:rsid w:val="00923E52"/>
    <w:rsid w:val="00931146"/>
    <w:rsid w:val="00931EA5"/>
    <w:rsid w:val="009333C7"/>
    <w:rsid w:val="009337F9"/>
    <w:rsid w:val="009338F1"/>
    <w:rsid w:val="0094600D"/>
    <w:rsid w:val="00951449"/>
    <w:rsid w:val="00960E24"/>
    <w:rsid w:val="009619E8"/>
    <w:rsid w:val="009647C4"/>
    <w:rsid w:val="00964EB2"/>
    <w:rsid w:val="00966997"/>
    <w:rsid w:val="00972FC5"/>
    <w:rsid w:val="009732F1"/>
    <w:rsid w:val="009762E4"/>
    <w:rsid w:val="00977408"/>
    <w:rsid w:val="00977858"/>
    <w:rsid w:val="009828D9"/>
    <w:rsid w:val="00995DDB"/>
    <w:rsid w:val="009B04C8"/>
    <w:rsid w:val="009B1B45"/>
    <w:rsid w:val="009B555B"/>
    <w:rsid w:val="009C032B"/>
    <w:rsid w:val="009C4299"/>
    <w:rsid w:val="009C5122"/>
    <w:rsid w:val="009C520A"/>
    <w:rsid w:val="009C5349"/>
    <w:rsid w:val="009C660B"/>
    <w:rsid w:val="009C7B00"/>
    <w:rsid w:val="009D0C2F"/>
    <w:rsid w:val="009D6E89"/>
    <w:rsid w:val="009D7353"/>
    <w:rsid w:val="009D7E8F"/>
    <w:rsid w:val="009E04C2"/>
    <w:rsid w:val="009E0F5F"/>
    <w:rsid w:val="009E1234"/>
    <w:rsid w:val="009E2E67"/>
    <w:rsid w:val="009E3D4D"/>
    <w:rsid w:val="009F08E6"/>
    <w:rsid w:val="009F1F67"/>
    <w:rsid w:val="009F2277"/>
    <w:rsid w:val="009F673B"/>
    <w:rsid w:val="009F6B9C"/>
    <w:rsid w:val="00A01436"/>
    <w:rsid w:val="00A0185B"/>
    <w:rsid w:val="00A0331D"/>
    <w:rsid w:val="00A11744"/>
    <w:rsid w:val="00A1376F"/>
    <w:rsid w:val="00A15BD9"/>
    <w:rsid w:val="00A21500"/>
    <w:rsid w:val="00A25EB8"/>
    <w:rsid w:val="00A262E1"/>
    <w:rsid w:val="00A2770D"/>
    <w:rsid w:val="00A309A4"/>
    <w:rsid w:val="00A31307"/>
    <w:rsid w:val="00A477DE"/>
    <w:rsid w:val="00A50600"/>
    <w:rsid w:val="00A5279D"/>
    <w:rsid w:val="00A52A18"/>
    <w:rsid w:val="00A531BA"/>
    <w:rsid w:val="00A54688"/>
    <w:rsid w:val="00A54AD3"/>
    <w:rsid w:val="00A5606D"/>
    <w:rsid w:val="00A579BA"/>
    <w:rsid w:val="00A57C87"/>
    <w:rsid w:val="00A63A14"/>
    <w:rsid w:val="00A66606"/>
    <w:rsid w:val="00A675CB"/>
    <w:rsid w:val="00A73D84"/>
    <w:rsid w:val="00A76582"/>
    <w:rsid w:val="00A7787D"/>
    <w:rsid w:val="00A8369D"/>
    <w:rsid w:val="00A85F46"/>
    <w:rsid w:val="00A86AB5"/>
    <w:rsid w:val="00A86B55"/>
    <w:rsid w:val="00A86C22"/>
    <w:rsid w:val="00A8792C"/>
    <w:rsid w:val="00A907AF"/>
    <w:rsid w:val="00A93C9D"/>
    <w:rsid w:val="00A9503D"/>
    <w:rsid w:val="00A95C21"/>
    <w:rsid w:val="00A97F2C"/>
    <w:rsid w:val="00AA0F8D"/>
    <w:rsid w:val="00AA10F1"/>
    <w:rsid w:val="00AA12B6"/>
    <w:rsid w:val="00AA4336"/>
    <w:rsid w:val="00AA711C"/>
    <w:rsid w:val="00AB73E0"/>
    <w:rsid w:val="00AC056C"/>
    <w:rsid w:val="00AC4046"/>
    <w:rsid w:val="00AD3912"/>
    <w:rsid w:val="00AD4C31"/>
    <w:rsid w:val="00AD75BB"/>
    <w:rsid w:val="00AE15C1"/>
    <w:rsid w:val="00AE1FF3"/>
    <w:rsid w:val="00AE207B"/>
    <w:rsid w:val="00AE24E9"/>
    <w:rsid w:val="00AF0283"/>
    <w:rsid w:val="00AF18C2"/>
    <w:rsid w:val="00AF1D65"/>
    <w:rsid w:val="00AF1D81"/>
    <w:rsid w:val="00AF2128"/>
    <w:rsid w:val="00AF774C"/>
    <w:rsid w:val="00B005C4"/>
    <w:rsid w:val="00B0491F"/>
    <w:rsid w:val="00B071A2"/>
    <w:rsid w:val="00B12051"/>
    <w:rsid w:val="00B130D0"/>
    <w:rsid w:val="00B13FC7"/>
    <w:rsid w:val="00B1487E"/>
    <w:rsid w:val="00B14D74"/>
    <w:rsid w:val="00B17508"/>
    <w:rsid w:val="00B17D2D"/>
    <w:rsid w:val="00B17DAB"/>
    <w:rsid w:val="00B2025D"/>
    <w:rsid w:val="00B213A8"/>
    <w:rsid w:val="00B2211E"/>
    <w:rsid w:val="00B22D49"/>
    <w:rsid w:val="00B22F73"/>
    <w:rsid w:val="00B32A61"/>
    <w:rsid w:val="00B32B2E"/>
    <w:rsid w:val="00B33E2C"/>
    <w:rsid w:val="00B35754"/>
    <w:rsid w:val="00B37BBA"/>
    <w:rsid w:val="00B4149D"/>
    <w:rsid w:val="00B44ACC"/>
    <w:rsid w:val="00B45818"/>
    <w:rsid w:val="00B465B3"/>
    <w:rsid w:val="00B5066C"/>
    <w:rsid w:val="00B57399"/>
    <w:rsid w:val="00B602B2"/>
    <w:rsid w:val="00B61F72"/>
    <w:rsid w:val="00B62878"/>
    <w:rsid w:val="00B62DFD"/>
    <w:rsid w:val="00B630B6"/>
    <w:rsid w:val="00B63E38"/>
    <w:rsid w:val="00B63FD4"/>
    <w:rsid w:val="00B66786"/>
    <w:rsid w:val="00B66839"/>
    <w:rsid w:val="00B67B95"/>
    <w:rsid w:val="00B71CB9"/>
    <w:rsid w:val="00B81F8E"/>
    <w:rsid w:val="00B82535"/>
    <w:rsid w:val="00B836C6"/>
    <w:rsid w:val="00B838C6"/>
    <w:rsid w:val="00B8558B"/>
    <w:rsid w:val="00B861D0"/>
    <w:rsid w:val="00B9069A"/>
    <w:rsid w:val="00B92C42"/>
    <w:rsid w:val="00B93E56"/>
    <w:rsid w:val="00B9440C"/>
    <w:rsid w:val="00B97CF5"/>
    <w:rsid w:val="00BA3140"/>
    <w:rsid w:val="00BA31D9"/>
    <w:rsid w:val="00BB36CC"/>
    <w:rsid w:val="00BB49C5"/>
    <w:rsid w:val="00BB53C4"/>
    <w:rsid w:val="00BC0663"/>
    <w:rsid w:val="00BC1951"/>
    <w:rsid w:val="00BC315B"/>
    <w:rsid w:val="00BC4E74"/>
    <w:rsid w:val="00BD2277"/>
    <w:rsid w:val="00BD4846"/>
    <w:rsid w:val="00BD6BA1"/>
    <w:rsid w:val="00BD7049"/>
    <w:rsid w:val="00BE2336"/>
    <w:rsid w:val="00BE47DB"/>
    <w:rsid w:val="00BE576F"/>
    <w:rsid w:val="00BF39E8"/>
    <w:rsid w:val="00BF7D02"/>
    <w:rsid w:val="00C0169B"/>
    <w:rsid w:val="00C06C8B"/>
    <w:rsid w:val="00C07C47"/>
    <w:rsid w:val="00C16304"/>
    <w:rsid w:val="00C1668A"/>
    <w:rsid w:val="00C26029"/>
    <w:rsid w:val="00C26F7D"/>
    <w:rsid w:val="00C31D48"/>
    <w:rsid w:val="00C32C93"/>
    <w:rsid w:val="00C349C7"/>
    <w:rsid w:val="00C435D4"/>
    <w:rsid w:val="00C441A8"/>
    <w:rsid w:val="00C45D38"/>
    <w:rsid w:val="00C46283"/>
    <w:rsid w:val="00C512BD"/>
    <w:rsid w:val="00C526FE"/>
    <w:rsid w:val="00C5348A"/>
    <w:rsid w:val="00C53F0F"/>
    <w:rsid w:val="00C60918"/>
    <w:rsid w:val="00C60F44"/>
    <w:rsid w:val="00C739E3"/>
    <w:rsid w:val="00C746A2"/>
    <w:rsid w:val="00C769C0"/>
    <w:rsid w:val="00C80D67"/>
    <w:rsid w:val="00C821A2"/>
    <w:rsid w:val="00C828A9"/>
    <w:rsid w:val="00C83644"/>
    <w:rsid w:val="00C84999"/>
    <w:rsid w:val="00C87402"/>
    <w:rsid w:val="00C87D69"/>
    <w:rsid w:val="00C87DD6"/>
    <w:rsid w:val="00C91EAB"/>
    <w:rsid w:val="00C94E65"/>
    <w:rsid w:val="00CA57ED"/>
    <w:rsid w:val="00CA6D8D"/>
    <w:rsid w:val="00CA794B"/>
    <w:rsid w:val="00CB0E0B"/>
    <w:rsid w:val="00CB4020"/>
    <w:rsid w:val="00CB48E0"/>
    <w:rsid w:val="00CC279E"/>
    <w:rsid w:val="00CC5434"/>
    <w:rsid w:val="00CC6278"/>
    <w:rsid w:val="00CC713F"/>
    <w:rsid w:val="00CC7828"/>
    <w:rsid w:val="00CE0936"/>
    <w:rsid w:val="00CE0CFB"/>
    <w:rsid w:val="00CF30B4"/>
    <w:rsid w:val="00CF37E2"/>
    <w:rsid w:val="00CF4E90"/>
    <w:rsid w:val="00CF521D"/>
    <w:rsid w:val="00CF5F5D"/>
    <w:rsid w:val="00D01240"/>
    <w:rsid w:val="00D0376C"/>
    <w:rsid w:val="00D04C6D"/>
    <w:rsid w:val="00D04D7D"/>
    <w:rsid w:val="00D04D8D"/>
    <w:rsid w:val="00D11372"/>
    <w:rsid w:val="00D11D44"/>
    <w:rsid w:val="00D13AD9"/>
    <w:rsid w:val="00D2273D"/>
    <w:rsid w:val="00D2279F"/>
    <w:rsid w:val="00D23C67"/>
    <w:rsid w:val="00D27527"/>
    <w:rsid w:val="00D30D7A"/>
    <w:rsid w:val="00D33ACC"/>
    <w:rsid w:val="00D353BF"/>
    <w:rsid w:val="00D35862"/>
    <w:rsid w:val="00D36309"/>
    <w:rsid w:val="00D416CA"/>
    <w:rsid w:val="00D422CC"/>
    <w:rsid w:val="00D42D0A"/>
    <w:rsid w:val="00D44C01"/>
    <w:rsid w:val="00D44EB7"/>
    <w:rsid w:val="00D4554E"/>
    <w:rsid w:val="00D47368"/>
    <w:rsid w:val="00D525EC"/>
    <w:rsid w:val="00D528AD"/>
    <w:rsid w:val="00D53F1D"/>
    <w:rsid w:val="00D615D8"/>
    <w:rsid w:val="00D6162B"/>
    <w:rsid w:val="00D61981"/>
    <w:rsid w:val="00D61B67"/>
    <w:rsid w:val="00D645A4"/>
    <w:rsid w:val="00D71F11"/>
    <w:rsid w:val="00D72275"/>
    <w:rsid w:val="00D73C35"/>
    <w:rsid w:val="00D74336"/>
    <w:rsid w:val="00D744D8"/>
    <w:rsid w:val="00D76AF4"/>
    <w:rsid w:val="00D80A50"/>
    <w:rsid w:val="00D8229D"/>
    <w:rsid w:val="00D8461A"/>
    <w:rsid w:val="00D864F8"/>
    <w:rsid w:val="00D90F27"/>
    <w:rsid w:val="00D9169E"/>
    <w:rsid w:val="00D92C9E"/>
    <w:rsid w:val="00D94AC6"/>
    <w:rsid w:val="00D94FA7"/>
    <w:rsid w:val="00D954A1"/>
    <w:rsid w:val="00D97FDE"/>
    <w:rsid w:val="00DA0AE3"/>
    <w:rsid w:val="00DA136A"/>
    <w:rsid w:val="00DA1B68"/>
    <w:rsid w:val="00DA4BFD"/>
    <w:rsid w:val="00DA7C4F"/>
    <w:rsid w:val="00DB452E"/>
    <w:rsid w:val="00DB4BFD"/>
    <w:rsid w:val="00DC11E9"/>
    <w:rsid w:val="00DD0DF4"/>
    <w:rsid w:val="00DD5DCB"/>
    <w:rsid w:val="00DD74CC"/>
    <w:rsid w:val="00DD7D22"/>
    <w:rsid w:val="00DE30E5"/>
    <w:rsid w:val="00DE4F05"/>
    <w:rsid w:val="00DE5B8D"/>
    <w:rsid w:val="00DE661F"/>
    <w:rsid w:val="00DE7B06"/>
    <w:rsid w:val="00DF5F5D"/>
    <w:rsid w:val="00DF7731"/>
    <w:rsid w:val="00DF77B8"/>
    <w:rsid w:val="00E02992"/>
    <w:rsid w:val="00E046A0"/>
    <w:rsid w:val="00E049C2"/>
    <w:rsid w:val="00E053D0"/>
    <w:rsid w:val="00E0556E"/>
    <w:rsid w:val="00E05824"/>
    <w:rsid w:val="00E063C9"/>
    <w:rsid w:val="00E076DE"/>
    <w:rsid w:val="00E07AE5"/>
    <w:rsid w:val="00E141A7"/>
    <w:rsid w:val="00E2693B"/>
    <w:rsid w:val="00E2739F"/>
    <w:rsid w:val="00E30A3D"/>
    <w:rsid w:val="00E3778F"/>
    <w:rsid w:val="00E42888"/>
    <w:rsid w:val="00E42FF3"/>
    <w:rsid w:val="00E4317D"/>
    <w:rsid w:val="00E44068"/>
    <w:rsid w:val="00E46181"/>
    <w:rsid w:val="00E5001D"/>
    <w:rsid w:val="00E603CA"/>
    <w:rsid w:val="00E6157B"/>
    <w:rsid w:val="00E61A9F"/>
    <w:rsid w:val="00E64FEE"/>
    <w:rsid w:val="00E6759E"/>
    <w:rsid w:val="00E679D1"/>
    <w:rsid w:val="00E704AB"/>
    <w:rsid w:val="00E76199"/>
    <w:rsid w:val="00E810DD"/>
    <w:rsid w:val="00E84EAC"/>
    <w:rsid w:val="00E85475"/>
    <w:rsid w:val="00E8717B"/>
    <w:rsid w:val="00E87CD4"/>
    <w:rsid w:val="00E90ECA"/>
    <w:rsid w:val="00EA349E"/>
    <w:rsid w:val="00EA3EE7"/>
    <w:rsid w:val="00EA4EF2"/>
    <w:rsid w:val="00EA75F5"/>
    <w:rsid w:val="00EB0932"/>
    <w:rsid w:val="00EB378D"/>
    <w:rsid w:val="00EB383B"/>
    <w:rsid w:val="00EB4B23"/>
    <w:rsid w:val="00EB55F8"/>
    <w:rsid w:val="00EC3839"/>
    <w:rsid w:val="00EC545C"/>
    <w:rsid w:val="00ED077F"/>
    <w:rsid w:val="00ED07AE"/>
    <w:rsid w:val="00ED204F"/>
    <w:rsid w:val="00ED2359"/>
    <w:rsid w:val="00ED5902"/>
    <w:rsid w:val="00ED5F36"/>
    <w:rsid w:val="00ED64D3"/>
    <w:rsid w:val="00ED7A82"/>
    <w:rsid w:val="00EE396E"/>
    <w:rsid w:val="00EE4332"/>
    <w:rsid w:val="00EE47EE"/>
    <w:rsid w:val="00EE4B42"/>
    <w:rsid w:val="00EE567F"/>
    <w:rsid w:val="00EE58A1"/>
    <w:rsid w:val="00EE65C9"/>
    <w:rsid w:val="00EE6F1F"/>
    <w:rsid w:val="00EF0669"/>
    <w:rsid w:val="00EF2069"/>
    <w:rsid w:val="00EF43F9"/>
    <w:rsid w:val="00EF566F"/>
    <w:rsid w:val="00EF7BD6"/>
    <w:rsid w:val="00F00B4A"/>
    <w:rsid w:val="00F04392"/>
    <w:rsid w:val="00F0629F"/>
    <w:rsid w:val="00F1265F"/>
    <w:rsid w:val="00F13D30"/>
    <w:rsid w:val="00F156CE"/>
    <w:rsid w:val="00F20320"/>
    <w:rsid w:val="00F24919"/>
    <w:rsid w:val="00F25810"/>
    <w:rsid w:val="00F26153"/>
    <w:rsid w:val="00F2647A"/>
    <w:rsid w:val="00F2695C"/>
    <w:rsid w:val="00F3012E"/>
    <w:rsid w:val="00F33587"/>
    <w:rsid w:val="00F34973"/>
    <w:rsid w:val="00F43DC1"/>
    <w:rsid w:val="00F50CC7"/>
    <w:rsid w:val="00F5179C"/>
    <w:rsid w:val="00F557F3"/>
    <w:rsid w:val="00F5627B"/>
    <w:rsid w:val="00F614BB"/>
    <w:rsid w:val="00F65BD8"/>
    <w:rsid w:val="00F65E12"/>
    <w:rsid w:val="00F66802"/>
    <w:rsid w:val="00F668CF"/>
    <w:rsid w:val="00F66E06"/>
    <w:rsid w:val="00F679A6"/>
    <w:rsid w:val="00F70664"/>
    <w:rsid w:val="00F70A10"/>
    <w:rsid w:val="00F70C41"/>
    <w:rsid w:val="00F73A0E"/>
    <w:rsid w:val="00F75447"/>
    <w:rsid w:val="00F7747B"/>
    <w:rsid w:val="00F8366E"/>
    <w:rsid w:val="00F83BD5"/>
    <w:rsid w:val="00F848FE"/>
    <w:rsid w:val="00F91A8C"/>
    <w:rsid w:val="00F94462"/>
    <w:rsid w:val="00F97BE1"/>
    <w:rsid w:val="00FA08A0"/>
    <w:rsid w:val="00FA130A"/>
    <w:rsid w:val="00FA4006"/>
    <w:rsid w:val="00FA4210"/>
    <w:rsid w:val="00FA7D5A"/>
    <w:rsid w:val="00FB0F90"/>
    <w:rsid w:val="00FB523E"/>
    <w:rsid w:val="00FC130B"/>
    <w:rsid w:val="00FC1EB8"/>
    <w:rsid w:val="00FC3327"/>
    <w:rsid w:val="00FC38C6"/>
    <w:rsid w:val="00FC58CE"/>
    <w:rsid w:val="00FC5A69"/>
    <w:rsid w:val="00FC5C91"/>
    <w:rsid w:val="00FC69E4"/>
    <w:rsid w:val="00FC76C3"/>
    <w:rsid w:val="00FD0FFD"/>
    <w:rsid w:val="00FD158A"/>
    <w:rsid w:val="00FD1DD3"/>
    <w:rsid w:val="00FD2843"/>
    <w:rsid w:val="00FD3D0B"/>
    <w:rsid w:val="00FD7DF5"/>
    <w:rsid w:val="00FF4939"/>
    <w:rsid w:val="00FF576A"/>
    <w:rsid w:val="00FF5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DA7E5"/>
  <w15:docId w15:val="{D332C1E5-62F8-409E-A1E2-A8135631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1A030F"/>
    <w:rPr>
      <w:sz w:val="22"/>
      <w:szCs w:val="24"/>
      <w:lang w:val="sv-SE" w:eastAsia="en-US"/>
    </w:rPr>
  </w:style>
  <w:style w:type="paragraph" w:styleId="Heading1">
    <w:name w:val="heading 1"/>
    <w:aliases w:val="Heading 1 Alt+1,rubrik - Alt+1"/>
    <w:basedOn w:val="Normal"/>
    <w:next w:val="BodyText"/>
    <w:link w:val="Heading1Char"/>
    <w:qFormat/>
    <w:rsid w:val="00746D76"/>
    <w:pPr>
      <w:keepNext/>
      <w:numPr>
        <w:numId w:val="3"/>
      </w:numPr>
      <w:spacing w:after="180" w:line="260" w:lineRule="atLeast"/>
      <w:outlineLvl w:val="0"/>
    </w:pPr>
    <w:rPr>
      <w:rFonts w:ascii="Arial" w:hAnsi="Arial"/>
      <w:b/>
      <w:szCs w:val="20"/>
      <w:lang w:val="en-GB"/>
    </w:rPr>
  </w:style>
  <w:style w:type="paragraph" w:styleId="Heading2">
    <w:name w:val="heading 2"/>
    <w:aliases w:val="Heading 2 Alt+2,stycke - Alt+2"/>
    <w:basedOn w:val="Normal"/>
    <w:next w:val="BodyText"/>
    <w:link w:val="Heading2Char"/>
    <w:qFormat/>
    <w:rsid w:val="00746D76"/>
    <w:pPr>
      <w:keepNext/>
      <w:numPr>
        <w:ilvl w:val="1"/>
        <w:numId w:val="3"/>
      </w:numPr>
      <w:spacing w:after="180" w:line="260" w:lineRule="atLeast"/>
      <w:outlineLvl w:val="1"/>
    </w:pPr>
    <w:rPr>
      <w:rFonts w:ascii="Arial" w:hAnsi="Arial"/>
      <w:b/>
      <w:szCs w:val="20"/>
      <w:lang w:val="en-GB"/>
    </w:rPr>
  </w:style>
  <w:style w:type="paragraph" w:styleId="Heading3">
    <w:name w:val="heading 3"/>
    <w:aliases w:val="Heading 3 Alt+3,stycke - Alt+3"/>
    <w:basedOn w:val="Normal"/>
    <w:link w:val="Heading3Char"/>
    <w:qFormat/>
    <w:rsid w:val="00746D76"/>
    <w:pPr>
      <w:numPr>
        <w:ilvl w:val="2"/>
        <w:numId w:val="3"/>
      </w:numPr>
      <w:spacing w:after="180" w:line="260" w:lineRule="atLeast"/>
      <w:outlineLvl w:val="2"/>
    </w:pPr>
    <w:rPr>
      <w:szCs w:val="20"/>
      <w:lang w:val="en-GB"/>
    </w:rPr>
  </w:style>
  <w:style w:type="paragraph" w:styleId="Heading4">
    <w:name w:val="heading 4"/>
    <w:aliases w:val="Heading 4 Alt+4"/>
    <w:basedOn w:val="Normal"/>
    <w:link w:val="Heading4Char"/>
    <w:qFormat/>
    <w:rsid w:val="00746D76"/>
    <w:pPr>
      <w:numPr>
        <w:ilvl w:val="3"/>
        <w:numId w:val="3"/>
      </w:numPr>
      <w:spacing w:after="180" w:line="260" w:lineRule="atLeast"/>
      <w:outlineLvl w:val="3"/>
    </w:pPr>
    <w:rPr>
      <w:szCs w:val="20"/>
      <w:lang w:val="en-GB"/>
    </w:rPr>
  </w:style>
  <w:style w:type="paragraph" w:styleId="Heading5">
    <w:name w:val="heading 5"/>
    <w:basedOn w:val="Normal"/>
    <w:link w:val="Heading5Char"/>
    <w:qFormat/>
    <w:rsid w:val="00746D76"/>
    <w:pPr>
      <w:numPr>
        <w:ilvl w:val="4"/>
        <w:numId w:val="3"/>
      </w:numPr>
      <w:spacing w:after="180" w:line="260" w:lineRule="atLeast"/>
      <w:outlineLvl w:val="4"/>
    </w:pPr>
    <w:rPr>
      <w:szCs w:val="20"/>
      <w:lang w:val="en-GB"/>
    </w:rPr>
  </w:style>
  <w:style w:type="paragraph" w:styleId="Heading6">
    <w:name w:val="heading 6"/>
    <w:basedOn w:val="Normal"/>
    <w:link w:val="Heading6Char"/>
    <w:qFormat/>
    <w:rsid w:val="00746D76"/>
    <w:pPr>
      <w:numPr>
        <w:ilvl w:val="5"/>
        <w:numId w:val="3"/>
      </w:numPr>
      <w:spacing w:after="180" w:line="260" w:lineRule="atLeast"/>
      <w:outlineLvl w:val="5"/>
    </w:pPr>
    <w:rPr>
      <w:szCs w:val="20"/>
      <w:lang w:val="en-GB"/>
    </w:rPr>
  </w:style>
  <w:style w:type="paragraph" w:styleId="Heading7">
    <w:name w:val="heading 7"/>
    <w:basedOn w:val="Normal"/>
    <w:next w:val="Normal"/>
    <w:link w:val="Heading7Char"/>
    <w:qFormat/>
    <w:rsid w:val="000F5A53"/>
    <w:pPr>
      <w:keepNext/>
      <w:tabs>
        <w:tab w:val="left" w:pos="2835"/>
        <w:tab w:val="left" w:pos="4536"/>
        <w:tab w:val="left" w:pos="6379"/>
      </w:tabs>
      <w:outlineLvl w:val="6"/>
    </w:pPr>
    <w:rPr>
      <w:u w:val="single"/>
      <w:lang w:val="en-GB"/>
    </w:rPr>
  </w:style>
  <w:style w:type="paragraph" w:styleId="Heading8">
    <w:name w:val="heading 8"/>
    <w:basedOn w:val="Normal"/>
    <w:next w:val="Normal"/>
    <w:link w:val="Heading8Char"/>
    <w:uiPriority w:val="98"/>
    <w:qFormat/>
    <w:rsid w:val="000F5A53"/>
    <w:pPr>
      <w:spacing w:after="240"/>
      <w:outlineLvl w:val="7"/>
    </w:pPr>
    <w:rPr>
      <w:rFonts w:eastAsia="Times New Roman"/>
      <w:sz w:val="24"/>
      <w:lang w:val="en-GB"/>
    </w:rPr>
  </w:style>
  <w:style w:type="paragraph" w:styleId="Heading9">
    <w:name w:val="heading 9"/>
    <w:basedOn w:val="Normal"/>
    <w:next w:val="Normal"/>
    <w:link w:val="Heading9Char"/>
    <w:uiPriority w:val="98"/>
    <w:qFormat/>
    <w:rsid w:val="000F5A53"/>
    <w:pPr>
      <w:spacing w:after="240"/>
      <w:outlineLvl w:val="8"/>
    </w:pPr>
    <w:rPr>
      <w:rFonts w:eastAsia="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746D76"/>
    <w:pPr>
      <w:spacing w:after="200" w:line="200" w:lineRule="atLeast"/>
    </w:pPr>
    <w:rPr>
      <w:rFonts w:ascii="Arial" w:hAnsi="Arial"/>
      <w:noProof/>
      <w:sz w:val="16"/>
      <w:szCs w:val="24"/>
      <w:lang w:eastAsia="en-US"/>
    </w:rPr>
  </w:style>
  <w:style w:type="paragraph" w:customStyle="1" w:styleId="BMKCities">
    <w:name w:val="BMK Cities"/>
    <w:semiHidden/>
    <w:rsid w:val="00746D76"/>
    <w:pPr>
      <w:spacing w:before="30"/>
    </w:pPr>
    <w:rPr>
      <w:rFonts w:ascii="Arial" w:hAnsi="Arial"/>
      <w:noProof/>
      <w:spacing w:val="2"/>
      <w:sz w:val="11"/>
      <w:szCs w:val="11"/>
      <w:lang w:eastAsia="en-US"/>
    </w:rPr>
  </w:style>
  <w:style w:type="paragraph" w:customStyle="1" w:styleId="BMKDeliveryPhrase">
    <w:name w:val="BMK Delivery Phrase"/>
    <w:basedOn w:val="BMKAddressInfo"/>
    <w:semiHidden/>
    <w:rsid w:val="00746D76"/>
    <w:pPr>
      <w:framePr w:w="2943" w:h="1734" w:hRule="exact" w:wrap="around" w:vAnchor="text" w:hAnchor="page" w:x="8533" w:y="208"/>
      <w:ind w:left="57"/>
    </w:pPr>
    <w:rPr>
      <w:b/>
    </w:rPr>
  </w:style>
  <w:style w:type="paragraph" w:customStyle="1" w:styleId="BMKLegalNoticePhrase">
    <w:name w:val="BMK Legal Notice Phrase"/>
    <w:basedOn w:val="Normal"/>
    <w:semiHidden/>
    <w:rsid w:val="00746D76"/>
    <w:pPr>
      <w:spacing w:before="260" w:after="180" w:line="260" w:lineRule="atLeast"/>
    </w:pPr>
    <w:rPr>
      <w:rFonts w:ascii="Arial" w:hAnsi="Arial" w:cs="Arial"/>
      <w:b/>
      <w:caps/>
      <w:szCs w:val="22"/>
      <w:lang w:val="en-GB"/>
    </w:rPr>
  </w:style>
  <w:style w:type="paragraph" w:customStyle="1" w:styleId="BMKMemberFirmName">
    <w:name w:val="BMK Member Firm Name"/>
    <w:basedOn w:val="BMKAddressInfo"/>
    <w:next w:val="BMKAddressInfo"/>
    <w:link w:val="BMKMemberFirmNameChar"/>
    <w:semiHidden/>
    <w:rsid w:val="00746D76"/>
    <w:pPr>
      <w:spacing w:after="0"/>
    </w:pPr>
    <w:rPr>
      <w:b/>
    </w:rPr>
  </w:style>
  <w:style w:type="paragraph" w:customStyle="1" w:styleId="BMKRegions">
    <w:name w:val="BMK Regions"/>
    <w:basedOn w:val="BMKCities"/>
    <w:next w:val="BMKCities"/>
    <w:semiHidden/>
    <w:rsid w:val="00746D76"/>
    <w:pPr>
      <w:spacing w:before="0"/>
    </w:pPr>
    <w:rPr>
      <w:rFonts w:ascii="Arial Black" w:hAnsi="Arial Black"/>
      <w:szCs w:val="24"/>
    </w:rPr>
  </w:style>
  <w:style w:type="paragraph" w:customStyle="1" w:styleId="BMKMultiOffice">
    <w:name w:val="BMK Multi Office"/>
    <w:basedOn w:val="BMKRegions"/>
    <w:next w:val="Normal"/>
    <w:semiHidden/>
    <w:rsid w:val="00746D76"/>
  </w:style>
  <w:style w:type="paragraph" w:customStyle="1" w:styleId="BMKMultiOfficeAddress">
    <w:name w:val="BMK Multi Office Address"/>
    <w:basedOn w:val="BMKCities"/>
    <w:semiHidden/>
    <w:rsid w:val="00746D76"/>
  </w:style>
  <w:style w:type="paragraph" w:customStyle="1" w:styleId="BMKPartnerList">
    <w:name w:val="BMK Partner List"/>
    <w:basedOn w:val="BMKCities"/>
    <w:semiHidden/>
    <w:rsid w:val="00746D76"/>
    <w:pPr>
      <w:adjustRightInd w:val="0"/>
      <w:snapToGrid w:val="0"/>
      <w:spacing w:before="0" w:after="20"/>
    </w:pPr>
    <w:rPr>
      <w:rFonts w:cs="Arial"/>
      <w:caps/>
      <w:spacing w:val="0"/>
      <w:sz w:val="9"/>
      <w:szCs w:val="12"/>
    </w:rPr>
  </w:style>
  <w:style w:type="paragraph" w:customStyle="1" w:styleId="BMKQualifier">
    <w:name w:val="BMK Qualifier"/>
    <w:semiHidden/>
    <w:rsid w:val="00746D76"/>
    <w:pPr>
      <w:spacing w:line="170" w:lineRule="atLeast"/>
    </w:pPr>
    <w:rPr>
      <w:rFonts w:ascii="Arial" w:hAnsi="Arial"/>
      <w:caps/>
      <w:noProof/>
      <w:sz w:val="13"/>
      <w:szCs w:val="13"/>
      <w:lang w:eastAsia="en-US"/>
    </w:rPr>
  </w:style>
  <w:style w:type="paragraph" w:customStyle="1" w:styleId="BMKRefInfo">
    <w:name w:val="BMK Ref Info"/>
    <w:basedOn w:val="BMKAddressInfo"/>
    <w:semiHidden/>
    <w:rsid w:val="00746D76"/>
    <w:pPr>
      <w:framePr w:w="2943" w:h="1734" w:hRule="exact" w:wrap="around" w:vAnchor="text" w:hAnchor="page" w:x="8533" w:y="208"/>
      <w:ind w:left="57"/>
    </w:pPr>
  </w:style>
  <w:style w:type="paragraph" w:customStyle="1" w:styleId="BMKRecipient1">
    <w:name w:val="BMK Recipient1"/>
    <w:basedOn w:val="Normal"/>
    <w:semiHidden/>
    <w:rsid w:val="00746D76"/>
    <w:pPr>
      <w:spacing w:line="260" w:lineRule="atLeast"/>
    </w:pPr>
    <w:rPr>
      <w:lang w:val="en-GB"/>
    </w:rPr>
  </w:style>
  <w:style w:type="paragraph" w:styleId="Footer">
    <w:name w:val="footer"/>
    <w:aliases w:val="B&amp;B Footer"/>
    <w:basedOn w:val="Normal"/>
    <w:link w:val="FooterChar"/>
    <w:rsid w:val="00746D76"/>
    <w:pPr>
      <w:tabs>
        <w:tab w:val="right" w:pos="9350"/>
      </w:tabs>
      <w:spacing w:line="200" w:lineRule="atLeast"/>
    </w:pPr>
    <w:rPr>
      <w:rFonts w:ascii="Arial" w:hAnsi="Arial"/>
      <w:noProof/>
      <w:sz w:val="16"/>
      <w:lang w:val="en-GB"/>
    </w:rPr>
  </w:style>
  <w:style w:type="character" w:styleId="FootnoteReference">
    <w:name w:val="footnote reference"/>
    <w:uiPriority w:val="6"/>
    <w:rsid w:val="00746D76"/>
    <w:rPr>
      <w:vertAlign w:val="superscript"/>
    </w:rPr>
  </w:style>
  <w:style w:type="paragraph" w:styleId="Header">
    <w:name w:val="header"/>
    <w:aliases w:val="B&amp;B Header"/>
    <w:basedOn w:val="Normal"/>
    <w:link w:val="HeaderChar"/>
    <w:rsid w:val="00746D76"/>
    <w:rPr>
      <w:lang w:val="en-GB"/>
    </w:rPr>
  </w:style>
  <w:style w:type="paragraph" w:styleId="ListNumber">
    <w:name w:val="List Number"/>
    <w:basedOn w:val="Normal"/>
    <w:uiPriority w:val="7"/>
    <w:qFormat/>
    <w:rsid w:val="00746D76"/>
    <w:pPr>
      <w:numPr>
        <w:numId w:val="4"/>
      </w:numPr>
      <w:spacing w:after="180" w:line="260" w:lineRule="atLeast"/>
    </w:pPr>
    <w:rPr>
      <w:lang w:val="en-GB"/>
    </w:rPr>
  </w:style>
  <w:style w:type="paragraph" w:styleId="FootnoteText">
    <w:name w:val="footnote text"/>
    <w:basedOn w:val="Normal"/>
    <w:link w:val="FootnoteTextChar"/>
    <w:uiPriority w:val="6"/>
    <w:rsid w:val="00746D76"/>
    <w:rPr>
      <w:sz w:val="18"/>
      <w:szCs w:val="20"/>
      <w:lang w:val="en-GB"/>
    </w:rPr>
  </w:style>
  <w:style w:type="paragraph" w:customStyle="1" w:styleId="Bullet1">
    <w:name w:val="Bullet 1"/>
    <w:basedOn w:val="Normal"/>
    <w:uiPriority w:val="8"/>
    <w:qFormat/>
    <w:rsid w:val="00746D76"/>
    <w:pPr>
      <w:numPr>
        <w:numId w:val="1"/>
      </w:numPr>
      <w:spacing w:after="180" w:line="260" w:lineRule="atLeast"/>
    </w:pPr>
    <w:rPr>
      <w:lang w:val="en-GB"/>
    </w:rPr>
  </w:style>
  <w:style w:type="paragraph" w:customStyle="1" w:styleId="BMKSubject">
    <w:name w:val="BMK Subject"/>
    <w:basedOn w:val="Normal"/>
    <w:semiHidden/>
    <w:rsid w:val="00746D76"/>
    <w:pPr>
      <w:spacing w:line="260" w:lineRule="atLeast"/>
    </w:pPr>
    <w:rPr>
      <w:rFonts w:ascii="Arial" w:hAnsi="Arial" w:cs="Arial"/>
      <w:b/>
      <w:bCs/>
      <w:lang w:val="en-GB"/>
    </w:rPr>
  </w:style>
  <w:style w:type="character" w:customStyle="1" w:styleId="BMKAddressInfoChar">
    <w:name w:val="BMK Address Info Char"/>
    <w:link w:val="BMKAddressInfo"/>
    <w:semiHidden/>
    <w:rsid w:val="00746D76"/>
    <w:rPr>
      <w:rFonts w:ascii="Arial" w:hAnsi="Arial"/>
      <w:noProof/>
      <w:sz w:val="16"/>
      <w:szCs w:val="24"/>
      <w:lang w:eastAsia="en-US"/>
    </w:rPr>
  </w:style>
  <w:style w:type="paragraph" w:customStyle="1" w:styleId="BMKPrivacyText">
    <w:name w:val="BMK Privacy Text"/>
    <w:basedOn w:val="Footer"/>
    <w:link w:val="BMKPrivacyTextChar"/>
    <w:semiHidden/>
    <w:rsid w:val="00746D76"/>
  </w:style>
  <w:style w:type="paragraph" w:customStyle="1" w:styleId="OtherContact">
    <w:name w:val="OtherContact"/>
    <w:basedOn w:val="Normal"/>
    <w:semiHidden/>
    <w:rsid w:val="00746D76"/>
    <w:rPr>
      <w:rFonts w:ascii="Arial" w:hAnsi="Arial" w:cs="Arial"/>
      <w:sz w:val="16"/>
      <w:lang w:val="en-GB"/>
    </w:rPr>
  </w:style>
  <w:style w:type="paragraph" w:customStyle="1" w:styleId="Bullet2">
    <w:name w:val="Bullet 2"/>
    <w:basedOn w:val="Normal"/>
    <w:uiPriority w:val="8"/>
    <w:qFormat/>
    <w:rsid w:val="00746D76"/>
    <w:pPr>
      <w:numPr>
        <w:numId w:val="2"/>
      </w:numPr>
      <w:spacing w:line="260" w:lineRule="atLeast"/>
    </w:pPr>
    <w:rPr>
      <w:lang w:val="en-GB"/>
    </w:rPr>
  </w:style>
  <w:style w:type="character" w:customStyle="1" w:styleId="Definition">
    <w:name w:val="Definition"/>
    <w:basedOn w:val="DefaultParagraphFont"/>
    <w:uiPriority w:val="3"/>
    <w:rsid w:val="00746D76"/>
    <w:rPr>
      <w:b/>
      <w:i/>
      <w:sz w:val="22"/>
    </w:rPr>
  </w:style>
  <w:style w:type="character" w:styleId="PageNumber">
    <w:name w:val="page number"/>
    <w:basedOn w:val="DefaultParagraphFont"/>
    <w:rsid w:val="00746D76"/>
  </w:style>
  <w:style w:type="paragraph" w:customStyle="1" w:styleId="LetterDetail">
    <w:name w:val="LetterDetail"/>
    <w:basedOn w:val="Normal"/>
    <w:semiHidden/>
    <w:rsid w:val="00746D76"/>
    <w:pPr>
      <w:spacing w:line="260" w:lineRule="atLeast"/>
    </w:pPr>
    <w:rPr>
      <w:lang w:val="en-GB"/>
    </w:rPr>
  </w:style>
  <w:style w:type="paragraph" w:customStyle="1" w:styleId="BMKLetterCaption">
    <w:name w:val="BMK LetterCaption"/>
    <w:basedOn w:val="BMKLegalNoticePhrase"/>
    <w:next w:val="NormalSingle"/>
    <w:semiHidden/>
    <w:rsid w:val="00746D76"/>
    <w:pPr>
      <w:spacing w:before="0"/>
    </w:pPr>
  </w:style>
  <w:style w:type="paragraph" w:customStyle="1" w:styleId="BMKco-brand">
    <w:name w:val="BMK co-brand"/>
    <w:semiHidden/>
    <w:rsid w:val="00746D76"/>
    <w:pPr>
      <w:spacing w:line="170" w:lineRule="atLeast"/>
    </w:pPr>
    <w:rPr>
      <w:rFonts w:ascii="Arial" w:eastAsia="Times New Roman" w:hAnsi="Arial"/>
      <w:caps/>
      <w:sz w:val="13"/>
      <w:lang w:val="en-US" w:eastAsia="en-US"/>
    </w:rPr>
  </w:style>
  <w:style w:type="character" w:customStyle="1" w:styleId="Highlight">
    <w:name w:val="Highlight"/>
    <w:semiHidden/>
    <w:rsid w:val="00746D76"/>
    <w:rPr>
      <w:rFonts w:ascii="Arial" w:hAnsi="Arial"/>
      <w:b/>
    </w:rPr>
  </w:style>
  <w:style w:type="paragraph" w:customStyle="1" w:styleId="TableText">
    <w:name w:val="Table Text"/>
    <w:basedOn w:val="Normal"/>
    <w:link w:val="TableTextChar"/>
    <w:uiPriority w:val="6"/>
    <w:rsid w:val="00746D76"/>
    <w:pPr>
      <w:tabs>
        <w:tab w:val="right" w:pos="9072"/>
      </w:tabs>
      <w:spacing w:after="180" w:line="260" w:lineRule="atLeast"/>
    </w:pPr>
    <w:rPr>
      <w:lang w:val="en-GB"/>
    </w:rPr>
  </w:style>
  <w:style w:type="paragraph" w:customStyle="1" w:styleId="TableHeading">
    <w:name w:val="Table Heading"/>
    <w:basedOn w:val="Normal"/>
    <w:link w:val="TableHeadingChar"/>
    <w:uiPriority w:val="8"/>
    <w:rsid w:val="00746D76"/>
    <w:pPr>
      <w:tabs>
        <w:tab w:val="right" w:pos="9072"/>
      </w:tabs>
      <w:spacing w:after="180" w:line="260" w:lineRule="atLeast"/>
    </w:pPr>
    <w:rPr>
      <w:rFonts w:ascii="Arial" w:hAnsi="Arial"/>
      <w:b/>
      <w:sz w:val="20"/>
      <w:lang w:val="en-GB"/>
    </w:rPr>
  </w:style>
  <w:style w:type="paragraph" w:styleId="ListNumber2">
    <w:name w:val="List Number 2"/>
    <w:basedOn w:val="Normal"/>
    <w:uiPriority w:val="7"/>
    <w:qFormat/>
    <w:rsid w:val="00746D76"/>
    <w:pPr>
      <w:numPr>
        <w:ilvl w:val="1"/>
        <w:numId w:val="4"/>
      </w:numPr>
      <w:spacing w:after="180" w:line="260" w:lineRule="atLeast"/>
    </w:pPr>
    <w:rPr>
      <w:lang w:val="en-GB"/>
    </w:rPr>
  </w:style>
  <w:style w:type="paragraph" w:styleId="ListNumber3">
    <w:name w:val="List Number 3"/>
    <w:basedOn w:val="Normal"/>
    <w:uiPriority w:val="7"/>
    <w:qFormat/>
    <w:rsid w:val="00746D76"/>
    <w:pPr>
      <w:numPr>
        <w:ilvl w:val="2"/>
        <w:numId w:val="4"/>
      </w:numPr>
      <w:spacing w:after="180" w:line="260" w:lineRule="atLeast"/>
    </w:pPr>
    <w:rPr>
      <w:lang w:val="en-GB"/>
    </w:rPr>
  </w:style>
  <w:style w:type="paragraph" w:styleId="ListNumber4">
    <w:name w:val="List Number 4"/>
    <w:basedOn w:val="Normal"/>
    <w:uiPriority w:val="7"/>
    <w:qFormat/>
    <w:rsid w:val="00746D76"/>
    <w:pPr>
      <w:numPr>
        <w:ilvl w:val="3"/>
        <w:numId w:val="4"/>
      </w:numPr>
      <w:spacing w:after="180" w:line="260" w:lineRule="atLeast"/>
    </w:pPr>
    <w:rPr>
      <w:lang w:val="en-GB"/>
    </w:rPr>
  </w:style>
  <w:style w:type="paragraph" w:styleId="BodyText">
    <w:name w:val="Body Text"/>
    <w:aliases w:val="B&amp;B Body Text"/>
    <w:basedOn w:val="Normal"/>
    <w:link w:val="BodyTextChar"/>
    <w:qFormat/>
    <w:rsid w:val="00746D76"/>
    <w:pPr>
      <w:spacing w:after="180" w:line="260" w:lineRule="atLeast"/>
    </w:pPr>
    <w:rPr>
      <w:lang w:val="en-GB"/>
    </w:rPr>
  </w:style>
  <w:style w:type="paragraph" w:customStyle="1" w:styleId="NormalSingle">
    <w:name w:val="Normal Single"/>
    <w:basedOn w:val="Normal"/>
    <w:uiPriority w:val="6"/>
    <w:semiHidden/>
    <w:rsid w:val="00746D76"/>
    <w:pPr>
      <w:spacing w:line="0" w:lineRule="atLeast"/>
    </w:pPr>
    <w:rPr>
      <w:rFonts w:eastAsia="Times New Roman"/>
      <w:lang w:val="en-GB"/>
    </w:rPr>
  </w:style>
  <w:style w:type="character" w:styleId="Emphasis">
    <w:name w:val="Emphasis"/>
    <w:qFormat/>
    <w:rsid w:val="00746D76"/>
    <w:rPr>
      <w:i/>
      <w:iCs/>
    </w:rPr>
  </w:style>
  <w:style w:type="character" w:customStyle="1" w:styleId="BMKMemberFirmNameChar">
    <w:name w:val="BMK Member Firm Name Char"/>
    <w:link w:val="BMKMemberFirmName"/>
    <w:semiHidden/>
    <w:rsid w:val="00746D76"/>
    <w:rPr>
      <w:rFonts w:ascii="Arial" w:hAnsi="Arial"/>
      <w:b/>
      <w:noProof/>
      <w:sz w:val="16"/>
      <w:szCs w:val="24"/>
      <w:lang w:eastAsia="en-US"/>
    </w:rPr>
  </w:style>
  <w:style w:type="paragraph" w:customStyle="1" w:styleId="BMKAddressInfoHK">
    <w:name w:val="BMK Address Info HK"/>
    <w:semiHidden/>
    <w:rsid w:val="00746D76"/>
    <w:pPr>
      <w:spacing w:after="200" w:line="200" w:lineRule="atLeast"/>
    </w:pPr>
    <w:rPr>
      <w:rFonts w:ascii="Arial" w:hAnsi="Arial"/>
      <w:noProof/>
      <w:sz w:val="16"/>
      <w:szCs w:val="32"/>
      <w:lang w:val="en-US"/>
    </w:rPr>
  </w:style>
  <w:style w:type="paragraph" w:customStyle="1" w:styleId="BMKDocumentNameHK">
    <w:name w:val="BMK Document Name HK"/>
    <w:basedOn w:val="BMKAddressInfoHK"/>
    <w:next w:val="BMKMemberFirmName"/>
    <w:semiHidden/>
    <w:rsid w:val="00746D76"/>
    <w:rPr>
      <w:rFonts w:ascii="Arial Black" w:hAnsi="Arial Black"/>
      <w:sz w:val="18"/>
    </w:rPr>
  </w:style>
  <w:style w:type="paragraph" w:customStyle="1" w:styleId="BMKPartnerListHK">
    <w:name w:val="BMKPartnerListHK"/>
    <w:basedOn w:val="Normal"/>
    <w:semiHidden/>
    <w:rsid w:val="00746D76"/>
    <w:pPr>
      <w:spacing w:before="20"/>
    </w:pPr>
    <w:rPr>
      <w:rFonts w:ascii="Arial" w:hAnsi="Arial"/>
      <w:caps/>
      <w:noProof/>
      <w:sz w:val="9"/>
      <w:szCs w:val="9"/>
      <w:lang w:val="en-GB"/>
    </w:rPr>
  </w:style>
  <w:style w:type="character" w:customStyle="1" w:styleId="FooterChar">
    <w:name w:val="Footer Char"/>
    <w:aliases w:val="B&amp;B Footer Char"/>
    <w:link w:val="Footer"/>
    <w:rsid w:val="00746D76"/>
    <w:rPr>
      <w:rFonts w:ascii="Arial" w:hAnsi="Arial"/>
      <w:noProof/>
      <w:sz w:val="16"/>
      <w:szCs w:val="24"/>
      <w:lang w:eastAsia="en-US"/>
    </w:rPr>
  </w:style>
  <w:style w:type="paragraph" w:customStyle="1" w:styleId="BMKDocumentName">
    <w:name w:val="BMK Document Name"/>
    <w:basedOn w:val="Normal"/>
    <w:next w:val="Normal"/>
    <w:semiHidden/>
    <w:rsid w:val="00746D76"/>
    <w:pPr>
      <w:tabs>
        <w:tab w:val="left" w:pos="2761"/>
        <w:tab w:val="left" w:pos="3470"/>
        <w:tab w:val="left" w:pos="4179"/>
        <w:tab w:val="left" w:pos="4888"/>
        <w:tab w:val="right" w:pos="9849"/>
      </w:tabs>
      <w:spacing w:after="200" w:line="200" w:lineRule="atLeast"/>
    </w:pPr>
    <w:rPr>
      <w:rFonts w:ascii="Arial Black" w:hAnsi="Arial Black"/>
      <w:noProof/>
      <w:sz w:val="18"/>
      <w:lang w:val="en-GB"/>
    </w:rPr>
  </w:style>
  <w:style w:type="paragraph" w:customStyle="1" w:styleId="BMKHeaderLogoSHI">
    <w:name w:val="BMKHeaderLogoSHI"/>
    <w:semiHidden/>
    <w:rsid w:val="00746D76"/>
    <w:pPr>
      <w:tabs>
        <w:tab w:val="left" w:pos="709"/>
        <w:tab w:val="left" w:pos="1418"/>
        <w:tab w:val="left" w:pos="2126"/>
        <w:tab w:val="left" w:pos="2835"/>
        <w:tab w:val="right" w:pos="7876"/>
      </w:tabs>
      <w:spacing w:after="140" w:line="260" w:lineRule="atLeast"/>
    </w:pPr>
    <w:rPr>
      <w:sz w:val="22"/>
      <w:szCs w:val="24"/>
      <w:lang w:eastAsia="en-US"/>
    </w:rPr>
  </w:style>
  <w:style w:type="paragraph" w:customStyle="1" w:styleId="BMKPrivacyTitle">
    <w:name w:val="BMK Privacy Title"/>
    <w:basedOn w:val="Normal"/>
    <w:semiHidden/>
    <w:rsid w:val="00746D76"/>
    <w:pPr>
      <w:spacing w:before="260" w:after="140" w:line="240" w:lineRule="atLeast"/>
    </w:pPr>
    <w:rPr>
      <w:rFonts w:ascii="Arial Black" w:hAnsi="Arial Black"/>
      <w:sz w:val="18"/>
      <w:lang w:val="en-GB"/>
    </w:rPr>
  </w:style>
  <w:style w:type="character" w:customStyle="1" w:styleId="BMKPrivacyTextChar">
    <w:name w:val="BMK Privacy Text Char"/>
    <w:link w:val="BMKPrivacyText"/>
    <w:semiHidden/>
    <w:rsid w:val="00746D76"/>
    <w:rPr>
      <w:rFonts w:ascii="Arial" w:hAnsi="Arial"/>
      <w:noProof/>
      <w:sz w:val="16"/>
      <w:szCs w:val="24"/>
      <w:lang w:eastAsia="en-US"/>
    </w:rPr>
  </w:style>
  <w:style w:type="paragraph" w:styleId="BodyTextFirstIndent">
    <w:name w:val="Body Text First Indent"/>
    <w:basedOn w:val="BodyText"/>
    <w:link w:val="BodyTextFirstIndentChar"/>
    <w:uiPriority w:val="6"/>
    <w:rsid w:val="00746D76"/>
    <w:pPr>
      <w:spacing w:after="120" w:line="240" w:lineRule="auto"/>
      <w:ind w:firstLine="210"/>
    </w:pPr>
  </w:style>
  <w:style w:type="paragraph" w:customStyle="1" w:styleId="FooterIndent">
    <w:name w:val="Footer Indent"/>
    <w:basedOn w:val="Footer"/>
    <w:semiHidden/>
    <w:rsid w:val="00746D76"/>
    <w:pPr>
      <w:ind w:left="1208"/>
    </w:pPr>
  </w:style>
  <w:style w:type="paragraph" w:customStyle="1" w:styleId="BMKCitiesSpace">
    <w:name w:val="BMK Cities Space"/>
    <w:basedOn w:val="BMKCities"/>
    <w:semiHidden/>
    <w:rsid w:val="00746D76"/>
    <w:pPr>
      <w:spacing w:before="0"/>
    </w:pPr>
  </w:style>
  <w:style w:type="character" w:styleId="Hyperlink">
    <w:name w:val="Hyperlink"/>
    <w:uiPriority w:val="6"/>
    <w:rsid w:val="00746D76"/>
    <w:rPr>
      <w:color w:val="0000FF"/>
      <w:u w:val="single"/>
    </w:rPr>
  </w:style>
  <w:style w:type="paragraph" w:customStyle="1" w:styleId="BMKSalutation">
    <w:name w:val="BMK Salutation"/>
    <w:basedOn w:val="Normal"/>
    <w:semiHidden/>
    <w:rsid w:val="00746D76"/>
    <w:pPr>
      <w:spacing w:line="260" w:lineRule="atLeast"/>
    </w:pPr>
    <w:rPr>
      <w:lang w:val="en-GB"/>
    </w:rPr>
  </w:style>
  <w:style w:type="paragraph" w:customStyle="1" w:styleId="BMKDate">
    <w:name w:val="BMKDate"/>
    <w:basedOn w:val="Normal"/>
    <w:semiHidden/>
    <w:rsid w:val="00746D76"/>
    <w:pPr>
      <w:spacing w:line="260" w:lineRule="atLeast"/>
    </w:pPr>
    <w:rPr>
      <w:lang w:val="en-GB"/>
    </w:rPr>
  </w:style>
  <w:style w:type="paragraph" w:customStyle="1" w:styleId="BMKAddress1">
    <w:name w:val="BMK Address1"/>
    <w:basedOn w:val="Normal"/>
    <w:semiHidden/>
    <w:rsid w:val="00746D76"/>
    <w:pPr>
      <w:spacing w:line="260" w:lineRule="atLeast"/>
    </w:pPr>
    <w:rPr>
      <w:lang w:val="en-GB"/>
    </w:rPr>
  </w:style>
  <w:style w:type="paragraph" w:customStyle="1" w:styleId="BMKAttention">
    <w:name w:val="BMK Attention"/>
    <w:basedOn w:val="Normal"/>
    <w:semiHidden/>
    <w:rsid w:val="00746D76"/>
    <w:pPr>
      <w:spacing w:line="260" w:lineRule="atLeast"/>
    </w:pPr>
    <w:rPr>
      <w:lang w:val="en-GB"/>
    </w:rPr>
  </w:style>
  <w:style w:type="paragraph" w:customStyle="1" w:styleId="BMKSubtitle">
    <w:name w:val="BMK Subtitle"/>
    <w:basedOn w:val="Normal"/>
    <w:next w:val="BodyText"/>
    <w:semiHidden/>
    <w:rsid w:val="00746D76"/>
    <w:pPr>
      <w:spacing w:after="180" w:line="260" w:lineRule="atLeast"/>
    </w:pPr>
    <w:rPr>
      <w:rFonts w:ascii="Arial" w:eastAsia="Times New Roman" w:hAnsi="Arial"/>
      <w:sz w:val="32"/>
      <w:lang w:val="en-GB"/>
    </w:rPr>
  </w:style>
  <w:style w:type="paragraph" w:customStyle="1" w:styleId="BMKTitle">
    <w:name w:val="BMK Title"/>
    <w:basedOn w:val="Normal"/>
    <w:next w:val="BodyText"/>
    <w:semiHidden/>
    <w:rsid w:val="00746D76"/>
    <w:pPr>
      <w:spacing w:after="180" w:line="260" w:lineRule="atLeast"/>
    </w:pPr>
    <w:rPr>
      <w:rFonts w:ascii="Arial" w:eastAsia="Times New Roman" w:hAnsi="Arial"/>
      <w:sz w:val="48"/>
      <w:lang w:val="en-GB"/>
    </w:rPr>
  </w:style>
  <w:style w:type="character" w:styleId="BookTitle">
    <w:name w:val="Book Title"/>
    <w:basedOn w:val="DefaultParagraphFont"/>
    <w:uiPriority w:val="33"/>
    <w:rsid w:val="00746D76"/>
    <w:rPr>
      <w:b/>
      <w:bCs/>
      <w:smallCaps/>
      <w:spacing w:val="5"/>
    </w:rPr>
  </w:style>
  <w:style w:type="character" w:styleId="Strong">
    <w:name w:val="Strong"/>
    <w:basedOn w:val="DefaultParagraphFont"/>
    <w:qFormat/>
    <w:rsid w:val="00746D76"/>
    <w:rPr>
      <w:b/>
      <w:bCs/>
    </w:rPr>
  </w:style>
  <w:style w:type="character" w:styleId="SubtleEmphasis">
    <w:name w:val="Subtle Emphasis"/>
    <w:basedOn w:val="DefaultParagraphFont"/>
    <w:uiPriority w:val="19"/>
    <w:qFormat/>
    <w:rsid w:val="00746D76"/>
    <w:rPr>
      <w:i/>
      <w:iCs/>
      <w:color w:val="9E9FA2" w:themeColor="text1" w:themeTint="7F"/>
    </w:rPr>
  </w:style>
  <w:style w:type="character" w:styleId="SubtleReference">
    <w:name w:val="Subtle Reference"/>
    <w:basedOn w:val="DefaultParagraphFont"/>
    <w:uiPriority w:val="31"/>
    <w:qFormat/>
    <w:rsid w:val="00746D76"/>
    <w:rPr>
      <w:smallCaps/>
      <w:color w:val="EBB700" w:themeColor="accent2"/>
      <w:u w:val="single"/>
    </w:rPr>
  </w:style>
  <w:style w:type="paragraph" w:styleId="NoSpacing">
    <w:name w:val="No Spacing"/>
    <w:uiPriority w:val="6"/>
    <w:qFormat/>
    <w:rsid w:val="00746D76"/>
    <w:pPr>
      <w:tabs>
        <w:tab w:val="left" w:pos="709"/>
        <w:tab w:val="left" w:pos="1418"/>
        <w:tab w:val="left" w:pos="2126"/>
        <w:tab w:val="left" w:pos="2835"/>
        <w:tab w:val="right" w:pos="7876"/>
      </w:tabs>
    </w:pPr>
    <w:rPr>
      <w:sz w:val="22"/>
      <w:szCs w:val="24"/>
      <w:lang w:val="en-US" w:eastAsia="en-US"/>
    </w:rPr>
  </w:style>
  <w:style w:type="character" w:styleId="IntenseEmphasis">
    <w:name w:val="Intense Emphasis"/>
    <w:basedOn w:val="DefaultParagraphFont"/>
    <w:uiPriority w:val="21"/>
    <w:qFormat/>
    <w:rsid w:val="00746D76"/>
    <w:rPr>
      <w:b/>
      <w:bCs/>
      <w:i/>
      <w:iCs/>
      <w:color w:val="A71930" w:themeColor="accent1"/>
    </w:rPr>
  </w:style>
  <w:style w:type="paragraph" w:styleId="IntenseQuote">
    <w:name w:val="Intense Quote"/>
    <w:basedOn w:val="Normal"/>
    <w:next w:val="Normal"/>
    <w:link w:val="IntenseQuoteChar"/>
    <w:uiPriority w:val="30"/>
    <w:qFormat/>
    <w:rsid w:val="00746D76"/>
    <w:pPr>
      <w:pBdr>
        <w:bottom w:val="single" w:sz="4" w:space="4" w:color="A71930" w:themeColor="accent1"/>
      </w:pBdr>
      <w:spacing w:before="200" w:after="280"/>
      <w:ind w:left="936" w:right="936"/>
    </w:pPr>
    <w:rPr>
      <w:b/>
      <w:bCs/>
      <w:i/>
      <w:iCs/>
      <w:color w:val="A71930" w:themeColor="accent1"/>
      <w:lang w:val="en-GB"/>
    </w:rPr>
  </w:style>
  <w:style w:type="character" w:customStyle="1" w:styleId="IntenseQuoteChar">
    <w:name w:val="Intense Quote Char"/>
    <w:basedOn w:val="DefaultParagraphFont"/>
    <w:link w:val="IntenseQuote"/>
    <w:uiPriority w:val="30"/>
    <w:rsid w:val="00746D76"/>
    <w:rPr>
      <w:b/>
      <w:bCs/>
      <w:i/>
      <w:iCs/>
      <w:color w:val="A71930" w:themeColor="accent1"/>
      <w:sz w:val="22"/>
      <w:szCs w:val="24"/>
      <w:lang w:eastAsia="en-US"/>
    </w:rPr>
  </w:style>
  <w:style w:type="paragraph" w:styleId="Quote">
    <w:name w:val="Quote"/>
    <w:basedOn w:val="Normal"/>
    <w:next w:val="Normal"/>
    <w:link w:val="QuoteChar"/>
    <w:uiPriority w:val="29"/>
    <w:qFormat/>
    <w:rsid w:val="00746D76"/>
    <w:rPr>
      <w:i/>
      <w:iCs/>
      <w:color w:val="404143" w:themeColor="text1"/>
      <w:lang w:val="en-GB"/>
    </w:rPr>
  </w:style>
  <w:style w:type="character" w:customStyle="1" w:styleId="QuoteChar">
    <w:name w:val="Quote Char"/>
    <w:basedOn w:val="DefaultParagraphFont"/>
    <w:link w:val="Quote"/>
    <w:uiPriority w:val="29"/>
    <w:rsid w:val="00746D76"/>
    <w:rPr>
      <w:i/>
      <w:iCs/>
      <w:color w:val="404143" w:themeColor="text1"/>
      <w:sz w:val="22"/>
      <w:szCs w:val="24"/>
      <w:lang w:eastAsia="en-US"/>
    </w:rPr>
  </w:style>
  <w:style w:type="character" w:styleId="IntenseReference">
    <w:name w:val="Intense Reference"/>
    <w:basedOn w:val="DefaultParagraphFont"/>
    <w:uiPriority w:val="32"/>
    <w:qFormat/>
    <w:rsid w:val="00746D76"/>
    <w:rPr>
      <w:b/>
      <w:bCs/>
      <w:smallCaps/>
      <w:color w:val="EBB700" w:themeColor="accent2"/>
      <w:spacing w:val="5"/>
      <w:u w:val="single"/>
    </w:rPr>
  </w:style>
  <w:style w:type="paragraph" w:styleId="ListParagraph">
    <w:name w:val="List Paragraph"/>
    <w:basedOn w:val="Normal"/>
    <w:uiPriority w:val="34"/>
    <w:qFormat/>
    <w:rsid w:val="00746D76"/>
    <w:pPr>
      <w:ind w:left="720"/>
      <w:contextualSpacing/>
    </w:pPr>
    <w:rPr>
      <w:lang w:val="en-GB"/>
    </w:rPr>
  </w:style>
  <w:style w:type="paragraph" w:customStyle="1" w:styleId="SubHeading">
    <w:name w:val="Sub Heading"/>
    <w:basedOn w:val="Normal"/>
    <w:next w:val="BodyText"/>
    <w:link w:val="SubHeadingChar"/>
    <w:rsid w:val="00746D76"/>
    <w:pPr>
      <w:keepNext/>
      <w:spacing w:after="180" w:line="260" w:lineRule="atLeast"/>
    </w:pPr>
    <w:rPr>
      <w:rFonts w:ascii="Arial" w:hAnsi="Arial"/>
      <w:b/>
      <w:szCs w:val="20"/>
      <w:lang w:val="en-GB"/>
    </w:rPr>
  </w:style>
  <w:style w:type="paragraph" w:customStyle="1" w:styleId="Da">
    <w:name w:val="D(a)"/>
    <w:basedOn w:val="Normal"/>
    <w:uiPriority w:val="4"/>
    <w:rsid w:val="00746D76"/>
    <w:pPr>
      <w:numPr>
        <w:ilvl w:val="1"/>
        <w:numId w:val="6"/>
      </w:numPr>
      <w:spacing w:after="180" w:line="260" w:lineRule="atLeast"/>
    </w:pPr>
    <w:rPr>
      <w:szCs w:val="20"/>
      <w:lang w:val="en-GB"/>
    </w:rPr>
  </w:style>
  <w:style w:type="paragraph" w:customStyle="1" w:styleId="DA0">
    <w:name w:val="D(A)"/>
    <w:basedOn w:val="Normal"/>
    <w:uiPriority w:val="6"/>
    <w:rsid w:val="00746D76"/>
    <w:pPr>
      <w:numPr>
        <w:ilvl w:val="3"/>
        <w:numId w:val="6"/>
      </w:numPr>
      <w:spacing w:after="180" w:line="260" w:lineRule="atLeast"/>
    </w:pPr>
    <w:rPr>
      <w:szCs w:val="20"/>
      <w:lang w:val="en-GB"/>
    </w:rPr>
  </w:style>
  <w:style w:type="paragraph" w:customStyle="1" w:styleId="Di">
    <w:name w:val="D(i)"/>
    <w:basedOn w:val="Normal"/>
    <w:uiPriority w:val="5"/>
    <w:rsid w:val="00746D76"/>
    <w:pPr>
      <w:numPr>
        <w:ilvl w:val="2"/>
        <w:numId w:val="6"/>
      </w:numPr>
      <w:spacing w:after="180" w:line="260" w:lineRule="atLeast"/>
    </w:pPr>
    <w:rPr>
      <w:szCs w:val="20"/>
      <w:lang w:val="en-GB"/>
    </w:rPr>
  </w:style>
  <w:style w:type="paragraph" w:customStyle="1" w:styleId="DefinitionParagraph">
    <w:name w:val="Definition Paragraph"/>
    <w:basedOn w:val="Normal"/>
    <w:uiPriority w:val="2"/>
    <w:rsid w:val="00746D76"/>
    <w:pPr>
      <w:numPr>
        <w:numId w:val="6"/>
      </w:numPr>
      <w:spacing w:after="180" w:line="260" w:lineRule="atLeast"/>
    </w:pPr>
    <w:rPr>
      <w:szCs w:val="20"/>
      <w:lang w:val="en-GB"/>
    </w:rPr>
  </w:style>
  <w:style w:type="paragraph" w:customStyle="1" w:styleId="SchH10">
    <w:name w:val="SchH1"/>
    <w:basedOn w:val="Normal"/>
    <w:next w:val="BodyText"/>
    <w:uiPriority w:val="6"/>
    <w:rsid w:val="00746D76"/>
    <w:pPr>
      <w:keepNext/>
      <w:numPr>
        <w:numId w:val="5"/>
      </w:numPr>
      <w:spacing w:after="180" w:line="260" w:lineRule="atLeast"/>
    </w:pPr>
    <w:rPr>
      <w:rFonts w:ascii="Arial" w:hAnsi="Arial"/>
      <w:b/>
      <w:szCs w:val="20"/>
      <w:lang w:val="en-GB"/>
    </w:rPr>
  </w:style>
  <w:style w:type="paragraph" w:customStyle="1" w:styleId="SchH20">
    <w:name w:val="SchH2"/>
    <w:basedOn w:val="Normal"/>
    <w:next w:val="BodyText"/>
    <w:uiPriority w:val="6"/>
    <w:rsid w:val="00746D76"/>
    <w:pPr>
      <w:keepNext/>
      <w:numPr>
        <w:ilvl w:val="1"/>
        <w:numId w:val="5"/>
      </w:numPr>
      <w:spacing w:after="180" w:line="260" w:lineRule="atLeast"/>
    </w:pPr>
    <w:rPr>
      <w:rFonts w:ascii="Arial" w:hAnsi="Arial"/>
      <w:b/>
      <w:szCs w:val="20"/>
      <w:lang w:val="en-GB"/>
    </w:rPr>
  </w:style>
  <w:style w:type="paragraph" w:customStyle="1" w:styleId="SchH30">
    <w:name w:val="SchH3"/>
    <w:basedOn w:val="Normal"/>
    <w:uiPriority w:val="6"/>
    <w:rsid w:val="00746D76"/>
    <w:pPr>
      <w:numPr>
        <w:ilvl w:val="2"/>
        <w:numId w:val="5"/>
      </w:numPr>
      <w:spacing w:after="180" w:line="260" w:lineRule="atLeast"/>
    </w:pPr>
    <w:rPr>
      <w:szCs w:val="20"/>
      <w:lang w:val="en-GB"/>
    </w:rPr>
  </w:style>
  <w:style w:type="paragraph" w:customStyle="1" w:styleId="SchH40">
    <w:name w:val="SchH4"/>
    <w:basedOn w:val="Normal"/>
    <w:uiPriority w:val="6"/>
    <w:rsid w:val="00746D76"/>
    <w:pPr>
      <w:numPr>
        <w:ilvl w:val="3"/>
        <w:numId w:val="5"/>
      </w:numPr>
      <w:spacing w:after="180" w:line="260" w:lineRule="atLeast"/>
    </w:pPr>
    <w:rPr>
      <w:szCs w:val="20"/>
      <w:lang w:val="en-GB"/>
    </w:rPr>
  </w:style>
  <w:style w:type="paragraph" w:customStyle="1" w:styleId="SchH50">
    <w:name w:val="SchH5"/>
    <w:basedOn w:val="Normal"/>
    <w:uiPriority w:val="6"/>
    <w:rsid w:val="00746D76"/>
    <w:pPr>
      <w:numPr>
        <w:ilvl w:val="4"/>
        <w:numId w:val="5"/>
      </w:numPr>
      <w:spacing w:after="180" w:line="260" w:lineRule="atLeast"/>
    </w:pPr>
    <w:rPr>
      <w:szCs w:val="20"/>
      <w:lang w:val="en-GB"/>
    </w:rPr>
  </w:style>
  <w:style w:type="paragraph" w:customStyle="1" w:styleId="SchH60">
    <w:name w:val="SchH6"/>
    <w:basedOn w:val="Normal"/>
    <w:uiPriority w:val="6"/>
    <w:rsid w:val="00746D76"/>
    <w:pPr>
      <w:numPr>
        <w:ilvl w:val="5"/>
        <w:numId w:val="5"/>
      </w:numPr>
      <w:spacing w:after="180" w:line="260" w:lineRule="atLeast"/>
    </w:pPr>
    <w:rPr>
      <w:szCs w:val="20"/>
      <w:lang w:val="en-GB"/>
    </w:rPr>
  </w:style>
  <w:style w:type="paragraph" w:customStyle="1" w:styleId="SchSH">
    <w:name w:val="SchSH"/>
    <w:basedOn w:val="Normal"/>
    <w:next w:val="BodyText"/>
    <w:uiPriority w:val="6"/>
    <w:rsid w:val="00746D76"/>
    <w:pPr>
      <w:keepNext/>
      <w:spacing w:after="180" w:line="260" w:lineRule="atLeast"/>
    </w:pPr>
    <w:rPr>
      <w:rFonts w:ascii="Arial" w:hAnsi="Arial"/>
      <w:b/>
      <w:szCs w:val="20"/>
      <w:lang w:val="en-GB"/>
    </w:rPr>
  </w:style>
  <w:style w:type="paragraph" w:styleId="TOC1">
    <w:name w:val="toc 1"/>
    <w:basedOn w:val="Normal"/>
    <w:next w:val="Normal"/>
    <w:link w:val="TOC1Char"/>
    <w:autoRedefine/>
    <w:uiPriority w:val="39"/>
    <w:rsid w:val="005425F3"/>
    <w:pPr>
      <w:spacing w:before="180" w:line="260" w:lineRule="atLeast"/>
      <w:ind w:left="567" w:hanging="567"/>
    </w:pPr>
    <w:rPr>
      <w:rFonts w:ascii="Arial" w:hAnsi="Arial"/>
      <w:b/>
      <w:szCs w:val="20"/>
      <w:lang w:val="en-GB"/>
    </w:rPr>
  </w:style>
  <w:style w:type="paragraph" w:styleId="TOC2">
    <w:name w:val="toc 2"/>
    <w:basedOn w:val="Normal"/>
    <w:next w:val="Normal"/>
    <w:link w:val="TOC2Char"/>
    <w:autoRedefine/>
    <w:uiPriority w:val="39"/>
    <w:rsid w:val="005425F3"/>
    <w:pPr>
      <w:spacing w:before="180" w:line="260" w:lineRule="atLeast"/>
      <w:ind w:left="1134" w:hanging="567"/>
    </w:pPr>
    <w:rPr>
      <w:rFonts w:ascii="Arial" w:hAnsi="Arial"/>
      <w:b/>
      <w:szCs w:val="20"/>
      <w:lang w:val="en-GB"/>
    </w:rPr>
  </w:style>
  <w:style w:type="paragraph" w:styleId="TOC3">
    <w:name w:val="toc 3"/>
    <w:basedOn w:val="Normal"/>
    <w:next w:val="Normal"/>
    <w:link w:val="TOC3Char"/>
    <w:autoRedefine/>
    <w:uiPriority w:val="39"/>
    <w:rsid w:val="00764B12"/>
    <w:pPr>
      <w:spacing w:before="180" w:line="260" w:lineRule="atLeast"/>
      <w:ind w:left="1701" w:hanging="567"/>
    </w:pPr>
    <w:rPr>
      <w:rFonts w:ascii="Arial" w:hAnsi="Arial"/>
      <w:b/>
      <w:szCs w:val="20"/>
      <w:lang w:val="en-US"/>
    </w:rPr>
  </w:style>
  <w:style w:type="paragraph" w:styleId="TOC4">
    <w:name w:val="toc 4"/>
    <w:basedOn w:val="Normal"/>
    <w:next w:val="Normal"/>
    <w:link w:val="TOC4Char"/>
    <w:autoRedefine/>
    <w:rsid w:val="00746D76"/>
    <w:pPr>
      <w:spacing w:line="260" w:lineRule="atLeast"/>
      <w:ind w:left="1418"/>
    </w:pPr>
    <w:rPr>
      <w:rFonts w:ascii="Arial" w:hAnsi="Arial"/>
      <w:szCs w:val="20"/>
      <w:lang w:val="en-GB"/>
    </w:rPr>
  </w:style>
  <w:style w:type="table" w:styleId="TableGrid">
    <w:name w:val="Table Grid"/>
    <w:aliases w:val="BMTable,BM Table"/>
    <w:basedOn w:val="TableNormal"/>
    <w:rsid w:val="0074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MHeadings">
    <w:name w:val="B&amp;M Headings"/>
    <w:uiPriority w:val="99"/>
    <w:rsid w:val="00746D76"/>
    <w:pPr>
      <w:numPr>
        <w:numId w:val="3"/>
      </w:numPr>
    </w:pPr>
  </w:style>
  <w:style w:type="numbering" w:customStyle="1" w:styleId="BMListNumbers">
    <w:name w:val="B&amp;M List Numbers"/>
    <w:uiPriority w:val="99"/>
    <w:rsid w:val="00746D76"/>
    <w:pPr>
      <w:numPr>
        <w:numId w:val="4"/>
      </w:numPr>
    </w:pPr>
  </w:style>
  <w:style w:type="numbering" w:customStyle="1" w:styleId="BMSchedules">
    <w:name w:val="B&amp;M Schedules"/>
    <w:uiPriority w:val="99"/>
    <w:rsid w:val="00746D76"/>
    <w:pPr>
      <w:numPr>
        <w:numId w:val="5"/>
      </w:numPr>
    </w:pPr>
  </w:style>
  <w:style w:type="numbering" w:customStyle="1" w:styleId="BMDefinitions">
    <w:name w:val="B&amp;M Definitions"/>
    <w:uiPriority w:val="99"/>
    <w:rsid w:val="00746D76"/>
    <w:pPr>
      <w:numPr>
        <w:numId w:val="6"/>
      </w:numPr>
    </w:pPr>
  </w:style>
  <w:style w:type="paragraph" w:customStyle="1" w:styleId="TOCHeading">
    <w:name w:val="TOCHeading"/>
    <w:basedOn w:val="Normal"/>
    <w:next w:val="BodyText"/>
    <w:uiPriority w:val="11"/>
    <w:semiHidden/>
    <w:rsid w:val="00746D76"/>
    <w:pPr>
      <w:pBdr>
        <w:bottom w:val="single" w:sz="4" w:space="9" w:color="auto"/>
      </w:pBdr>
      <w:spacing w:after="180" w:line="260" w:lineRule="exact"/>
    </w:pPr>
    <w:rPr>
      <w:rFonts w:ascii="Arial" w:hAnsi="Arial"/>
      <w:b/>
      <w:sz w:val="24"/>
      <w:lang w:val="en-GB"/>
    </w:rPr>
  </w:style>
  <w:style w:type="paragraph" w:styleId="TOC5">
    <w:name w:val="toc 5"/>
    <w:basedOn w:val="Normal"/>
    <w:next w:val="Normal"/>
    <w:autoRedefine/>
    <w:rsid w:val="00746D76"/>
    <w:pPr>
      <w:spacing w:after="100"/>
      <w:ind w:left="880"/>
    </w:pPr>
    <w:rPr>
      <w:lang w:val="en-GB"/>
    </w:rPr>
  </w:style>
  <w:style w:type="paragraph" w:styleId="TOC6">
    <w:name w:val="toc 6"/>
    <w:basedOn w:val="Normal"/>
    <w:next w:val="Normal"/>
    <w:autoRedefine/>
    <w:rsid w:val="00746D76"/>
    <w:pPr>
      <w:spacing w:after="100"/>
      <w:ind w:left="1100"/>
    </w:pPr>
    <w:rPr>
      <w:lang w:val="en-GB"/>
    </w:rPr>
  </w:style>
  <w:style w:type="paragraph" w:styleId="TOC7">
    <w:name w:val="toc 7"/>
    <w:basedOn w:val="Normal"/>
    <w:next w:val="Normal"/>
    <w:autoRedefine/>
    <w:rsid w:val="00746D76"/>
    <w:pPr>
      <w:spacing w:after="100"/>
      <w:ind w:left="1320"/>
    </w:pPr>
    <w:rPr>
      <w:lang w:val="en-GB"/>
    </w:rPr>
  </w:style>
  <w:style w:type="paragraph" w:styleId="TOC8">
    <w:name w:val="toc 8"/>
    <w:basedOn w:val="Normal"/>
    <w:next w:val="Normal"/>
    <w:autoRedefine/>
    <w:rsid w:val="00746D76"/>
    <w:pPr>
      <w:spacing w:after="100"/>
      <w:ind w:left="1540"/>
    </w:pPr>
    <w:rPr>
      <w:lang w:val="en-GB"/>
    </w:rPr>
  </w:style>
  <w:style w:type="paragraph" w:styleId="TOC9">
    <w:name w:val="toc 9"/>
    <w:basedOn w:val="Normal"/>
    <w:next w:val="Normal"/>
    <w:autoRedefine/>
    <w:rsid w:val="00746D76"/>
    <w:pPr>
      <w:spacing w:after="100"/>
      <w:ind w:left="1760"/>
    </w:pPr>
    <w:rPr>
      <w:lang w:val="en-GB"/>
    </w:rPr>
  </w:style>
  <w:style w:type="character" w:styleId="PlaceholderText">
    <w:name w:val="Placeholder Text"/>
    <w:basedOn w:val="DefaultParagraphFont"/>
    <w:uiPriority w:val="99"/>
    <w:semiHidden/>
    <w:rsid w:val="00FB6EFC"/>
    <w:rPr>
      <w:color w:val="808080"/>
    </w:rPr>
  </w:style>
  <w:style w:type="paragraph" w:styleId="BalloonText">
    <w:name w:val="Balloon Text"/>
    <w:basedOn w:val="Normal"/>
    <w:link w:val="BalloonTextChar"/>
    <w:rsid w:val="00FB6EFC"/>
    <w:rPr>
      <w:rFonts w:ascii="Tahoma" w:hAnsi="Tahoma" w:cs="Tahoma"/>
      <w:sz w:val="16"/>
      <w:szCs w:val="16"/>
    </w:rPr>
  </w:style>
  <w:style w:type="character" w:customStyle="1" w:styleId="BalloonTextChar">
    <w:name w:val="Balloon Text Char"/>
    <w:basedOn w:val="DefaultParagraphFont"/>
    <w:link w:val="BalloonText"/>
    <w:rsid w:val="00FB6EFC"/>
    <w:rPr>
      <w:rFonts w:ascii="Tahoma" w:hAnsi="Tahoma" w:cs="Tahoma"/>
      <w:sz w:val="16"/>
      <w:szCs w:val="16"/>
      <w:lang w:val="sv-SE" w:eastAsia="en-US"/>
    </w:rPr>
  </w:style>
  <w:style w:type="character" w:customStyle="1" w:styleId="HeaderChar">
    <w:name w:val="Header Char"/>
    <w:aliases w:val="B&amp;B Header Char"/>
    <w:basedOn w:val="DefaultParagraphFont"/>
    <w:link w:val="Header"/>
    <w:rsid w:val="00C8456E"/>
    <w:rPr>
      <w:sz w:val="22"/>
      <w:szCs w:val="24"/>
      <w:lang w:val="en-GB" w:eastAsia="en-US"/>
    </w:rPr>
  </w:style>
  <w:style w:type="character" w:customStyle="1" w:styleId="BodyTextChar">
    <w:name w:val="Body Text Char"/>
    <w:aliases w:val="B&amp;B Body Text Char"/>
    <w:basedOn w:val="DefaultParagraphFont"/>
    <w:link w:val="BodyText"/>
    <w:rsid w:val="00C8456E"/>
    <w:rPr>
      <w:sz w:val="22"/>
      <w:szCs w:val="24"/>
      <w:lang w:val="en-GB" w:eastAsia="en-US"/>
    </w:rPr>
  </w:style>
  <w:style w:type="character" w:styleId="CommentReference">
    <w:name w:val="annotation reference"/>
    <w:basedOn w:val="DefaultParagraphFont"/>
    <w:uiPriority w:val="99"/>
    <w:unhideWhenUsed/>
    <w:rsid w:val="008F79AA"/>
    <w:rPr>
      <w:sz w:val="16"/>
      <w:szCs w:val="16"/>
    </w:rPr>
  </w:style>
  <w:style w:type="paragraph" w:styleId="CommentText">
    <w:name w:val="annotation text"/>
    <w:basedOn w:val="Normal"/>
    <w:link w:val="CommentTextChar"/>
    <w:unhideWhenUsed/>
    <w:rsid w:val="008F79AA"/>
    <w:rPr>
      <w:sz w:val="20"/>
      <w:szCs w:val="20"/>
    </w:rPr>
  </w:style>
  <w:style w:type="character" w:customStyle="1" w:styleId="CommentTextChar">
    <w:name w:val="Comment Text Char"/>
    <w:basedOn w:val="DefaultParagraphFont"/>
    <w:link w:val="CommentText"/>
    <w:rsid w:val="008F79AA"/>
    <w:rPr>
      <w:lang w:val="sv-SE" w:eastAsia="en-US"/>
    </w:rPr>
  </w:style>
  <w:style w:type="paragraph" w:styleId="CommentSubject">
    <w:name w:val="annotation subject"/>
    <w:basedOn w:val="CommentText"/>
    <w:next w:val="CommentText"/>
    <w:link w:val="CommentSubjectChar"/>
    <w:unhideWhenUsed/>
    <w:rsid w:val="008F79AA"/>
    <w:rPr>
      <w:b/>
      <w:bCs/>
    </w:rPr>
  </w:style>
  <w:style w:type="character" w:customStyle="1" w:styleId="CommentSubjectChar">
    <w:name w:val="Comment Subject Char"/>
    <w:basedOn w:val="CommentTextChar"/>
    <w:link w:val="CommentSubject"/>
    <w:rsid w:val="008F79AA"/>
    <w:rPr>
      <w:b/>
      <w:bCs/>
      <w:lang w:val="sv-SE" w:eastAsia="en-US"/>
    </w:rPr>
  </w:style>
  <w:style w:type="character" w:customStyle="1" w:styleId="Heading7Char">
    <w:name w:val="Heading 7 Char"/>
    <w:basedOn w:val="DefaultParagraphFont"/>
    <w:link w:val="Heading7"/>
    <w:rsid w:val="000F5A53"/>
    <w:rPr>
      <w:sz w:val="22"/>
      <w:szCs w:val="24"/>
      <w:u w:val="single"/>
      <w:lang w:val="en-GB" w:eastAsia="en-US"/>
    </w:rPr>
  </w:style>
  <w:style w:type="character" w:customStyle="1" w:styleId="Heading8Char">
    <w:name w:val="Heading 8 Char"/>
    <w:basedOn w:val="DefaultParagraphFont"/>
    <w:link w:val="Heading8"/>
    <w:uiPriority w:val="98"/>
    <w:rsid w:val="000F5A53"/>
    <w:rPr>
      <w:rFonts w:eastAsia="Times New Roman"/>
      <w:sz w:val="24"/>
      <w:szCs w:val="24"/>
      <w:lang w:val="en-GB" w:eastAsia="en-US"/>
    </w:rPr>
  </w:style>
  <w:style w:type="character" w:customStyle="1" w:styleId="Heading9Char">
    <w:name w:val="Heading 9 Char"/>
    <w:basedOn w:val="DefaultParagraphFont"/>
    <w:link w:val="Heading9"/>
    <w:uiPriority w:val="98"/>
    <w:rsid w:val="000F5A53"/>
    <w:rPr>
      <w:rFonts w:eastAsia="Times New Roman"/>
      <w:sz w:val="24"/>
      <w:szCs w:val="24"/>
      <w:lang w:val="en-GB" w:eastAsia="en-US"/>
    </w:rPr>
  </w:style>
  <w:style w:type="paragraph" w:customStyle="1" w:styleId="TableParagraph">
    <w:name w:val="Table Paragraph"/>
    <w:basedOn w:val="Normal"/>
    <w:uiPriority w:val="1"/>
    <w:qFormat/>
    <w:rsid w:val="000F5A53"/>
    <w:pPr>
      <w:widowControl w:val="0"/>
    </w:pPr>
    <w:rPr>
      <w:rFonts w:asciiTheme="minorHAnsi" w:eastAsiaTheme="minorHAnsi" w:hAnsiTheme="minorHAnsi" w:cstheme="minorBidi"/>
      <w:szCs w:val="22"/>
      <w:lang w:val="en-US"/>
    </w:rPr>
  </w:style>
  <w:style w:type="character" w:customStyle="1" w:styleId="FootnoteTextChar">
    <w:name w:val="Footnote Text Char"/>
    <w:basedOn w:val="DefaultParagraphFont"/>
    <w:link w:val="FootnoteText"/>
    <w:uiPriority w:val="6"/>
    <w:rsid w:val="000F5A53"/>
    <w:rPr>
      <w:sz w:val="18"/>
      <w:lang w:val="en-GB" w:eastAsia="en-US"/>
    </w:rPr>
  </w:style>
  <w:style w:type="character" w:customStyle="1" w:styleId="Heading2Char">
    <w:name w:val="Heading 2 Char"/>
    <w:aliases w:val="Heading 2 Alt+2 Char,stycke - Alt+2 Char"/>
    <w:basedOn w:val="DefaultParagraphFont"/>
    <w:link w:val="Heading2"/>
    <w:rsid w:val="000F5A53"/>
    <w:rPr>
      <w:rFonts w:ascii="Arial" w:hAnsi="Arial"/>
      <w:b/>
      <w:sz w:val="22"/>
      <w:lang w:val="en-GB" w:eastAsia="en-US"/>
    </w:rPr>
  </w:style>
  <w:style w:type="character" w:customStyle="1" w:styleId="Heading3Char">
    <w:name w:val="Heading 3 Char"/>
    <w:aliases w:val="Heading 3 Alt+3 Char,stycke - Alt+3 Char"/>
    <w:basedOn w:val="DefaultParagraphFont"/>
    <w:link w:val="Heading3"/>
    <w:rsid w:val="000F5A53"/>
    <w:rPr>
      <w:sz w:val="22"/>
      <w:lang w:val="en-GB" w:eastAsia="en-US"/>
    </w:rPr>
  </w:style>
  <w:style w:type="character" w:customStyle="1" w:styleId="Heading4Char">
    <w:name w:val="Heading 4 Char"/>
    <w:aliases w:val="Heading 4 Alt+4 Char"/>
    <w:basedOn w:val="DefaultParagraphFont"/>
    <w:link w:val="Heading4"/>
    <w:rsid w:val="000F5A53"/>
    <w:rPr>
      <w:sz w:val="22"/>
      <w:lang w:val="en-GB" w:eastAsia="en-US"/>
    </w:rPr>
  </w:style>
  <w:style w:type="character" w:customStyle="1" w:styleId="Heading5Char">
    <w:name w:val="Heading 5 Char"/>
    <w:basedOn w:val="DefaultParagraphFont"/>
    <w:link w:val="Heading5"/>
    <w:rsid w:val="000F5A53"/>
    <w:rPr>
      <w:sz w:val="22"/>
      <w:lang w:val="en-GB" w:eastAsia="en-US"/>
    </w:rPr>
  </w:style>
  <w:style w:type="character" w:customStyle="1" w:styleId="Heading6Char">
    <w:name w:val="Heading 6 Char"/>
    <w:basedOn w:val="DefaultParagraphFont"/>
    <w:link w:val="Heading6"/>
    <w:rsid w:val="000F5A53"/>
    <w:rPr>
      <w:sz w:val="22"/>
      <w:lang w:val="en-GB" w:eastAsia="en-US"/>
    </w:rPr>
  </w:style>
  <w:style w:type="character" w:customStyle="1" w:styleId="BodyTextFirstIndentChar">
    <w:name w:val="Body Text First Indent Char"/>
    <w:basedOn w:val="BodyTextChar"/>
    <w:link w:val="BodyTextFirstIndent"/>
    <w:uiPriority w:val="6"/>
    <w:rsid w:val="000F5A53"/>
    <w:rPr>
      <w:sz w:val="22"/>
      <w:szCs w:val="24"/>
      <w:lang w:val="en-GB" w:eastAsia="en-US"/>
    </w:rPr>
  </w:style>
  <w:style w:type="character" w:customStyle="1" w:styleId="Heading1Char">
    <w:name w:val="Heading 1 Char"/>
    <w:aliases w:val="Heading 1 Alt+1 Char,rubrik - Alt+1 Char"/>
    <w:basedOn w:val="DefaultParagraphFont"/>
    <w:link w:val="Heading1"/>
    <w:rsid w:val="000F5A53"/>
    <w:rPr>
      <w:rFonts w:ascii="Arial" w:hAnsi="Arial"/>
      <w:b/>
      <w:sz w:val="22"/>
      <w:lang w:val="en-GB" w:eastAsia="en-US"/>
    </w:rPr>
  </w:style>
  <w:style w:type="paragraph" w:customStyle="1" w:styleId="Doldtext">
    <w:name w:val="Doldtext"/>
    <w:basedOn w:val="Normal"/>
    <w:next w:val="Normal"/>
    <w:rsid w:val="000F5A53"/>
    <w:pPr>
      <w:spacing w:line="260" w:lineRule="atLeast"/>
    </w:pPr>
    <w:rPr>
      <w:rFonts w:eastAsia="Calibri"/>
      <w:b/>
      <w:vanish/>
      <w:color w:val="FF0000"/>
      <w:sz w:val="24"/>
      <w:szCs w:val="22"/>
    </w:rPr>
  </w:style>
  <w:style w:type="paragraph" w:styleId="Revision">
    <w:name w:val="Revision"/>
    <w:hidden/>
    <w:uiPriority w:val="99"/>
    <w:semiHidden/>
    <w:rsid w:val="000F5A53"/>
    <w:rPr>
      <w:sz w:val="22"/>
      <w:szCs w:val="24"/>
      <w:lang w:val="sv-SE" w:eastAsia="en-US"/>
    </w:rPr>
  </w:style>
  <w:style w:type="paragraph" w:styleId="BodyTextIndent">
    <w:name w:val="Body Text Indent"/>
    <w:basedOn w:val="Normal"/>
    <w:link w:val="BodyTextIndentChar"/>
    <w:unhideWhenUsed/>
    <w:rsid w:val="000F5A53"/>
    <w:pPr>
      <w:spacing w:after="120"/>
      <w:ind w:left="283"/>
    </w:pPr>
  </w:style>
  <w:style w:type="character" w:customStyle="1" w:styleId="BodyTextIndentChar">
    <w:name w:val="Body Text Indent Char"/>
    <w:basedOn w:val="DefaultParagraphFont"/>
    <w:link w:val="BodyTextIndent"/>
    <w:rsid w:val="000F5A53"/>
    <w:rPr>
      <w:sz w:val="22"/>
      <w:szCs w:val="24"/>
      <w:lang w:val="sv-SE" w:eastAsia="en-US"/>
    </w:rPr>
  </w:style>
  <w:style w:type="paragraph" w:styleId="BodyTextIndent2">
    <w:name w:val="Body Text Indent 2"/>
    <w:basedOn w:val="Normal"/>
    <w:link w:val="BodyTextIndent2Char"/>
    <w:unhideWhenUsed/>
    <w:rsid w:val="000F5A53"/>
    <w:pPr>
      <w:spacing w:after="120" w:line="480" w:lineRule="auto"/>
      <w:ind w:left="283"/>
    </w:pPr>
  </w:style>
  <w:style w:type="character" w:customStyle="1" w:styleId="BodyTextIndent2Char">
    <w:name w:val="Body Text Indent 2 Char"/>
    <w:basedOn w:val="DefaultParagraphFont"/>
    <w:link w:val="BodyTextIndent2"/>
    <w:rsid w:val="000F5A53"/>
    <w:rPr>
      <w:sz w:val="22"/>
      <w:szCs w:val="24"/>
      <w:lang w:val="sv-SE" w:eastAsia="en-US"/>
    </w:rPr>
  </w:style>
  <w:style w:type="paragraph" w:styleId="BodyTextIndent3">
    <w:name w:val="Body Text Indent 3"/>
    <w:basedOn w:val="Normal"/>
    <w:link w:val="BodyTextIndent3Char"/>
    <w:unhideWhenUsed/>
    <w:rsid w:val="000F5A53"/>
    <w:pPr>
      <w:spacing w:after="120"/>
      <w:ind w:left="283"/>
    </w:pPr>
    <w:rPr>
      <w:sz w:val="16"/>
      <w:szCs w:val="16"/>
    </w:rPr>
  </w:style>
  <w:style w:type="character" w:customStyle="1" w:styleId="BodyTextIndent3Char">
    <w:name w:val="Body Text Indent 3 Char"/>
    <w:basedOn w:val="DefaultParagraphFont"/>
    <w:link w:val="BodyTextIndent3"/>
    <w:rsid w:val="000F5A53"/>
    <w:rPr>
      <w:sz w:val="16"/>
      <w:szCs w:val="16"/>
      <w:lang w:val="sv-SE" w:eastAsia="en-US"/>
    </w:rPr>
  </w:style>
  <w:style w:type="paragraph" w:styleId="Title">
    <w:name w:val="Title"/>
    <w:basedOn w:val="Normal"/>
    <w:link w:val="TitleChar"/>
    <w:qFormat/>
    <w:rsid w:val="000F5A53"/>
    <w:pPr>
      <w:jc w:val="center"/>
    </w:pPr>
    <w:rPr>
      <w:rFonts w:eastAsia="Times New Roman"/>
      <w:b/>
      <w:sz w:val="28"/>
      <w:szCs w:val="20"/>
      <w:lang w:eastAsia="zh-CN"/>
    </w:rPr>
  </w:style>
  <w:style w:type="character" w:customStyle="1" w:styleId="TitleChar">
    <w:name w:val="Title Char"/>
    <w:basedOn w:val="DefaultParagraphFont"/>
    <w:link w:val="Title"/>
    <w:rsid w:val="000F5A53"/>
    <w:rPr>
      <w:rFonts w:eastAsia="Times New Roman"/>
      <w:b/>
      <w:sz w:val="28"/>
      <w:lang w:val="sv-SE" w:eastAsia="zh-CN"/>
    </w:rPr>
  </w:style>
  <w:style w:type="paragraph" w:customStyle="1" w:styleId="nRubrik1">
    <w:name w:val="nRubrik 1"/>
    <w:basedOn w:val="Normal"/>
    <w:next w:val="Normal"/>
    <w:rsid w:val="000F5A53"/>
    <w:pPr>
      <w:keepNext/>
      <w:numPr>
        <w:numId w:val="7"/>
      </w:numPr>
      <w:spacing w:before="240" w:after="60"/>
    </w:pPr>
    <w:rPr>
      <w:rFonts w:ascii="Arial" w:eastAsia="Times New Roman" w:hAnsi="Arial" w:cs="Arial"/>
      <w:b/>
      <w:noProof/>
      <w:sz w:val="26"/>
      <w:szCs w:val="26"/>
      <w:lang w:eastAsia="zh-CN"/>
    </w:rPr>
  </w:style>
  <w:style w:type="paragraph" w:customStyle="1" w:styleId="nRubrik2">
    <w:name w:val="nRubrik 2"/>
    <w:basedOn w:val="Normal"/>
    <w:next w:val="Normal"/>
    <w:rsid w:val="000F5A53"/>
    <w:pPr>
      <w:keepNext/>
      <w:numPr>
        <w:ilvl w:val="1"/>
        <w:numId w:val="7"/>
      </w:numPr>
      <w:suppressAutoHyphens/>
      <w:spacing w:before="120" w:after="60"/>
    </w:pPr>
    <w:rPr>
      <w:rFonts w:ascii="Arial" w:eastAsia="Times New Roman" w:hAnsi="Arial" w:cs="Arial"/>
      <w:b/>
      <w:noProof/>
      <w:szCs w:val="20"/>
      <w:lang w:eastAsia="zh-CN"/>
    </w:rPr>
  </w:style>
  <w:style w:type="paragraph" w:customStyle="1" w:styleId="nRubrik3">
    <w:name w:val="nRubrik 3"/>
    <w:basedOn w:val="Normal"/>
    <w:next w:val="Normal"/>
    <w:rsid w:val="000F5A53"/>
    <w:pPr>
      <w:keepNext/>
      <w:numPr>
        <w:ilvl w:val="2"/>
        <w:numId w:val="7"/>
      </w:numPr>
      <w:suppressAutoHyphens/>
      <w:spacing w:before="120" w:after="60"/>
    </w:pPr>
    <w:rPr>
      <w:rFonts w:ascii="Arial" w:eastAsia="Times New Roman" w:hAnsi="Arial" w:cs="Arial"/>
      <w:i/>
      <w:noProof/>
      <w:szCs w:val="20"/>
      <w:lang w:eastAsia="zh-CN"/>
    </w:rPr>
  </w:style>
  <w:style w:type="paragraph" w:customStyle="1" w:styleId="nRubrik4">
    <w:name w:val="nRubrik 4"/>
    <w:basedOn w:val="Normal"/>
    <w:next w:val="Normal"/>
    <w:rsid w:val="000F5A53"/>
    <w:pPr>
      <w:keepNext/>
      <w:numPr>
        <w:ilvl w:val="3"/>
        <w:numId w:val="7"/>
      </w:numPr>
      <w:suppressAutoHyphens/>
      <w:spacing w:before="120" w:after="60"/>
    </w:pPr>
    <w:rPr>
      <w:rFonts w:ascii="Arial" w:eastAsia="Times New Roman" w:hAnsi="Arial" w:cs="Arial"/>
      <w:b/>
      <w:noProof/>
      <w:szCs w:val="20"/>
      <w:lang w:eastAsia="zh-CN"/>
    </w:rPr>
  </w:style>
  <w:style w:type="paragraph" w:customStyle="1" w:styleId="Text">
    <w:name w:val="Text"/>
    <w:basedOn w:val="Normal"/>
    <w:link w:val="TextChar"/>
    <w:rsid w:val="000F5A53"/>
    <w:pPr>
      <w:spacing w:after="240"/>
    </w:pPr>
    <w:rPr>
      <w:rFonts w:eastAsia="Times New Roman"/>
      <w:sz w:val="24"/>
      <w:szCs w:val="20"/>
    </w:rPr>
  </w:style>
  <w:style w:type="paragraph" w:customStyle="1" w:styleId="Default">
    <w:name w:val="Default"/>
    <w:link w:val="DefaultChar"/>
    <w:rsid w:val="000F5A53"/>
    <w:pPr>
      <w:autoSpaceDE w:val="0"/>
      <w:autoSpaceDN w:val="0"/>
      <w:adjustRightInd w:val="0"/>
    </w:pPr>
    <w:rPr>
      <w:rFonts w:eastAsia="Times New Roman"/>
      <w:color w:val="000000"/>
      <w:sz w:val="24"/>
      <w:szCs w:val="24"/>
      <w:lang w:val="sv-SE" w:eastAsia="sv-SE"/>
    </w:rPr>
  </w:style>
  <w:style w:type="character" w:customStyle="1" w:styleId="DefaultChar">
    <w:name w:val="Default Char"/>
    <w:link w:val="Default"/>
    <w:rsid w:val="000F5A53"/>
    <w:rPr>
      <w:rFonts w:eastAsia="Times New Roman"/>
      <w:color w:val="000000"/>
      <w:sz w:val="24"/>
      <w:szCs w:val="24"/>
      <w:lang w:val="sv-SE" w:eastAsia="sv-SE"/>
    </w:rPr>
  </w:style>
  <w:style w:type="paragraph" w:customStyle="1" w:styleId="Rubrik0">
    <w:name w:val="Rubrik 0"/>
    <w:basedOn w:val="Normal"/>
    <w:next w:val="BodyText"/>
    <w:rsid w:val="000F5A53"/>
    <w:pPr>
      <w:tabs>
        <w:tab w:val="left" w:pos="1134"/>
        <w:tab w:val="left" w:pos="1984"/>
        <w:tab w:val="left" w:pos="2835"/>
        <w:tab w:val="left" w:pos="4819"/>
        <w:tab w:val="left" w:pos="7937"/>
      </w:tabs>
      <w:spacing w:before="140"/>
    </w:pPr>
    <w:rPr>
      <w:rFonts w:eastAsia="Times New Roman"/>
      <w:b/>
      <w:bCs/>
      <w:kern w:val="32"/>
      <w:sz w:val="36"/>
      <w:lang w:eastAsia="sv-SE"/>
    </w:rPr>
  </w:style>
  <w:style w:type="character" w:customStyle="1" w:styleId="TextChar">
    <w:name w:val="Text Char"/>
    <w:link w:val="Text"/>
    <w:locked/>
    <w:rsid w:val="000F5A53"/>
    <w:rPr>
      <w:rFonts w:eastAsia="Times New Roman"/>
      <w:sz w:val="24"/>
      <w:lang w:val="sv-SE" w:eastAsia="en-US"/>
    </w:rPr>
  </w:style>
  <w:style w:type="table" w:customStyle="1" w:styleId="TableGrid17">
    <w:name w:val="Table Grid17"/>
    <w:basedOn w:val="TableNormal"/>
    <w:next w:val="TableGrid"/>
    <w:rsid w:val="000F5A53"/>
    <w:rPr>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F5A53"/>
    <w:pPr>
      <w:spacing w:after="240" w:line="280" w:lineRule="exact"/>
      <w:ind w:left="1134"/>
    </w:pPr>
    <w:rPr>
      <w:rFonts w:eastAsia="Times New Roman"/>
      <w:szCs w:val="20"/>
      <w:lang w:val="en-GB"/>
    </w:rPr>
  </w:style>
  <w:style w:type="paragraph" w:styleId="Caption">
    <w:name w:val="caption"/>
    <w:basedOn w:val="Normal"/>
    <w:next w:val="Normal"/>
    <w:link w:val="CaptionChar"/>
    <w:qFormat/>
    <w:rsid w:val="000F5A53"/>
    <w:pPr>
      <w:spacing w:after="240" w:line="280" w:lineRule="exact"/>
    </w:pPr>
    <w:rPr>
      <w:rFonts w:ascii="Arial" w:eastAsia="Times New Roman" w:hAnsi="Arial"/>
      <w:b/>
      <w:sz w:val="24"/>
    </w:rPr>
  </w:style>
  <w:style w:type="paragraph" w:customStyle="1" w:styleId="NormalABC">
    <w:name w:val="Normal ABC"/>
    <w:rsid w:val="000F5A53"/>
    <w:pPr>
      <w:numPr>
        <w:numId w:val="8"/>
      </w:numPr>
      <w:spacing w:after="240" w:line="280" w:lineRule="exact"/>
    </w:pPr>
    <w:rPr>
      <w:rFonts w:eastAsia="Times New Roman"/>
      <w:sz w:val="22"/>
      <w:lang w:val="sv-SE" w:eastAsia="sv-SE"/>
    </w:rPr>
  </w:style>
  <w:style w:type="paragraph" w:customStyle="1" w:styleId="BakerInledning">
    <w:name w:val="BakerInledning"/>
    <w:next w:val="Normal"/>
    <w:rsid w:val="000F5A53"/>
    <w:pPr>
      <w:tabs>
        <w:tab w:val="left" w:pos="2466"/>
      </w:tabs>
      <w:spacing w:after="240"/>
      <w:ind w:left="2466" w:hanging="2466"/>
    </w:pPr>
    <w:rPr>
      <w:rFonts w:ascii="Arial" w:eastAsia="Times New Roman" w:hAnsi="Arial"/>
      <w:sz w:val="24"/>
      <w:lang w:val="en-GB" w:eastAsia="sv-SE"/>
    </w:rPr>
  </w:style>
  <w:style w:type="paragraph" w:customStyle="1" w:styleId="NormalDefinitions">
    <w:name w:val="Normal Definitions"/>
    <w:basedOn w:val="Normal"/>
    <w:rsid w:val="000F5A53"/>
    <w:pPr>
      <w:tabs>
        <w:tab w:val="left" w:pos="3686"/>
      </w:tabs>
      <w:spacing w:after="240" w:line="280" w:lineRule="exact"/>
      <w:ind w:left="3686" w:hanging="3686"/>
    </w:pPr>
    <w:rPr>
      <w:rFonts w:eastAsia="Times New Roman"/>
      <w:sz w:val="24"/>
      <w:lang w:val="en-GB"/>
    </w:rPr>
  </w:style>
  <w:style w:type="paragraph" w:customStyle="1" w:styleId="Heading3TNR">
    <w:name w:val="Heading 3 TNR"/>
    <w:basedOn w:val="Heading3"/>
    <w:next w:val="NormalIndent"/>
    <w:rsid w:val="000F5A53"/>
    <w:pPr>
      <w:numPr>
        <w:ilvl w:val="0"/>
        <w:numId w:val="0"/>
      </w:numPr>
      <w:tabs>
        <w:tab w:val="num" w:pos="1134"/>
      </w:tabs>
      <w:spacing w:before="360" w:after="240" w:line="280" w:lineRule="exact"/>
      <w:ind w:left="1134" w:hanging="1134"/>
    </w:pPr>
    <w:rPr>
      <w:rFonts w:eastAsia="Times New Roman"/>
      <w:bCs/>
      <w:szCs w:val="26"/>
    </w:rPr>
  </w:style>
  <w:style w:type="paragraph" w:customStyle="1" w:styleId="Heading4TNR">
    <w:name w:val="Heading 4 TNR"/>
    <w:basedOn w:val="Heading4"/>
    <w:next w:val="NormalIndent"/>
    <w:rsid w:val="000F5A53"/>
    <w:pPr>
      <w:numPr>
        <w:numId w:val="0"/>
      </w:numPr>
      <w:tabs>
        <w:tab w:val="num" w:pos="1134"/>
        <w:tab w:val="num" w:pos="1418"/>
      </w:tabs>
      <w:spacing w:before="360" w:after="240" w:line="280" w:lineRule="exact"/>
      <w:ind w:left="1134" w:hanging="1134"/>
    </w:pPr>
    <w:rPr>
      <w:rFonts w:eastAsia="Times New Roman"/>
      <w:bCs/>
      <w:iCs/>
      <w:szCs w:val="28"/>
    </w:rPr>
  </w:style>
  <w:style w:type="paragraph" w:customStyle="1" w:styleId="Kommentarsmne1">
    <w:name w:val="Kommentarsämne1"/>
    <w:basedOn w:val="CommentText"/>
    <w:next w:val="CommentText"/>
    <w:rsid w:val="000F5A53"/>
    <w:pPr>
      <w:spacing w:after="240" w:line="280" w:lineRule="exact"/>
    </w:pPr>
    <w:rPr>
      <w:rFonts w:eastAsia="Times New Roman"/>
      <w:b/>
      <w:bCs/>
      <w:lang w:val="en-GB"/>
    </w:rPr>
  </w:style>
  <w:style w:type="paragraph" w:customStyle="1" w:styleId="Ballongtext1">
    <w:name w:val="Ballongtext1"/>
    <w:basedOn w:val="Normal"/>
    <w:rsid w:val="000F5A53"/>
    <w:pPr>
      <w:spacing w:after="240" w:line="280" w:lineRule="exact"/>
    </w:pPr>
    <w:rPr>
      <w:rFonts w:ascii="Tahoma" w:eastAsia="Times New Roman" w:hAnsi="Tahoma" w:cs="Tahoma"/>
      <w:sz w:val="16"/>
      <w:szCs w:val="16"/>
      <w:lang w:val="en-GB"/>
    </w:rPr>
  </w:style>
  <w:style w:type="paragraph" w:customStyle="1" w:styleId="Heading2TNR">
    <w:name w:val="Heading 2 TNR"/>
    <w:basedOn w:val="Heading2"/>
    <w:rsid w:val="000F5A53"/>
    <w:pPr>
      <w:keepNext w:val="0"/>
      <w:numPr>
        <w:numId w:val="0"/>
      </w:numPr>
      <w:tabs>
        <w:tab w:val="num" w:pos="709"/>
        <w:tab w:val="num" w:pos="1134"/>
      </w:tabs>
      <w:spacing w:before="360" w:after="240" w:line="280" w:lineRule="exact"/>
      <w:ind w:left="1134" w:hanging="1134"/>
    </w:pPr>
    <w:rPr>
      <w:rFonts w:ascii="Times New Roman" w:eastAsia="Times New Roman" w:hAnsi="Times New Roman" w:cs="Arial"/>
      <w:b w:val="0"/>
      <w:szCs w:val="28"/>
    </w:rPr>
  </w:style>
  <w:style w:type="paragraph" w:styleId="BodyText2">
    <w:name w:val="Body Text 2"/>
    <w:basedOn w:val="Normal"/>
    <w:link w:val="BodyText2Char"/>
    <w:qFormat/>
    <w:rsid w:val="000F5A53"/>
    <w:pPr>
      <w:tabs>
        <w:tab w:val="left" w:pos="0"/>
        <w:tab w:val="left" w:pos="709"/>
        <w:tab w:val="left" w:pos="1276"/>
        <w:tab w:val="left" w:pos="2172"/>
        <w:tab w:val="left" w:pos="2892"/>
        <w:tab w:val="left" w:pos="3612"/>
        <w:tab w:val="left" w:pos="4332"/>
        <w:tab w:val="left" w:pos="5052"/>
        <w:tab w:val="left" w:pos="5772"/>
        <w:tab w:val="left" w:pos="6492"/>
        <w:tab w:val="left" w:pos="7212"/>
        <w:tab w:val="left" w:pos="7932"/>
        <w:tab w:val="left" w:pos="8640"/>
        <w:tab w:val="left" w:pos="8930"/>
        <w:tab w:val="left" w:pos="9122"/>
      </w:tabs>
    </w:pPr>
    <w:rPr>
      <w:rFonts w:ascii="Bookman Old Style" w:eastAsia="Times New Roman" w:hAnsi="Bookman Old Style"/>
      <w:szCs w:val="20"/>
      <w:lang w:val="en-GB"/>
    </w:rPr>
  </w:style>
  <w:style w:type="character" w:customStyle="1" w:styleId="BodyText2Char">
    <w:name w:val="Body Text 2 Char"/>
    <w:basedOn w:val="DefaultParagraphFont"/>
    <w:link w:val="BodyText2"/>
    <w:rsid w:val="000F5A53"/>
    <w:rPr>
      <w:rFonts w:ascii="Bookman Old Style" w:eastAsia="Times New Roman" w:hAnsi="Bookman Old Style"/>
      <w:sz w:val="22"/>
      <w:lang w:val="en-GB" w:eastAsia="en-US"/>
    </w:rPr>
  </w:style>
  <w:style w:type="paragraph" w:customStyle="1" w:styleId="Body">
    <w:name w:val="Body"/>
    <w:basedOn w:val="Normal"/>
    <w:rsid w:val="000F5A53"/>
    <w:pPr>
      <w:spacing w:after="140" w:line="290" w:lineRule="auto"/>
      <w:jc w:val="both"/>
    </w:pPr>
    <w:rPr>
      <w:rFonts w:ascii="Arial" w:eastAsia="Times New Roman" w:hAnsi="Arial"/>
      <w:kern w:val="20"/>
      <w:sz w:val="20"/>
      <w:szCs w:val="20"/>
    </w:rPr>
  </w:style>
  <w:style w:type="paragraph" w:customStyle="1" w:styleId="Body1">
    <w:name w:val="Body 1"/>
    <w:basedOn w:val="Body"/>
    <w:rsid w:val="000F5A53"/>
    <w:pPr>
      <w:tabs>
        <w:tab w:val="left" w:pos="680"/>
      </w:tabs>
      <w:ind w:left="680"/>
    </w:pPr>
  </w:style>
  <w:style w:type="paragraph" w:customStyle="1" w:styleId="Body2">
    <w:name w:val="Body 2"/>
    <w:basedOn w:val="Body"/>
    <w:rsid w:val="000F5A53"/>
    <w:pPr>
      <w:tabs>
        <w:tab w:val="left" w:pos="680"/>
      </w:tabs>
      <w:ind w:left="680"/>
    </w:pPr>
  </w:style>
  <w:style w:type="paragraph" w:customStyle="1" w:styleId="Body3">
    <w:name w:val="Body 3"/>
    <w:basedOn w:val="Body"/>
    <w:rsid w:val="000F5A53"/>
    <w:pPr>
      <w:tabs>
        <w:tab w:val="left" w:pos="1361"/>
      </w:tabs>
      <w:ind w:left="1361"/>
    </w:pPr>
  </w:style>
  <w:style w:type="paragraph" w:customStyle="1" w:styleId="Level1">
    <w:name w:val="Level 1"/>
    <w:basedOn w:val="Normal"/>
    <w:next w:val="Body1"/>
    <w:rsid w:val="000F5A53"/>
    <w:pPr>
      <w:keepNext/>
      <w:numPr>
        <w:numId w:val="9"/>
      </w:numPr>
      <w:spacing w:before="140" w:after="140" w:line="290" w:lineRule="auto"/>
      <w:jc w:val="both"/>
      <w:outlineLvl w:val="0"/>
    </w:pPr>
    <w:rPr>
      <w:rFonts w:ascii="Arial" w:eastAsia="Times New Roman" w:hAnsi="Arial"/>
      <w:b/>
      <w:kern w:val="20"/>
      <w:szCs w:val="20"/>
    </w:rPr>
  </w:style>
  <w:style w:type="paragraph" w:customStyle="1" w:styleId="Level2">
    <w:name w:val="Level 2"/>
    <w:basedOn w:val="Normal"/>
    <w:rsid w:val="000F5A53"/>
    <w:pPr>
      <w:numPr>
        <w:ilvl w:val="1"/>
        <w:numId w:val="9"/>
      </w:numPr>
      <w:spacing w:after="140" w:line="290" w:lineRule="auto"/>
      <w:jc w:val="both"/>
    </w:pPr>
    <w:rPr>
      <w:rFonts w:ascii="Arial" w:eastAsia="Times New Roman" w:hAnsi="Arial"/>
      <w:kern w:val="20"/>
      <w:sz w:val="20"/>
      <w:szCs w:val="20"/>
    </w:rPr>
  </w:style>
  <w:style w:type="paragraph" w:customStyle="1" w:styleId="Level3">
    <w:name w:val="Level 3"/>
    <w:basedOn w:val="Normal"/>
    <w:rsid w:val="000F5A53"/>
    <w:pPr>
      <w:numPr>
        <w:ilvl w:val="2"/>
        <w:numId w:val="9"/>
      </w:numPr>
      <w:spacing w:after="140" w:line="290" w:lineRule="auto"/>
      <w:jc w:val="both"/>
    </w:pPr>
    <w:rPr>
      <w:rFonts w:ascii="Arial" w:eastAsia="Times New Roman" w:hAnsi="Arial"/>
      <w:kern w:val="20"/>
      <w:sz w:val="20"/>
      <w:szCs w:val="20"/>
    </w:rPr>
  </w:style>
  <w:style w:type="paragraph" w:customStyle="1" w:styleId="Level4">
    <w:name w:val="Level 4"/>
    <w:basedOn w:val="Normal"/>
    <w:rsid w:val="000F5A53"/>
    <w:pPr>
      <w:numPr>
        <w:ilvl w:val="3"/>
        <w:numId w:val="9"/>
      </w:numPr>
      <w:spacing w:after="140" w:line="290" w:lineRule="auto"/>
      <w:jc w:val="both"/>
    </w:pPr>
    <w:rPr>
      <w:rFonts w:ascii="Arial" w:eastAsia="Times New Roman" w:hAnsi="Arial"/>
      <w:kern w:val="20"/>
      <w:sz w:val="20"/>
      <w:szCs w:val="20"/>
    </w:rPr>
  </w:style>
  <w:style w:type="paragraph" w:customStyle="1" w:styleId="Level5">
    <w:name w:val="Level 5"/>
    <w:basedOn w:val="Normal"/>
    <w:rsid w:val="000F5A53"/>
    <w:pPr>
      <w:numPr>
        <w:ilvl w:val="4"/>
        <w:numId w:val="9"/>
      </w:numPr>
      <w:spacing w:after="140" w:line="290" w:lineRule="auto"/>
      <w:jc w:val="both"/>
    </w:pPr>
    <w:rPr>
      <w:rFonts w:ascii="Arial" w:eastAsia="Times New Roman" w:hAnsi="Arial"/>
      <w:kern w:val="20"/>
      <w:sz w:val="20"/>
      <w:szCs w:val="20"/>
    </w:rPr>
  </w:style>
  <w:style w:type="paragraph" w:customStyle="1" w:styleId="Level6">
    <w:name w:val="Level 6"/>
    <w:basedOn w:val="Normal"/>
    <w:rsid w:val="000F5A53"/>
    <w:pPr>
      <w:numPr>
        <w:ilvl w:val="5"/>
        <w:numId w:val="9"/>
      </w:numPr>
      <w:spacing w:after="140" w:line="290" w:lineRule="auto"/>
      <w:ind w:left="3288" w:hanging="680"/>
      <w:jc w:val="both"/>
    </w:pPr>
    <w:rPr>
      <w:rFonts w:ascii="Arial" w:eastAsia="Times New Roman" w:hAnsi="Arial"/>
      <w:kern w:val="20"/>
      <w:sz w:val="20"/>
      <w:szCs w:val="20"/>
    </w:rPr>
  </w:style>
  <w:style w:type="paragraph" w:customStyle="1" w:styleId="Recitals">
    <w:name w:val="Recitals"/>
    <w:basedOn w:val="Normal"/>
    <w:rsid w:val="000F5A53"/>
    <w:pPr>
      <w:numPr>
        <w:numId w:val="11"/>
      </w:numPr>
      <w:spacing w:after="140" w:line="290" w:lineRule="auto"/>
      <w:jc w:val="both"/>
    </w:pPr>
    <w:rPr>
      <w:rFonts w:ascii="Arial" w:eastAsia="Times New Roman" w:hAnsi="Arial"/>
      <w:kern w:val="20"/>
      <w:sz w:val="20"/>
      <w:szCs w:val="20"/>
    </w:rPr>
  </w:style>
  <w:style w:type="paragraph" w:customStyle="1" w:styleId="Parties">
    <w:name w:val="Parties"/>
    <w:basedOn w:val="Normal"/>
    <w:rsid w:val="000F5A53"/>
    <w:pPr>
      <w:numPr>
        <w:numId w:val="10"/>
      </w:numPr>
      <w:spacing w:after="140" w:line="290" w:lineRule="auto"/>
      <w:jc w:val="both"/>
    </w:pPr>
    <w:rPr>
      <w:rFonts w:ascii="Arial" w:eastAsia="Times New Roman" w:hAnsi="Arial"/>
      <w:kern w:val="20"/>
      <w:sz w:val="20"/>
      <w:szCs w:val="20"/>
    </w:rPr>
  </w:style>
  <w:style w:type="paragraph" w:customStyle="1" w:styleId="Normal1">
    <w:name w:val="Normal 1"/>
    <w:basedOn w:val="Normal"/>
    <w:rsid w:val="000F5A53"/>
    <w:pPr>
      <w:spacing w:after="240" w:line="280" w:lineRule="exact"/>
    </w:pPr>
    <w:rPr>
      <w:rFonts w:eastAsia="Times New Roman"/>
      <w:szCs w:val="22"/>
      <w:lang w:val="en-GB"/>
    </w:rPr>
  </w:style>
  <w:style w:type="paragraph" w:styleId="NormalWeb">
    <w:name w:val="Normal (Web)"/>
    <w:basedOn w:val="Normal"/>
    <w:rsid w:val="000F5A53"/>
    <w:rPr>
      <w:sz w:val="24"/>
    </w:rPr>
  </w:style>
  <w:style w:type="character" w:customStyle="1" w:styleId="BodyTextChar1">
    <w:name w:val="Body Text Char1"/>
    <w:basedOn w:val="DefaultParagraphFont"/>
    <w:rsid w:val="000F5A53"/>
    <w:rPr>
      <w:sz w:val="24"/>
    </w:rPr>
  </w:style>
  <w:style w:type="character" w:customStyle="1" w:styleId="SubtleEmphasis1">
    <w:name w:val="Subtle Emphasis1"/>
    <w:basedOn w:val="DefaultParagraphFont"/>
    <w:uiPriority w:val="19"/>
    <w:rsid w:val="000F5A53"/>
    <w:rPr>
      <w:i/>
      <w:iCs/>
      <w:color w:val="AFAFAF"/>
    </w:rPr>
  </w:style>
  <w:style w:type="character" w:customStyle="1" w:styleId="SubtleReference1">
    <w:name w:val="Subtle Reference1"/>
    <w:basedOn w:val="DefaultParagraphFont"/>
    <w:uiPriority w:val="31"/>
    <w:rsid w:val="000F5A53"/>
    <w:rPr>
      <w:smallCaps/>
      <w:color w:val="EBB700"/>
      <w:u w:val="single"/>
    </w:rPr>
  </w:style>
  <w:style w:type="paragraph" w:customStyle="1" w:styleId="NoSpacing1">
    <w:name w:val="No Spacing1"/>
    <w:next w:val="NoSpacing"/>
    <w:uiPriority w:val="6"/>
    <w:rsid w:val="000F5A53"/>
    <w:pPr>
      <w:tabs>
        <w:tab w:val="left" w:pos="709"/>
        <w:tab w:val="left" w:pos="1418"/>
        <w:tab w:val="left" w:pos="2126"/>
        <w:tab w:val="left" w:pos="2835"/>
        <w:tab w:val="right" w:pos="7876"/>
      </w:tabs>
      <w:spacing w:after="200" w:line="2" w:lineRule="auto"/>
    </w:pPr>
    <w:rPr>
      <w:rFonts w:eastAsia="MS Mincho"/>
      <w:sz w:val="22"/>
      <w:szCs w:val="24"/>
      <w:lang w:eastAsia="en-US"/>
    </w:rPr>
  </w:style>
  <w:style w:type="character" w:customStyle="1" w:styleId="IntenseEmphasis1">
    <w:name w:val="Intense Emphasis1"/>
    <w:basedOn w:val="DefaultParagraphFont"/>
    <w:uiPriority w:val="21"/>
    <w:rsid w:val="000F5A53"/>
    <w:rPr>
      <w:b/>
      <w:bCs/>
      <w:i/>
      <w:iCs/>
      <w:color w:val="A71930"/>
    </w:rPr>
  </w:style>
  <w:style w:type="paragraph" w:customStyle="1" w:styleId="IntenseQuote1">
    <w:name w:val="Intense Quote1"/>
    <w:basedOn w:val="Normal"/>
    <w:next w:val="Normal"/>
    <w:uiPriority w:val="30"/>
    <w:rsid w:val="000F5A53"/>
    <w:pPr>
      <w:pBdr>
        <w:bottom w:val="single" w:sz="4" w:space="4" w:color="A71930"/>
      </w:pBdr>
      <w:spacing w:before="200" w:after="280"/>
      <w:ind w:left="936" w:right="936"/>
    </w:pPr>
    <w:rPr>
      <w:b/>
      <w:bCs/>
      <w:i/>
      <w:iCs/>
      <w:color w:val="A71930"/>
    </w:rPr>
  </w:style>
  <w:style w:type="paragraph" w:customStyle="1" w:styleId="Quote1">
    <w:name w:val="Quote1"/>
    <w:basedOn w:val="Normal"/>
    <w:next w:val="Normal"/>
    <w:uiPriority w:val="29"/>
    <w:rsid w:val="000F5A53"/>
    <w:rPr>
      <w:i/>
      <w:iCs/>
      <w:color w:val="5F5F5F"/>
    </w:rPr>
  </w:style>
  <w:style w:type="character" w:customStyle="1" w:styleId="IntenseReference1">
    <w:name w:val="Intense Reference1"/>
    <w:basedOn w:val="DefaultParagraphFont"/>
    <w:uiPriority w:val="32"/>
    <w:rsid w:val="000F5A53"/>
    <w:rPr>
      <w:b/>
      <w:bCs/>
      <w:smallCaps/>
      <w:color w:val="EBB700"/>
      <w:spacing w:val="5"/>
      <w:u w:val="single"/>
    </w:rPr>
  </w:style>
  <w:style w:type="paragraph" w:customStyle="1" w:styleId="Recital">
    <w:name w:val="Recital"/>
    <w:basedOn w:val="Normal"/>
    <w:uiPriority w:val="7"/>
    <w:rsid w:val="000F5A53"/>
    <w:pPr>
      <w:numPr>
        <w:numId w:val="12"/>
      </w:numPr>
      <w:spacing w:after="180" w:line="260" w:lineRule="atLeast"/>
    </w:pPr>
  </w:style>
  <w:style w:type="character" w:customStyle="1" w:styleId="DMReference">
    <w:name w:val="DMReference"/>
    <w:basedOn w:val="FooterChar"/>
    <w:semiHidden/>
    <w:rsid w:val="000F5A53"/>
    <w:rPr>
      <w:rFonts w:ascii="Arial" w:eastAsia="MS Gothic" w:hAnsi="Arial" w:cs="Arial"/>
      <w:noProof/>
      <w:sz w:val="16"/>
      <w:szCs w:val="16"/>
      <w:lang w:val="en-GB" w:eastAsia="en-US"/>
    </w:rPr>
  </w:style>
  <w:style w:type="paragraph" w:customStyle="1" w:styleId="BodyTextIndent4">
    <w:name w:val="Body Text Indent 4"/>
    <w:basedOn w:val="BodyTextIndent"/>
    <w:qFormat/>
    <w:rsid w:val="000F5A53"/>
    <w:pPr>
      <w:spacing w:after="180" w:line="260" w:lineRule="atLeast"/>
      <w:ind w:left="1418"/>
    </w:pPr>
  </w:style>
  <w:style w:type="paragraph" w:customStyle="1" w:styleId="BodyTextIndent5">
    <w:name w:val="Body Text Indent 5"/>
    <w:basedOn w:val="BodyTextIndent4"/>
    <w:qFormat/>
    <w:rsid w:val="000F5A53"/>
    <w:pPr>
      <w:ind w:left="2126"/>
    </w:pPr>
  </w:style>
  <w:style w:type="paragraph" w:customStyle="1" w:styleId="BodyTextIndent6">
    <w:name w:val="Body Text Indent 6"/>
    <w:basedOn w:val="BodyTextIndent5"/>
    <w:qFormat/>
    <w:rsid w:val="000F5A53"/>
    <w:pPr>
      <w:ind w:left="2835"/>
    </w:pPr>
  </w:style>
  <w:style w:type="table" w:customStyle="1" w:styleId="TableHorizontalShadedBlue">
    <w:name w:val="Table Horizontal Shaded Blue"/>
    <w:basedOn w:val="TableNormal"/>
    <w:rsid w:val="000F5A53"/>
    <w:rPr>
      <w:rFonts w:ascii="Arial" w:eastAsia="Times New Roman" w:hAnsi="Arial"/>
    </w:rPr>
    <w:tblPr>
      <w:tblInd w:w="113" w:type="dxa"/>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cPr>
      <w:shd w:val="clear" w:color="auto" w:fill="auto"/>
    </w:tcPr>
    <w:tblStylePr w:type="firstRow">
      <w:rPr>
        <w:b w:val="0"/>
        <w:color w:val="FFFFFF"/>
      </w:rPr>
      <w:tblPr/>
      <w:tcPr>
        <w:tcBorders>
          <w:insideV w:val="single" w:sz="4" w:space="0" w:color="FFFFFF"/>
        </w:tcBorders>
        <w:shd w:val="clear" w:color="auto" w:fill="6773B6"/>
      </w:tcPr>
    </w:tblStylePr>
  </w:style>
  <w:style w:type="paragraph" w:customStyle="1" w:styleId="TableCopy">
    <w:name w:val="Table Copy"/>
    <w:basedOn w:val="Normal"/>
    <w:link w:val="TableCopyChar"/>
    <w:uiPriority w:val="8"/>
    <w:semiHidden/>
    <w:rsid w:val="000F5A53"/>
    <w:pPr>
      <w:spacing w:before="120" w:after="120" w:line="240" w:lineRule="atLeast"/>
    </w:pPr>
    <w:rPr>
      <w:rFonts w:ascii="Arial" w:hAnsi="Arial"/>
      <w:color w:val="5F5F5F"/>
      <w:sz w:val="20"/>
      <w:szCs w:val="26"/>
      <w:lang w:eastAsia="en-AU"/>
    </w:rPr>
  </w:style>
  <w:style w:type="paragraph" w:customStyle="1" w:styleId="TableHeadings">
    <w:name w:val="Table Headings"/>
    <w:basedOn w:val="Normal"/>
    <w:uiPriority w:val="8"/>
    <w:semiHidden/>
    <w:rsid w:val="000F5A53"/>
    <w:pPr>
      <w:numPr>
        <w:numId w:val="13"/>
      </w:numPr>
      <w:tabs>
        <w:tab w:val="num" w:pos="360"/>
      </w:tabs>
      <w:spacing w:before="120" w:after="60" w:line="240" w:lineRule="atLeast"/>
    </w:pPr>
    <w:rPr>
      <w:rFonts w:ascii="Arial" w:hAnsi="Arial"/>
      <w:b/>
      <w:sz w:val="20"/>
      <w:szCs w:val="26"/>
      <w:lang w:eastAsia="en-AU"/>
    </w:rPr>
  </w:style>
  <w:style w:type="paragraph" w:customStyle="1" w:styleId="SchH70">
    <w:name w:val="SchH7"/>
    <w:basedOn w:val="Normal"/>
    <w:uiPriority w:val="6"/>
    <w:rsid w:val="000F5A53"/>
    <w:pPr>
      <w:tabs>
        <w:tab w:val="num" w:pos="3544"/>
      </w:tabs>
      <w:spacing w:after="180" w:line="260" w:lineRule="atLeast"/>
      <w:ind w:left="3544" w:hanging="709"/>
    </w:pPr>
  </w:style>
  <w:style w:type="table" w:customStyle="1" w:styleId="TableGrid1">
    <w:name w:val="Table Grid1"/>
    <w:basedOn w:val="TableNormal"/>
    <w:next w:val="TableGrid"/>
    <w:rsid w:val="000F5A53"/>
    <w:rPr>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F5A53"/>
  </w:style>
  <w:style w:type="character" w:customStyle="1" w:styleId="IntenseQuoteChar1">
    <w:name w:val="Intense Quote Char1"/>
    <w:basedOn w:val="DefaultParagraphFont"/>
    <w:rsid w:val="000F5A53"/>
    <w:rPr>
      <w:b/>
      <w:bCs/>
      <w:i/>
      <w:iCs/>
      <w:color w:val="A71930" w:themeColor="accent1"/>
      <w:sz w:val="24"/>
      <w:szCs w:val="24"/>
      <w:lang w:val="en-GB" w:eastAsia="en-US"/>
    </w:rPr>
  </w:style>
  <w:style w:type="character" w:customStyle="1" w:styleId="QuoteChar1">
    <w:name w:val="Quote Char1"/>
    <w:basedOn w:val="DefaultParagraphFont"/>
    <w:rsid w:val="000F5A53"/>
    <w:rPr>
      <w:i/>
      <w:iCs/>
      <w:color w:val="404143" w:themeColor="text1"/>
      <w:sz w:val="24"/>
      <w:szCs w:val="24"/>
      <w:lang w:val="en-GB" w:eastAsia="en-US"/>
    </w:rPr>
  </w:style>
  <w:style w:type="paragraph" w:styleId="List">
    <w:name w:val="List"/>
    <w:basedOn w:val="Normal"/>
    <w:rsid w:val="000F5A53"/>
    <w:pPr>
      <w:ind w:left="283" w:hanging="283"/>
    </w:pPr>
    <w:rPr>
      <w:rFonts w:ascii="Georgia" w:eastAsia="Times New Roman" w:hAnsi="Georgia"/>
      <w:sz w:val="20"/>
      <w:szCs w:val="20"/>
      <w:lang w:val="en-GB" w:eastAsia="en-GB"/>
    </w:rPr>
  </w:style>
  <w:style w:type="paragraph" w:customStyle="1" w:styleId="BBHeading1">
    <w:name w:val="B&amp;B Heading 1"/>
    <w:basedOn w:val="Normal"/>
    <w:next w:val="BBBodyTextIndent1"/>
    <w:rsid w:val="000F5A53"/>
    <w:pPr>
      <w:keepNext/>
      <w:numPr>
        <w:numId w:val="14"/>
      </w:numPr>
      <w:spacing w:before="120" w:after="240"/>
      <w:jc w:val="both"/>
      <w:outlineLvl w:val="0"/>
    </w:pPr>
    <w:rPr>
      <w:rFonts w:ascii="Georgia" w:eastAsia="Times New Roman" w:hAnsi="Georgia"/>
      <w:b/>
      <w:caps/>
      <w:sz w:val="20"/>
      <w:lang w:val="en-GB" w:eastAsia="en-GB"/>
    </w:rPr>
  </w:style>
  <w:style w:type="paragraph" w:customStyle="1" w:styleId="BBClause2">
    <w:name w:val="B&amp;B Clause 2"/>
    <w:basedOn w:val="BBHeading2"/>
    <w:rsid w:val="000F5A53"/>
    <w:pPr>
      <w:keepNext w:val="0"/>
    </w:pPr>
    <w:rPr>
      <w:b w:val="0"/>
    </w:rPr>
  </w:style>
  <w:style w:type="paragraph" w:customStyle="1" w:styleId="BBHeading6">
    <w:name w:val="B&amp;B Heading 6"/>
    <w:basedOn w:val="BBHeading5"/>
    <w:next w:val="BBBodyTextIndent6"/>
    <w:rsid w:val="000F5A53"/>
    <w:pPr>
      <w:numPr>
        <w:ilvl w:val="5"/>
      </w:numPr>
      <w:tabs>
        <w:tab w:val="left" w:pos="3238"/>
      </w:tabs>
      <w:outlineLvl w:val="5"/>
    </w:pPr>
  </w:style>
  <w:style w:type="paragraph" w:customStyle="1" w:styleId="BBHeading5">
    <w:name w:val="B&amp;B Heading 5"/>
    <w:basedOn w:val="BBHeading4"/>
    <w:next w:val="BBBodyTextIndent5"/>
    <w:rsid w:val="000F5A53"/>
    <w:pPr>
      <w:numPr>
        <w:ilvl w:val="4"/>
      </w:numPr>
      <w:tabs>
        <w:tab w:val="clear" w:pos="1787"/>
        <w:tab w:val="num" w:pos="2699"/>
      </w:tabs>
      <w:ind w:left="2699"/>
      <w:outlineLvl w:val="4"/>
    </w:pPr>
  </w:style>
  <w:style w:type="paragraph" w:customStyle="1" w:styleId="BBHeading4">
    <w:name w:val="B&amp;B Heading 4"/>
    <w:basedOn w:val="BBHeading3"/>
    <w:next w:val="BBBodyTextIndent4"/>
    <w:rsid w:val="000F5A53"/>
    <w:pPr>
      <w:numPr>
        <w:ilvl w:val="3"/>
      </w:numPr>
      <w:outlineLvl w:val="3"/>
    </w:pPr>
  </w:style>
  <w:style w:type="paragraph" w:customStyle="1" w:styleId="BBHeading3">
    <w:name w:val="B&amp;B Heading 3"/>
    <w:basedOn w:val="BBHeading2"/>
    <w:next w:val="BBBodyTextIndent3"/>
    <w:rsid w:val="000F5A53"/>
    <w:pPr>
      <w:numPr>
        <w:ilvl w:val="2"/>
      </w:numPr>
      <w:tabs>
        <w:tab w:val="clear" w:pos="1895"/>
        <w:tab w:val="num" w:pos="1622"/>
      </w:tabs>
      <w:ind w:left="1622"/>
      <w:outlineLvl w:val="2"/>
    </w:pPr>
  </w:style>
  <w:style w:type="paragraph" w:customStyle="1" w:styleId="BBHeading2">
    <w:name w:val="B&amp;B Heading 2"/>
    <w:basedOn w:val="BBHeading1"/>
    <w:next w:val="BBBodyTextIndent2"/>
    <w:rsid w:val="000F5A53"/>
    <w:pPr>
      <w:numPr>
        <w:ilvl w:val="1"/>
      </w:numPr>
      <w:spacing w:before="0"/>
      <w:outlineLvl w:val="1"/>
    </w:pPr>
    <w:rPr>
      <w:caps w:val="0"/>
    </w:rPr>
  </w:style>
  <w:style w:type="paragraph" w:customStyle="1" w:styleId="BBHeading7">
    <w:name w:val="B&amp;B Heading 7"/>
    <w:basedOn w:val="BBHeading6"/>
    <w:next w:val="BBBodyTextIndent7"/>
    <w:rsid w:val="000F5A53"/>
    <w:pPr>
      <w:numPr>
        <w:ilvl w:val="6"/>
      </w:numPr>
      <w:tabs>
        <w:tab w:val="left" w:pos="5398"/>
      </w:tabs>
      <w:outlineLvl w:val="6"/>
    </w:pPr>
  </w:style>
  <w:style w:type="paragraph" w:customStyle="1" w:styleId="BBHeading8">
    <w:name w:val="B&amp;B Heading 8"/>
    <w:basedOn w:val="BBHeading7"/>
    <w:next w:val="BBBodyTextIndent8"/>
    <w:rsid w:val="000F5A5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BBBodyTextIndent9"/>
    <w:rsid w:val="000F5A53"/>
    <w:pPr>
      <w:numPr>
        <w:ilvl w:val="8"/>
      </w:numPr>
      <w:tabs>
        <w:tab w:val="left" w:pos="6838"/>
      </w:tabs>
      <w:outlineLvl w:val="8"/>
    </w:pPr>
  </w:style>
  <w:style w:type="paragraph" w:customStyle="1" w:styleId="BBHeading0">
    <w:name w:val="B&amp;B Heading 0"/>
    <w:basedOn w:val="BodyText"/>
    <w:next w:val="BodyText"/>
    <w:rsid w:val="000F5A53"/>
    <w:pPr>
      <w:keepNext/>
      <w:spacing w:before="120" w:after="240" w:line="240" w:lineRule="auto"/>
    </w:pPr>
    <w:rPr>
      <w:rFonts w:ascii="Georgia" w:eastAsia="Times New Roman" w:hAnsi="Georgia"/>
      <w:b/>
      <w:caps/>
      <w:sz w:val="20"/>
      <w:lang w:eastAsia="en-GB"/>
    </w:rPr>
  </w:style>
  <w:style w:type="paragraph" w:customStyle="1" w:styleId="ListofParties">
    <w:name w:val="List of Parties"/>
    <w:basedOn w:val="Normal"/>
    <w:link w:val="ListofPartiesChar"/>
    <w:rsid w:val="000F5A53"/>
    <w:pPr>
      <w:spacing w:after="240"/>
    </w:pPr>
    <w:rPr>
      <w:rFonts w:ascii="Georgia" w:eastAsia="Times New Roman" w:hAnsi="Georgia"/>
      <w:szCs w:val="22"/>
      <w:lang w:val="en-GB" w:eastAsia="sv-SE"/>
    </w:rPr>
  </w:style>
  <w:style w:type="character" w:customStyle="1" w:styleId="ListofPartiesChar">
    <w:name w:val="List of Parties Char"/>
    <w:link w:val="ListofParties"/>
    <w:rsid w:val="000F5A53"/>
    <w:rPr>
      <w:rFonts w:ascii="Georgia" w:eastAsia="Times New Roman" w:hAnsi="Georgia"/>
      <w:sz w:val="22"/>
      <w:szCs w:val="22"/>
      <w:lang w:val="en-GB" w:eastAsia="sv-SE"/>
    </w:rPr>
  </w:style>
  <w:style w:type="paragraph" w:customStyle="1" w:styleId="Background">
    <w:name w:val="Background"/>
    <w:basedOn w:val="Normal"/>
    <w:next w:val="Normal"/>
    <w:rsid w:val="000F5A53"/>
    <w:pPr>
      <w:keepNext/>
      <w:spacing w:before="240" w:after="240"/>
      <w:ind w:left="2018" w:hanging="1009"/>
    </w:pPr>
    <w:rPr>
      <w:rFonts w:ascii="Georgia" w:eastAsia="Times New Roman" w:hAnsi="Georgia"/>
      <w:b/>
      <w:bCs/>
      <w:caps/>
      <w:szCs w:val="22"/>
      <w:lang w:val="en-GB" w:eastAsia="sv-SE"/>
    </w:rPr>
  </w:style>
  <w:style w:type="paragraph" w:customStyle="1" w:styleId="ListBACKGROUNDA">
    <w:name w:val="List BACKGROUND A."/>
    <w:rsid w:val="000F5A53"/>
    <w:pPr>
      <w:numPr>
        <w:numId w:val="15"/>
      </w:numPr>
      <w:spacing w:after="240"/>
    </w:pPr>
    <w:rPr>
      <w:rFonts w:eastAsia="Times New Roman"/>
      <w:sz w:val="22"/>
      <w:szCs w:val="22"/>
      <w:lang w:val="en-GB" w:eastAsia="sv-SE"/>
    </w:rPr>
  </w:style>
  <w:style w:type="paragraph" w:customStyle="1" w:styleId="BBBodyTextIndent2">
    <w:name w:val="B&amp;B Body Text Indent 2"/>
    <w:basedOn w:val="BBBodyTextIndent1"/>
    <w:rsid w:val="000F5A53"/>
    <w:pPr>
      <w:outlineLvl w:val="1"/>
    </w:pPr>
  </w:style>
  <w:style w:type="paragraph" w:customStyle="1" w:styleId="BBBodyTextIndent1">
    <w:name w:val="B&amp;B Body Text Indent 1"/>
    <w:basedOn w:val="BodyText"/>
    <w:rsid w:val="000F5A53"/>
    <w:pPr>
      <w:spacing w:after="240" w:line="240" w:lineRule="auto"/>
      <w:ind w:left="720"/>
      <w:jc w:val="both"/>
      <w:outlineLvl w:val="0"/>
    </w:pPr>
    <w:rPr>
      <w:rFonts w:ascii="Georgia" w:eastAsia="Times New Roman" w:hAnsi="Georgia"/>
      <w:sz w:val="20"/>
      <w:szCs w:val="20"/>
      <w:lang w:eastAsia="en-GB"/>
    </w:rPr>
  </w:style>
  <w:style w:type="paragraph" w:customStyle="1" w:styleId="BBBodyTextIndent3">
    <w:name w:val="B&amp;B Body Text Indent 3"/>
    <w:basedOn w:val="BBBodyTextIndent2"/>
    <w:rsid w:val="000F5A53"/>
    <w:pPr>
      <w:ind w:left="1622"/>
      <w:outlineLvl w:val="2"/>
    </w:pPr>
  </w:style>
  <w:style w:type="paragraph" w:customStyle="1" w:styleId="BBBodyTextIndent4">
    <w:name w:val="B&amp;B Body Text Indent 4"/>
    <w:basedOn w:val="Normal"/>
    <w:rsid w:val="000F5A53"/>
    <w:pPr>
      <w:spacing w:after="240"/>
      <w:ind w:left="2699"/>
      <w:jc w:val="both"/>
      <w:outlineLvl w:val="3"/>
    </w:pPr>
    <w:rPr>
      <w:rFonts w:ascii="Georgia" w:eastAsia="Times New Roman" w:hAnsi="Georgia"/>
      <w:sz w:val="20"/>
      <w:szCs w:val="20"/>
      <w:lang w:val="en-GB" w:eastAsia="en-GB"/>
    </w:rPr>
  </w:style>
  <w:style w:type="paragraph" w:customStyle="1" w:styleId="BBBodyTextIndent5">
    <w:name w:val="B&amp;B Body Text Indent 5"/>
    <w:basedOn w:val="BBBodyTextIndent4"/>
    <w:rsid w:val="000F5A53"/>
    <w:pPr>
      <w:outlineLvl w:val="4"/>
    </w:pPr>
  </w:style>
  <w:style w:type="paragraph" w:customStyle="1" w:styleId="BBBodyTextIndent6">
    <w:name w:val="B&amp;B Body Text Indent 6"/>
    <w:basedOn w:val="BBBodyTextIndent5"/>
    <w:rsid w:val="000F5A53"/>
    <w:pPr>
      <w:ind w:left="3238"/>
      <w:outlineLvl w:val="5"/>
    </w:pPr>
  </w:style>
  <w:style w:type="paragraph" w:customStyle="1" w:styleId="BBBodyTextIndent7">
    <w:name w:val="B&amp;B Body Text Indent 7"/>
    <w:basedOn w:val="BBBodyTextIndent6"/>
    <w:rsid w:val="000F5A53"/>
    <w:pPr>
      <w:ind w:left="3907"/>
      <w:outlineLvl w:val="6"/>
    </w:pPr>
  </w:style>
  <w:style w:type="paragraph" w:customStyle="1" w:styleId="BBBodyTextIndent8">
    <w:name w:val="B&amp;B Body Text Indent 8"/>
    <w:basedOn w:val="BBBodyTextIndent7"/>
    <w:rsid w:val="000F5A53"/>
    <w:pPr>
      <w:ind w:left="4581"/>
      <w:outlineLvl w:val="7"/>
    </w:pPr>
  </w:style>
  <w:style w:type="paragraph" w:customStyle="1" w:styleId="BBBodyTextIndent9">
    <w:name w:val="B&amp;B Body Text Indent 9"/>
    <w:basedOn w:val="BBBodyTextIndent8"/>
    <w:rsid w:val="000F5A53"/>
    <w:pPr>
      <w:ind w:left="6838"/>
      <w:outlineLvl w:val="8"/>
    </w:pPr>
  </w:style>
  <w:style w:type="paragraph" w:customStyle="1" w:styleId="BBClause1">
    <w:name w:val="B&amp;B Clause 1"/>
    <w:basedOn w:val="BBHeading1"/>
    <w:rsid w:val="000F5A53"/>
    <w:pPr>
      <w:keepNext w:val="0"/>
      <w:spacing w:before="0"/>
    </w:pPr>
    <w:rPr>
      <w:b w:val="0"/>
      <w:caps w:val="0"/>
    </w:rPr>
  </w:style>
  <w:style w:type="paragraph" w:customStyle="1" w:styleId="BBClause3">
    <w:name w:val="B&amp;B Clause 3"/>
    <w:basedOn w:val="BBHeading3"/>
    <w:rsid w:val="000F5A53"/>
    <w:pPr>
      <w:keepNext w:val="0"/>
    </w:pPr>
    <w:rPr>
      <w:b w:val="0"/>
    </w:rPr>
  </w:style>
  <w:style w:type="paragraph" w:customStyle="1" w:styleId="BBClause4">
    <w:name w:val="B&amp;B Clause 4"/>
    <w:basedOn w:val="BBHeading4"/>
    <w:rsid w:val="000F5A53"/>
    <w:pPr>
      <w:keepNext w:val="0"/>
    </w:pPr>
    <w:rPr>
      <w:b w:val="0"/>
    </w:rPr>
  </w:style>
  <w:style w:type="paragraph" w:customStyle="1" w:styleId="BBClause5">
    <w:name w:val="B&amp;B Clause 5"/>
    <w:basedOn w:val="BBHeading5"/>
    <w:rsid w:val="000F5A53"/>
    <w:pPr>
      <w:keepNext w:val="0"/>
      <w:tabs>
        <w:tab w:val="clear" w:pos="2699"/>
        <w:tab w:val="num" w:pos="1787"/>
      </w:tabs>
      <w:ind w:left="1787"/>
    </w:pPr>
    <w:rPr>
      <w:b w:val="0"/>
    </w:rPr>
  </w:style>
  <w:style w:type="paragraph" w:customStyle="1" w:styleId="BBClause6">
    <w:name w:val="B&amp;B Clause 6"/>
    <w:basedOn w:val="BBHeading6"/>
    <w:rsid w:val="000F5A53"/>
    <w:pPr>
      <w:keepNext w:val="0"/>
    </w:pPr>
    <w:rPr>
      <w:b w:val="0"/>
    </w:rPr>
  </w:style>
  <w:style w:type="paragraph" w:customStyle="1" w:styleId="BBClause7">
    <w:name w:val="B&amp;B Clause 7"/>
    <w:basedOn w:val="BBHeading7"/>
    <w:rsid w:val="000F5A53"/>
    <w:pPr>
      <w:keepNext w:val="0"/>
    </w:pPr>
    <w:rPr>
      <w:b w:val="0"/>
    </w:rPr>
  </w:style>
  <w:style w:type="paragraph" w:customStyle="1" w:styleId="BBClause8">
    <w:name w:val="B&amp;B Clause 8"/>
    <w:basedOn w:val="BBHeading8"/>
    <w:rsid w:val="000F5A53"/>
    <w:pPr>
      <w:keepNext w:val="0"/>
    </w:pPr>
    <w:rPr>
      <w:b w:val="0"/>
    </w:rPr>
  </w:style>
  <w:style w:type="paragraph" w:customStyle="1" w:styleId="BBClause9">
    <w:name w:val="B&amp;B Clause 9"/>
    <w:basedOn w:val="BBHeading9"/>
    <w:rsid w:val="000F5A53"/>
    <w:pPr>
      <w:keepNext w:val="0"/>
    </w:pPr>
    <w:rPr>
      <w:b w:val="0"/>
    </w:rPr>
  </w:style>
  <w:style w:type="paragraph" w:customStyle="1" w:styleId="BBSchedule1">
    <w:name w:val="B&amp;B Schedule 1"/>
    <w:basedOn w:val="BBScheduleHeading1"/>
    <w:rsid w:val="000F5A53"/>
    <w:pPr>
      <w:keepNext w:val="0"/>
      <w:spacing w:before="0"/>
    </w:pPr>
    <w:rPr>
      <w:b w:val="0"/>
    </w:rPr>
  </w:style>
  <w:style w:type="paragraph" w:customStyle="1" w:styleId="BBSchedule2">
    <w:name w:val="B&amp;B Schedule 2"/>
    <w:basedOn w:val="BBScheduleHeading2"/>
    <w:rsid w:val="000F5A53"/>
    <w:pPr>
      <w:keepNext w:val="0"/>
      <w:spacing w:before="0"/>
    </w:pPr>
    <w:rPr>
      <w:b w:val="0"/>
    </w:rPr>
  </w:style>
  <w:style w:type="paragraph" w:customStyle="1" w:styleId="BBSchedule3">
    <w:name w:val="B&amp;B Schedule 3"/>
    <w:basedOn w:val="BodyText"/>
    <w:rsid w:val="000F5A53"/>
    <w:pPr>
      <w:numPr>
        <w:ilvl w:val="3"/>
        <w:numId w:val="22"/>
      </w:numPr>
      <w:spacing w:after="240" w:line="240" w:lineRule="auto"/>
      <w:jc w:val="both"/>
      <w:outlineLvl w:val="2"/>
    </w:pPr>
    <w:rPr>
      <w:rFonts w:ascii="Georgia" w:eastAsia="Times New Roman" w:hAnsi="Georgia"/>
      <w:sz w:val="20"/>
      <w:szCs w:val="20"/>
      <w:lang w:eastAsia="en-GB"/>
    </w:rPr>
  </w:style>
  <w:style w:type="paragraph" w:customStyle="1" w:styleId="BBSchedule4">
    <w:name w:val="B&amp;B Schedule 4"/>
    <w:basedOn w:val="BodyText"/>
    <w:rsid w:val="000F5A53"/>
    <w:pPr>
      <w:numPr>
        <w:ilvl w:val="4"/>
        <w:numId w:val="22"/>
      </w:numPr>
      <w:spacing w:after="240" w:line="240" w:lineRule="auto"/>
      <w:jc w:val="both"/>
      <w:outlineLvl w:val="3"/>
    </w:pPr>
    <w:rPr>
      <w:rFonts w:ascii="Georgia" w:eastAsia="Times New Roman" w:hAnsi="Georgia"/>
      <w:sz w:val="20"/>
      <w:szCs w:val="20"/>
      <w:lang w:eastAsia="en-GB"/>
    </w:rPr>
  </w:style>
  <w:style w:type="paragraph" w:customStyle="1" w:styleId="BBSchedule5">
    <w:name w:val="B&amp;B Schedule 5"/>
    <w:basedOn w:val="BodyText"/>
    <w:rsid w:val="000F5A53"/>
    <w:pPr>
      <w:numPr>
        <w:ilvl w:val="5"/>
        <w:numId w:val="22"/>
      </w:numPr>
      <w:spacing w:after="240" w:line="240" w:lineRule="auto"/>
      <w:jc w:val="both"/>
      <w:outlineLvl w:val="4"/>
    </w:pPr>
    <w:rPr>
      <w:rFonts w:ascii="Georgia" w:eastAsia="Times New Roman" w:hAnsi="Georgia"/>
      <w:sz w:val="20"/>
      <w:szCs w:val="20"/>
      <w:lang w:eastAsia="en-GB"/>
    </w:rPr>
  </w:style>
  <w:style w:type="paragraph" w:customStyle="1" w:styleId="BBSchedule6">
    <w:name w:val="B&amp;B Schedule 6"/>
    <w:basedOn w:val="BodyText"/>
    <w:rsid w:val="000F5A53"/>
    <w:pPr>
      <w:numPr>
        <w:ilvl w:val="6"/>
        <w:numId w:val="22"/>
      </w:numPr>
      <w:spacing w:after="240" w:line="240" w:lineRule="auto"/>
      <w:jc w:val="both"/>
      <w:outlineLvl w:val="5"/>
    </w:pPr>
    <w:rPr>
      <w:rFonts w:ascii="Georgia" w:eastAsia="Times New Roman" w:hAnsi="Georgia"/>
      <w:sz w:val="20"/>
      <w:szCs w:val="20"/>
      <w:lang w:eastAsia="en-GB"/>
    </w:rPr>
  </w:style>
  <w:style w:type="paragraph" w:customStyle="1" w:styleId="BBSchedule7">
    <w:name w:val="B&amp;B Schedule 7"/>
    <w:basedOn w:val="BodyText"/>
    <w:rsid w:val="000F5A53"/>
    <w:pPr>
      <w:spacing w:after="240" w:line="240" w:lineRule="auto"/>
      <w:jc w:val="both"/>
    </w:pPr>
    <w:rPr>
      <w:rFonts w:ascii="Georgia" w:eastAsia="Times New Roman" w:hAnsi="Georgia"/>
      <w:sz w:val="20"/>
      <w:szCs w:val="20"/>
      <w:lang w:eastAsia="en-GB"/>
    </w:rPr>
  </w:style>
  <w:style w:type="paragraph" w:customStyle="1" w:styleId="BBSchedule8">
    <w:name w:val="B&amp;B Schedule 8"/>
    <w:basedOn w:val="BodyText"/>
    <w:rsid w:val="000F5A53"/>
    <w:pPr>
      <w:spacing w:after="240" w:line="240" w:lineRule="auto"/>
      <w:jc w:val="both"/>
    </w:pPr>
    <w:rPr>
      <w:rFonts w:ascii="Georgia" w:eastAsia="Times New Roman" w:hAnsi="Georgia"/>
      <w:sz w:val="20"/>
      <w:szCs w:val="20"/>
      <w:lang w:eastAsia="en-GB"/>
    </w:rPr>
  </w:style>
  <w:style w:type="paragraph" w:customStyle="1" w:styleId="BBSchedule9">
    <w:name w:val="B&amp;B Schedule 9"/>
    <w:basedOn w:val="BodyText"/>
    <w:rsid w:val="000F5A53"/>
    <w:pPr>
      <w:spacing w:after="240" w:line="240" w:lineRule="auto"/>
      <w:jc w:val="both"/>
    </w:pPr>
    <w:rPr>
      <w:rFonts w:ascii="Georgia" w:eastAsia="Times New Roman" w:hAnsi="Georgia"/>
      <w:sz w:val="20"/>
      <w:szCs w:val="20"/>
      <w:lang w:eastAsia="en-GB"/>
    </w:rPr>
  </w:style>
  <w:style w:type="paragraph" w:customStyle="1" w:styleId="BBScheduleSub-title">
    <w:name w:val="B&amp;B Schedule Sub-title"/>
    <w:basedOn w:val="BodyText"/>
    <w:next w:val="BodyText"/>
    <w:rsid w:val="000F5A53"/>
    <w:pPr>
      <w:spacing w:after="240" w:line="240" w:lineRule="auto"/>
      <w:jc w:val="center"/>
    </w:pPr>
    <w:rPr>
      <w:rFonts w:ascii="Georgia" w:eastAsia="Times New Roman" w:hAnsi="Georgia"/>
      <w:b/>
      <w:sz w:val="20"/>
      <w:szCs w:val="20"/>
      <w:lang w:eastAsia="en-GB"/>
    </w:rPr>
  </w:style>
  <w:style w:type="paragraph" w:customStyle="1" w:styleId="BBScheduleTitle">
    <w:name w:val="B&amp;B Schedule Title"/>
    <w:basedOn w:val="BodyText"/>
    <w:next w:val="BBScheduleSub-title"/>
    <w:rsid w:val="000F5A53"/>
    <w:pPr>
      <w:keepNext/>
      <w:pageBreakBefore/>
      <w:numPr>
        <w:numId w:val="22"/>
      </w:numPr>
      <w:spacing w:after="240" w:line="240" w:lineRule="auto"/>
      <w:jc w:val="center"/>
    </w:pPr>
    <w:rPr>
      <w:rFonts w:ascii="Georgia" w:eastAsia="Times New Roman" w:hAnsi="Georgia"/>
      <w:b/>
      <w:sz w:val="20"/>
      <w:szCs w:val="20"/>
      <w:lang w:eastAsia="en-GB"/>
    </w:rPr>
  </w:style>
  <w:style w:type="paragraph" w:styleId="EndnoteText">
    <w:name w:val="endnote text"/>
    <w:basedOn w:val="Normal"/>
    <w:link w:val="EndnoteTextChar"/>
    <w:semiHidden/>
    <w:rsid w:val="000F5A53"/>
    <w:pPr>
      <w:ind w:left="62" w:hanging="62"/>
    </w:pPr>
    <w:rPr>
      <w:rFonts w:ascii="Georgia" w:eastAsia="Times New Roman" w:hAnsi="Georgia"/>
      <w:sz w:val="16"/>
      <w:szCs w:val="20"/>
      <w:lang w:val="en-GB" w:eastAsia="en-GB"/>
    </w:rPr>
  </w:style>
  <w:style w:type="character" w:customStyle="1" w:styleId="EndnoteTextChar">
    <w:name w:val="Endnote Text Char"/>
    <w:basedOn w:val="DefaultParagraphFont"/>
    <w:link w:val="EndnoteText"/>
    <w:semiHidden/>
    <w:rsid w:val="000F5A53"/>
    <w:rPr>
      <w:rFonts w:ascii="Georgia" w:eastAsia="Times New Roman" w:hAnsi="Georgia"/>
      <w:sz w:val="16"/>
      <w:lang w:val="en-GB" w:eastAsia="en-GB"/>
    </w:rPr>
  </w:style>
  <w:style w:type="character" w:styleId="EndnoteReference">
    <w:name w:val="endnote reference"/>
    <w:semiHidden/>
    <w:rsid w:val="000F5A53"/>
    <w:rPr>
      <w:vertAlign w:val="superscript"/>
    </w:rPr>
  </w:style>
  <w:style w:type="paragraph" w:customStyle="1" w:styleId="BBFootnoteText">
    <w:name w:val="B&amp;B Footnote Text"/>
    <w:basedOn w:val="FootnoteText"/>
    <w:rsid w:val="000F5A53"/>
    <w:pPr>
      <w:ind w:left="113" w:hanging="113"/>
      <w:jc w:val="both"/>
    </w:pPr>
    <w:rPr>
      <w:rFonts w:ascii="Georgia" w:eastAsia="Times New Roman" w:hAnsi="Georgia"/>
      <w:sz w:val="16"/>
      <w:lang w:eastAsia="en-GB"/>
    </w:rPr>
  </w:style>
  <w:style w:type="paragraph" w:customStyle="1" w:styleId="BBEndnoteText">
    <w:name w:val="B&amp;B Endnote Text"/>
    <w:basedOn w:val="EndnoteText"/>
    <w:rsid w:val="000F5A53"/>
    <w:pPr>
      <w:jc w:val="both"/>
    </w:pPr>
  </w:style>
  <w:style w:type="paragraph" w:customStyle="1" w:styleId="BBHeading0Lower">
    <w:name w:val="B&amp;B Heading 0 (Lower)"/>
    <w:basedOn w:val="BBHeading0"/>
    <w:next w:val="BodyText"/>
    <w:rsid w:val="000F5A53"/>
    <w:rPr>
      <w:caps w:val="0"/>
    </w:rPr>
  </w:style>
  <w:style w:type="paragraph" w:customStyle="1" w:styleId="BBHeading1Lower">
    <w:name w:val="B&amp;B Heading 1 (Lower)"/>
    <w:basedOn w:val="BBHeading1"/>
    <w:next w:val="BBBodyTextIndent1"/>
    <w:rsid w:val="000F5A53"/>
    <w:rPr>
      <w:caps w:val="0"/>
    </w:rPr>
  </w:style>
  <w:style w:type="paragraph" w:customStyle="1" w:styleId="BBScheduleHeading1">
    <w:name w:val="B&amp;B Schedule Heading 1"/>
    <w:next w:val="BBBodyTextIndent1"/>
    <w:rsid w:val="000F5A53"/>
    <w:pPr>
      <w:keepNext/>
      <w:numPr>
        <w:ilvl w:val="1"/>
        <w:numId w:val="22"/>
      </w:numPr>
      <w:spacing w:before="120" w:after="240"/>
      <w:jc w:val="both"/>
      <w:outlineLvl w:val="0"/>
    </w:pPr>
    <w:rPr>
      <w:rFonts w:ascii="Georgia" w:eastAsia="Times New Roman" w:hAnsi="Georgia"/>
      <w:b/>
      <w:lang w:val="en-GB" w:eastAsia="en-GB"/>
    </w:rPr>
  </w:style>
  <w:style w:type="paragraph" w:customStyle="1" w:styleId="BBScheduleHeading2">
    <w:name w:val="B&amp;B Schedule Heading 2"/>
    <w:next w:val="BBBodyTextIndent2"/>
    <w:rsid w:val="000F5A53"/>
    <w:pPr>
      <w:keepNext/>
      <w:numPr>
        <w:ilvl w:val="2"/>
        <w:numId w:val="22"/>
      </w:numPr>
      <w:spacing w:before="120" w:after="240"/>
      <w:jc w:val="both"/>
      <w:outlineLvl w:val="1"/>
    </w:pPr>
    <w:rPr>
      <w:rFonts w:ascii="Georgia" w:eastAsia="Times New Roman" w:hAnsi="Georgia"/>
      <w:b/>
      <w:lang w:val="en-GB" w:eastAsia="en-GB"/>
    </w:rPr>
  </w:style>
  <w:style w:type="numbering" w:styleId="111111">
    <w:name w:val="Outline List 2"/>
    <w:basedOn w:val="NoList"/>
    <w:rsid w:val="000F5A53"/>
    <w:pPr>
      <w:numPr>
        <w:numId w:val="25"/>
      </w:numPr>
    </w:pPr>
  </w:style>
  <w:style w:type="numbering" w:styleId="1ai0">
    <w:name w:val="Outline List 1"/>
    <w:basedOn w:val="NoList"/>
    <w:rsid w:val="000F5A53"/>
    <w:pPr>
      <w:numPr>
        <w:numId w:val="23"/>
      </w:numPr>
    </w:pPr>
  </w:style>
  <w:style w:type="numbering" w:styleId="ArticleSection0">
    <w:name w:val="Outline List 3"/>
    <w:basedOn w:val="NoList"/>
    <w:rsid w:val="000F5A53"/>
    <w:pPr>
      <w:numPr>
        <w:numId w:val="24"/>
      </w:numPr>
    </w:pPr>
  </w:style>
  <w:style w:type="paragraph" w:styleId="BlockText">
    <w:name w:val="Block Text"/>
    <w:basedOn w:val="Normal"/>
    <w:rsid w:val="000F5A53"/>
    <w:pPr>
      <w:spacing w:after="120"/>
      <w:ind w:left="1440" w:right="1440"/>
    </w:pPr>
    <w:rPr>
      <w:rFonts w:ascii="Georgia" w:eastAsia="Times New Roman" w:hAnsi="Georgia"/>
      <w:sz w:val="20"/>
      <w:szCs w:val="20"/>
      <w:lang w:val="en-GB" w:eastAsia="en-GB"/>
    </w:rPr>
  </w:style>
  <w:style w:type="paragraph" w:styleId="BodyText3">
    <w:name w:val="Body Text 3"/>
    <w:basedOn w:val="Normal"/>
    <w:link w:val="BodyText3Char"/>
    <w:qFormat/>
    <w:rsid w:val="000F5A53"/>
    <w:pPr>
      <w:spacing w:after="120"/>
    </w:pPr>
    <w:rPr>
      <w:rFonts w:ascii="Georgia" w:eastAsia="Times New Roman" w:hAnsi="Georgia"/>
      <w:sz w:val="16"/>
      <w:szCs w:val="16"/>
      <w:lang w:val="en-GB" w:eastAsia="en-GB"/>
    </w:rPr>
  </w:style>
  <w:style w:type="character" w:customStyle="1" w:styleId="BodyText3Char">
    <w:name w:val="Body Text 3 Char"/>
    <w:basedOn w:val="DefaultParagraphFont"/>
    <w:link w:val="BodyText3"/>
    <w:rsid w:val="000F5A53"/>
    <w:rPr>
      <w:rFonts w:ascii="Georgia" w:eastAsia="Times New Roman" w:hAnsi="Georgia"/>
      <w:sz w:val="16"/>
      <w:szCs w:val="16"/>
      <w:lang w:val="en-GB" w:eastAsia="en-GB"/>
    </w:rPr>
  </w:style>
  <w:style w:type="paragraph" w:styleId="BodyTextFirstIndent2">
    <w:name w:val="Body Text First Indent 2"/>
    <w:basedOn w:val="BodyTextIndent"/>
    <w:link w:val="BodyTextFirstIndent2Char"/>
    <w:rsid w:val="000F5A53"/>
    <w:pPr>
      <w:ind w:firstLine="210"/>
    </w:pPr>
    <w:rPr>
      <w:rFonts w:ascii="Georgia" w:eastAsia="Times New Roman" w:hAnsi="Georgia"/>
      <w:sz w:val="20"/>
      <w:szCs w:val="20"/>
      <w:lang w:val="en-GB" w:eastAsia="en-GB"/>
    </w:rPr>
  </w:style>
  <w:style w:type="character" w:customStyle="1" w:styleId="BodyTextFirstIndent2Char">
    <w:name w:val="Body Text First Indent 2 Char"/>
    <w:basedOn w:val="BodyTextIndentChar"/>
    <w:link w:val="BodyTextFirstIndent2"/>
    <w:rsid w:val="000F5A53"/>
    <w:rPr>
      <w:rFonts w:ascii="Georgia" w:eastAsia="Times New Roman" w:hAnsi="Georgia"/>
      <w:sz w:val="22"/>
      <w:szCs w:val="24"/>
      <w:lang w:val="en-GB" w:eastAsia="en-GB"/>
    </w:rPr>
  </w:style>
  <w:style w:type="paragraph" w:styleId="Closing">
    <w:name w:val="Closing"/>
    <w:basedOn w:val="Normal"/>
    <w:link w:val="ClosingChar"/>
    <w:rsid w:val="000F5A53"/>
    <w:pPr>
      <w:ind w:left="4252"/>
    </w:pPr>
    <w:rPr>
      <w:rFonts w:ascii="Georgia" w:eastAsia="Times New Roman" w:hAnsi="Georgia"/>
      <w:sz w:val="20"/>
      <w:szCs w:val="20"/>
      <w:lang w:val="en-GB" w:eastAsia="en-GB"/>
    </w:rPr>
  </w:style>
  <w:style w:type="character" w:customStyle="1" w:styleId="ClosingChar">
    <w:name w:val="Closing Char"/>
    <w:basedOn w:val="DefaultParagraphFont"/>
    <w:link w:val="Closing"/>
    <w:rsid w:val="000F5A53"/>
    <w:rPr>
      <w:rFonts w:ascii="Georgia" w:eastAsia="Times New Roman" w:hAnsi="Georgia"/>
      <w:lang w:val="en-GB" w:eastAsia="en-GB"/>
    </w:rPr>
  </w:style>
  <w:style w:type="paragraph" w:styleId="Date">
    <w:name w:val="Date"/>
    <w:basedOn w:val="Normal"/>
    <w:next w:val="Normal"/>
    <w:link w:val="DateChar"/>
    <w:rsid w:val="000F5A53"/>
    <w:rPr>
      <w:rFonts w:ascii="Georgia" w:eastAsia="Times New Roman" w:hAnsi="Georgia"/>
      <w:sz w:val="20"/>
      <w:szCs w:val="20"/>
      <w:lang w:val="en-GB" w:eastAsia="en-GB"/>
    </w:rPr>
  </w:style>
  <w:style w:type="character" w:customStyle="1" w:styleId="DateChar">
    <w:name w:val="Date Char"/>
    <w:basedOn w:val="DefaultParagraphFont"/>
    <w:link w:val="Date"/>
    <w:rsid w:val="000F5A53"/>
    <w:rPr>
      <w:rFonts w:ascii="Georgia" w:eastAsia="Times New Roman" w:hAnsi="Georgia"/>
      <w:lang w:val="en-GB" w:eastAsia="en-GB"/>
    </w:rPr>
  </w:style>
  <w:style w:type="paragraph" w:styleId="DocumentMap">
    <w:name w:val="Document Map"/>
    <w:basedOn w:val="Normal"/>
    <w:link w:val="DocumentMapChar"/>
    <w:semiHidden/>
    <w:rsid w:val="000F5A53"/>
    <w:pPr>
      <w:shd w:val="clear" w:color="auto" w:fill="000080"/>
    </w:pPr>
    <w:rPr>
      <w:rFonts w:ascii="Georgia" w:eastAsia="Times New Roman" w:hAnsi="Georgia" w:cs="Tahoma"/>
      <w:sz w:val="20"/>
      <w:szCs w:val="20"/>
      <w:lang w:val="en-GB" w:eastAsia="en-GB"/>
    </w:rPr>
  </w:style>
  <w:style w:type="character" w:customStyle="1" w:styleId="DocumentMapChar">
    <w:name w:val="Document Map Char"/>
    <w:basedOn w:val="DefaultParagraphFont"/>
    <w:link w:val="DocumentMap"/>
    <w:semiHidden/>
    <w:rsid w:val="000F5A53"/>
    <w:rPr>
      <w:rFonts w:ascii="Georgia" w:eastAsia="Times New Roman" w:hAnsi="Georgia" w:cs="Tahoma"/>
      <w:shd w:val="clear" w:color="auto" w:fill="000080"/>
      <w:lang w:val="en-GB" w:eastAsia="en-GB"/>
    </w:rPr>
  </w:style>
  <w:style w:type="paragraph" w:styleId="E-mailSignature">
    <w:name w:val="E-mail Signature"/>
    <w:basedOn w:val="Normal"/>
    <w:link w:val="E-mailSignatureChar"/>
    <w:rsid w:val="000F5A53"/>
    <w:rPr>
      <w:rFonts w:ascii="Georgia" w:eastAsia="Times New Roman" w:hAnsi="Georgia"/>
      <w:sz w:val="20"/>
      <w:szCs w:val="20"/>
      <w:lang w:val="en-GB" w:eastAsia="en-GB"/>
    </w:rPr>
  </w:style>
  <w:style w:type="character" w:customStyle="1" w:styleId="E-mailSignatureChar">
    <w:name w:val="E-mail Signature Char"/>
    <w:basedOn w:val="DefaultParagraphFont"/>
    <w:link w:val="E-mailSignature"/>
    <w:rsid w:val="000F5A53"/>
    <w:rPr>
      <w:rFonts w:ascii="Georgia" w:eastAsia="Times New Roman" w:hAnsi="Georgia"/>
      <w:lang w:val="en-GB" w:eastAsia="en-GB"/>
    </w:rPr>
  </w:style>
  <w:style w:type="paragraph" w:styleId="EnvelopeAddress">
    <w:name w:val="envelope address"/>
    <w:basedOn w:val="Normal"/>
    <w:rsid w:val="000F5A53"/>
    <w:pPr>
      <w:framePr w:w="7920" w:h="1980" w:hRule="exact" w:hSpace="180" w:wrap="auto" w:hAnchor="page" w:xAlign="center" w:yAlign="bottom"/>
      <w:ind w:left="2880"/>
    </w:pPr>
    <w:rPr>
      <w:rFonts w:ascii="Georgia" w:eastAsia="Times New Roman" w:hAnsi="Georgia" w:cs="Arial"/>
      <w:sz w:val="24"/>
      <w:lang w:val="en-GB" w:eastAsia="en-GB"/>
    </w:rPr>
  </w:style>
  <w:style w:type="paragraph" w:styleId="EnvelopeReturn">
    <w:name w:val="envelope return"/>
    <w:basedOn w:val="Normal"/>
    <w:rsid w:val="000F5A53"/>
    <w:rPr>
      <w:rFonts w:ascii="Georgia" w:eastAsia="Times New Roman" w:hAnsi="Georgia" w:cs="Arial"/>
      <w:sz w:val="20"/>
      <w:szCs w:val="20"/>
      <w:lang w:val="en-GB" w:eastAsia="en-GB"/>
    </w:rPr>
  </w:style>
  <w:style w:type="character" w:styleId="FollowedHyperlink">
    <w:name w:val="FollowedHyperlink"/>
    <w:rsid w:val="000F5A53"/>
    <w:rPr>
      <w:color w:val="800080"/>
      <w:u w:val="single"/>
    </w:rPr>
  </w:style>
  <w:style w:type="character" w:styleId="HTMLAcronym">
    <w:name w:val="HTML Acronym"/>
    <w:basedOn w:val="DefaultParagraphFont"/>
    <w:rsid w:val="000F5A53"/>
  </w:style>
  <w:style w:type="paragraph" w:styleId="HTMLAddress">
    <w:name w:val="HTML Address"/>
    <w:basedOn w:val="Normal"/>
    <w:link w:val="HTMLAddressChar"/>
    <w:rsid w:val="000F5A53"/>
    <w:rPr>
      <w:rFonts w:ascii="Georgia" w:eastAsia="Times New Roman" w:hAnsi="Georgia"/>
      <w:i/>
      <w:iCs/>
      <w:sz w:val="20"/>
      <w:szCs w:val="20"/>
      <w:lang w:val="en-GB" w:eastAsia="en-GB"/>
    </w:rPr>
  </w:style>
  <w:style w:type="character" w:customStyle="1" w:styleId="HTMLAddressChar">
    <w:name w:val="HTML Address Char"/>
    <w:basedOn w:val="DefaultParagraphFont"/>
    <w:link w:val="HTMLAddress"/>
    <w:rsid w:val="000F5A53"/>
    <w:rPr>
      <w:rFonts w:ascii="Georgia" w:eastAsia="Times New Roman" w:hAnsi="Georgia"/>
      <w:i/>
      <w:iCs/>
      <w:lang w:val="en-GB" w:eastAsia="en-GB"/>
    </w:rPr>
  </w:style>
  <w:style w:type="character" w:styleId="HTMLCite">
    <w:name w:val="HTML Cite"/>
    <w:rsid w:val="000F5A53"/>
    <w:rPr>
      <w:i/>
      <w:iCs/>
    </w:rPr>
  </w:style>
  <w:style w:type="character" w:styleId="HTMLCode">
    <w:name w:val="HTML Code"/>
    <w:rsid w:val="000F5A53"/>
    <w:rPr>
      <w:rFonts w:ascii="Georgia" w:hAnsi="Georgia" w:cs="Courier New"/>
      <w:sz w:val="20"/>
      <w:szCs w:val="20"/>
    </w:rPr>
  </w:style>
  <w:style w:type="character" w:styleId="HTMLDefinition">
    <w:name w:val="HTML Definition"/>
    <w:rsid w:val="000F5A53"/>
    <w:rPr>
      <w:i/>
      <w:iCs/>
    </w:rPr>
  </w:style>
  <w:style w:type="character" w:styleId="HTMLKeyboard">
    <w:name w:val="HTML Keyboard"/>
    <w:rsid w:val="000F5A53"/>
    <w:rPr>
      <w:rFonts w:ascii="Georgia" w:hAnsi="Georgia" w:cs="Courier New"/>
      <w:sz w:val="20"/>
      <w:szCs w:val="20"/>
    </w:rPr>
  </w:style>
  <w:style w:type="paragraph" w:styleId="HTMLPreformatted">
    <w:name w:val="HTML Preformatted"/>
    <w:basedOn w:val="Normal"/>
    <w:link w:val="HTMLPreformattedChar"/>
    <w:rsid w:val="000F5A53"/>
    <w:rPr>
      <w:rFonts w:ascii="Georgia" w:eastAsia="Times New Roman" w:hAnsi="Georgia" w:cs="Courier New"/>
      <w:sz w:val="20"/>
      <w:szCs w:val="20"/>
      <w:lang w:val="en-GB" w:eastAsia="en-GB"/>
    </w:rPr>
  </w:style>
  <w:style w:type="character" w:customStyle="1" w:styleId="HTMLPreformattedChar">
    <w:name w:val="HTML Preformatted Char"/>
    <w:basedOn w:val="DefaultParagraphFont"/>
    <w:link w:val="HTMLPreformatted"/>
    <w:rsid w:val="000F5A53"/>
    <w:rPr>
      <w:rFonts w:ascii="Georgia" w:eastAsia="Times New Roman" w:hAnsi="Georgia" w:cs="Courier New"/>
      <w:lang w:val="en-GB" w:eastAsia="en-GB"/>
    </w:rPr>
  </w:style>
  <w:style w:type="character" w:styleId="HTMLSample">
    <w:name w:val="HTML Sample"/>
    <w:rsid w:val="000F5A53"/>
    <w:rPr>
      <w:rFonts w:ascii="Georgia" w:hAnsi="Georgia" w:cs="Courier New"/>
    </w:rPr>
  </w:style>
  <w:style w:type="character" w:styleId="HTMLTypewriter">
    <w:name w:val="HTML Typewriter"/>
    <w:rsid w:val="000F5A53"/>
    <w:rPr>
      <w:rFonts w:ascii="Georgia" w:hAnsi="Georgia" w:cs="Courier New"/>
      <w:sz w:val="20"/>
      <w:szCs w:val="20"/>
    </w:rPr>
  </w:style>
  <w:style w:type="character" w:styleId="HTMLVariable">
    <w:name w:val="HTML Variable"/>
    <w:rsid w:val="000F5A53"/>
    <w:rPr>
      <w:i/>
      <w:iCs/>
    </w:rPr>
  </w:style>
  <w:style w:type="paragraph" w:styleId="Index1">
    <w:name w:val="index 1"/>
    <w:basedOn w:val="Normal"/>
    <w:next w:val="Normal"/>
    <w:autoRedefine/>
    <w:semiHidden/>
    <w:rsid w:val="000F5A53"/>
    <w:pPr>
      <w:ind w:left="200" w:hanging="200"/>
    </w:pPr>
    <w:rPr>
      <w:rFonts w:ascii="Georgia" w:eastAsia="Times New Roman" w:hAnsi="Georgia"/>
      <w:sz w:val="20"/>
      <w:szCs w:val="20"/>
      <w:lang w:val="en-GB" w:eastAsia="en-GB"/>
    </w:rPr>
  </w:style>
  <w:style w:type="paragraph" w:styleId="Index2">
    <w:name w:val="index 2"/>
    <w:basedOn w:val="Normal"/>
    <w:next w:val="Normal"/>
    <w:autoRedefine/>
    <w:semiHidden/>
    <w:rsid w:val="000F5A53"/>
    <w:pPr>
      <w:ind w:left="400" w:hanging="200"/>
    </w:pPr>
    <w:rPr>
      <w:rFonts w:ascii="Georgia" w:eastAsia="Times New Roman" w:hAnsi="Georgia"/>
      <w:sz w:val="20"/>
      <w:szCs w:val="20"/>
      <w:lang w:val="en-GB" w:eastAsia="en-GB"/>
    </w:rPr>
  </w:style>
  <w:style w:type="paragraph" w:styleId="Index3">
    <w:name w:val="index 3"/>
    <w:basedOn w:val="Normal"/>
    <w:next w:val="Normal"/>
    <w:autoRedefine/>
    <w:semiHidden/>
    <w:rsid w:val="000F5A53"/>
    <w:pPr>
      <w:ind w:left="600" w:hanging="200"/>
    </w:pPr>
    <w:rPr>
      <w:rFonts w:ascii="Georgia" w:eastAsia="Times New Roman" w:hAnsi="Georgia"/>
      <w:sz w:val="20"/>
      <w:szCs w:val="20"/>
      <w:lang w:val="en-GB" w:eastAsia="en-GB"/>
    </w:rPr>
  </w:style>
  <w:style w:type="paragraph" w:styleId="Index4">
    <w:name w:val="index 4"/>
    <w:basedOn w:val="Normal"/>
    <w:next w:val="Normal"/>
    <w:autoRedefine/>
    <w:semiHidden/>
    <w:rsid w:val="000F5A53"/>
    <w:pPr>
      <w:ind w:left="800" w:hanging="200"/>
    </w:pPr>
    <w:rPr>
      <w:rFonts w:ascii="Georgia" w:eastAsia="Times New Roman" w:hAnsi="Georgia"/>
      <w:sz w:val="20"/>
      <w:szCs w:val="20"/>
      <w:lang w:val="en-GB" w:eastAsia="en-GB"/>
    </w:rPr>
  </w:style>
  <w:style w:type="paragraph" w:styleId="Index5">
    <w:name w:val="index 5"/>
    <w:basedOn w:val="Normal"/>
    <w:next w:val="Normal"/>
    <w:autoRedefine/>
    <w:semiHidden/>
    <w:rsid w:val="000F5A53"/>
    <w:pPr>
      <w:ind w:left="1000" w:hanging="200"/>
    </w:pPr>
    <w:rPr>
      <w:rFonts w:ascii="Georgia" w:eastAsia="Times New Roman" w:hAnsi="Georgia"/>
      <w:sz w:val="20"/>
      <w:szCs w:val="20"/>
      <w:lang w:val="en-GB" w:eastAsia="en-GB"/>
    </w:rPr>
  </w:style>
  <w:style w:type="paragraph" w:styleId="Index6">
    <w:name w:val="index 6"/>
    <w:basedOn w:val="Normal"/>
    <w:next w:val="Normal"/>
    <w:autoRedefine/>
    <w:semiHidden/>
    <w:rsid w:val="000F5A53"/>
    <w:pPr>
      <w:ind w:left="1200" w:hanging="200"/>
    </w:pPr>
    <w:rPr>
      <w:rFonts w:ascii="Georgia" w:eastAsia="Times New Roman" w:hAnsi="Georgia"/>
      <w:sz w:val="20"/>
      <w:szCs w:val="20"/>
      <w:lang w:val="en-GB" w:eastAsia="en-GB"/>
    </w:rPr>
  </w:style>
  <w:style w:type="paragraph" w:styleId="Index7">
    <w:name w:val="index 7"/>
    <w:basedOn w:val="Normal"/>
    <w:next w:val="Normal"/>
    <w:autoRedefine/>
    <w:semiHidden/>
    <w:rsid w:val="000F5A53"/>
    <w:pPr>
      <w:ind w:left="1400" w:hanging="200"/>
    </w:pPr>
    <w:rPr>
      <w:rFonts w:ascii="Georgia" w:eastAsia="Times New Roman" w:hAnsi="Georgia"/>
      <w:sz w:val="20"/>
      <w:szCs w:val="20"/>
      <w:lang w:val="en-GB" w:eastAsia="en-GB"/>
    </w:rPr>
  </w:style>
  <w:style w:type="paragraph" w:styleId="Index8">
    <w:name w:val="index 8"/>
    <w:basedOn w:val="Normal"/>
    <w:next w:val="Normal"/>
    <w:autoRedefine/>
    <w:semiHidden/>
    <w:rsid w:val="000F5A53"/>
    <w:pPr>
      <w:ind w:left="1600" w:hanging="200"/>
    </w:pPr>
    <w:rPr>
      <w:rFonts w:ascii="Georgia" w:eastAsia="Times New Roman" w:hAnsi="Georgia"/>
      <w:sz w:val="20"/>
      <w:szCs w:val="20"/>
      <w:lang w:val="en-GB" w:eastAsia="en-GB"/>
    </w:rPr>
  </w:style>
  <w:style w:type="paragraph" w:styleId="Index9">
    <w:name w:val="index 9"/>
    <w:basedOn w:val="Normal"/>
    <w:next w:val="Normal"/>
    <w:autoRedefine/>
    <w:semiHidden/>
    <w:rsid w:val="000F5A53"/>
    <w:pPr>
      <w:ind w:left="1800" w:hanging="200"/>
    </w:pPr>
    <w:rPr>
      <w:rFonts w:ascii="Georgia" w:eastAsia="Times New Roman" w:hAnsi="Georgia"/>
      <w:sz w:val="20"/>
      <w:szCs w:val="20"/>
      <w:lang w:val="en-GB" w:eastAsia="en-GB"/>
    </w:rPr>
  </w:style>
  <w:style w:type="paragraph" w:styleId="IndexHeading">
    <w:name w:val="index heading"/>
    <w:basedOn w:val="Normal"/>
    <w:next w:val="Index1"/>
    <w:semiHidden/>
    <w:rsid w:val="000F5A53"/>
    <w:rPr>
      <w:rFonts w:ascii="Georgia" w:eastAsia="Times New Roman" w:hAnsi="Georgia" w:cs="Arial"/>
      <w:b/>
      <w:bCs/>
      <w:sz w:val="20"/>
      <w:szCs w:val="20"/>
      <w:lang w:val="en-GB" w:eastAsia="en-GB"/>
    </w:rPr>
  </w:style>
  <w:style w:type="character" w:styleId="LineNumber">
    <w:name w:val="line number"/>
    <w:basedOn w:val="DefaultParagraphFont"/>
    <w:rsid w:val="000F5A53"/>
  </w:style>
  <w:style w:type="paragraph" w:styleId="List2">
    <w:name w:val="List 2"/>
    <w:basedOn w:val="Normal"/>
    <w:rsid w:val="000F5A53"/>
    <w:pPr>
      <w:ind w:left="566" w:hanging="283"/>
    </w:pPr>
    <w:rPr>
      <w:rFonts w:ascii="Georgia" w:eastAsia="Times New Roman" w:hAnsi="Georgia"/>
      <w:sz w:val="20"/>
      <w:szCs w:val="20"/>
      <w:lang w:val="en-GB" w:eastAsia="en-GB"/>
    </w:rPr>
  </w:style>
  <w:style w:type="paragraph" w:styleId="List3">
    <w:name w:val="List 3"/>
    <w:basedOn w:val="Normal"/>
    <w:rsid w:val="000F5A53"/>
    <w:pPr>
      <w:ind w:left="849" w:hanging="283"/>
    </w:pPr>
    <w:rPr>
      <w:rFonts w:ascii="Georgia" w:eastAsia="Times New Roman" w:hAnsi="Georgia"/>
      <w:sz w:val="20"/>
      <w:szCs w:val="20"/>
      <w:lang w:val="en-GB" w:eastAsia="en-GB"/>
    </w:rPr>
  </w:style>
  <w:style w:type="paragraph" w:styleId="List4">
    <w:name w:val="List 4"/>
    <w:basedOn w:val="Normal"/>
    <w:rsid w:val="000F5A53"/>
    <w:pPr>
      <w:ind w:left="1132" w:hanging="283"/>
    </w:pPr>
    <w:rPr>
      <w:rFonts w:ascii="Georgia" w:eastAsia="Times New Roman" w:hAnsi="Georgia"/>
      <w:sz w:val="20"/>
      <w:szCs w:val="20"/>
      <w:lang w:val="en-GB" w:eastAsia="en-GB"/>
    </w:rPr>
  </w:style>
  <w:style w:type="paragraph" w:styleId="List5">
    <w:name w:val="List 5"/>
    <w:basedOn w:val="Normal"/>
    <w:rsid w:val="000F5A53"/>
    <w:pPr>
      <w:ind w:left="1415" w:hanging="283"/>
    </w:pPr>
    <w:rPr>
      <w:rFonts w:ascii="Georgia" w:eastAsia="Times New Roman" w:hAnsi="Georgia"/>
      <w:sz w:val="20"/>
      <w:szCs w:val="20"/>
      <w:lang w:val="en-GB" w:eastAsia="en-GB"/>
    </w:rPr>
  </w:style>
  <w:style w:type="paragraph" w:styleId="ListBullet">
    <w:name w:val="List Bullet"/>
    <w:basedOn w:val="Normal"/>
    <w:rsid w:val="000F5A53"/>
    <w:pPr>
      <w:numPr>
        <w:numId w:val="16"/>
      </w:numPr>
    </w:pPr>
    <w:rPr>
      <w:rFonts w:ascii="Georgia" w:eastAsia="Times New Roman" w:hAnsi="Georgia"/>
      <w:sz w:val="20"/>
      <w:szCs w:val="20"/>
      <w:lang w:val="en-GB" w:eastAsia="en-GB"/>
    </w:rPr>
  </w:style>
  <w:style w:type="paragraph" w:styleId="ListBullet2">
    <w:name w:val="List Bullet 2"/>
    <w:basedOn w:val="Normal"/>
    <w:rsid w:val="000F5A53"/>
    <w:pPr>
      <w:numPr>
        <w:numId w:val="17"/>
      </w:numPr>
    </w:pPr>
    <w:rPr>
      <w:rFonts w:ascii="Georgia" w:eastAsia="Times New Roman" w:hAnsi="Georgia"/>
      <w:sz w:val="20"/>
      <w:szCs w:val="20"/>
      <w:lang w:val="en-GB" w:eastAsia="en-GB"/>
    </w:rPr>
  </w:style>
  <w:style w:type="paragraph" w:styleId="ListBullet3">
    <w:name w:val="List Bullet 3"/>
    <w:basedOn w:val="Normal"/>
    <w:rsid w:val="000F5A53"/>
    <w:pPr>
      <w:numPr>
        <w:numId w:val="18"/>
      </w:numPr>
    </w:pPr>
    <w:rPr>
      <w:rFonts w:ascii="Georgia" w:eastAsia="Times New Roman" w:hAnsi="Georgia"/>
      <w:sz w:val="20"/>
      <w:szCs w:val="20"/>
      <w:lang w:val="en-GB" w:eastAsia="en-GB"/>
    </w:rPr>
  </w:style>
  <w:style w:type="paragraph" w:styleId="ListBullet4">
    <w:name w:val="List Bullet 4"/>
    <w:basedOn w:val="Normal"/>
    <w:rsid w:val="000F5A53"/>
    <w:pPr>
      <w:numPr>
        <w:numId w:val="19"/>
      </w:numPr>
    </w:pPr>
    <w:rPr>
      <w:rFonts w:ascii="Georgia" w:eastAsia="Times New Roman" w:hAnsi="Georgia"/>
      <w:sz w:val="20"/>
      <w:szCs w:val="20"/>
      <w:lang w:val="en-GB" w:eastAsia="en-GB"/>
    </w:rPr>
  </w:style>
  <w:style w:type="paragraph" w:styleId="ListBullet5">
    <w:name w:val="List Bullet 5"/>
    <w:basedOn w:val="Normal"/>
    <w:rsid w:val="000F5A53"/>
    <w:pPr>
      <w:numPr>
        <w:numId w:val="20"/>
      </w:numPr>
    </w:pPr>
    <w:rPr>
      <w:rFonts w:ascii="Georgia" w:eastAsia="Times New Roman" w:hAnsi="Georgia"/>
      <w:sz w:val="20"/>
      <w:szCs w:val="20"/>
      <w:lang w:val="en-GB" w:eastAsia="en-GB"/>
    </w:rPr>
  </w:style>
  <w:style w:type="paragraph" w:styleId="ListContinue">
    <w:name w:val="List Continue"/>
    <w:basedOn w:val="Normal"/>
    <w:rsid w:val="000F5A53"/>
    <w:pPr>
      <w:spacing w:after="120"/>
      <w:ind w:left="283"/>
    </w:pPr>
    <w:rPr>
      <w:rFonts w:ascii="Georgia" w:eastAsia="Times New Roman" w:hAnsi="Georgia"/>
      <w:sz w:val="20"/>
      <w:szCs w:val="20"/>
      <w:lang w:val="en-GB" w:eastAsia="en-GB"/>
    </w:rPr>
  </w:style>
  <w:style w:type="paragraph" w:styleId="ListContinue2">
    <w:name w:val="List Continue 2"/>
    <w:basedOn w:val="Normal"/>
    <w:rsid w:val="000F5A53"/>
    <w:pPr>
      <w:spacing w:after="120"/>
      <w:ind w:left="566"/>
    </w:pPr>
    <w:rPr>
      <w:rFonts w:ascii="Georgia" w:eastAsia="Times New Roman" w:hAnsi="Georgia"/>
      <w:sz w:val="20"/>
      <w:szCs w:val="20"/>
      <w:lang w:val="en-GB" w:eastAsia="en-GB"/>
    </w:rPr>
  </w:style>
  <w:style w:type="paragraph" w:styleId="ListContinue3">
    <w:name w:val="List Continue 3"/>
    <w:basedOn w:val="Normal"/>
    <w:rsid w:val="000F5A53"/>
    <w:pPr>
      <w:spacing w:after="120"/>
      <w:ind w:left="849"/>
    </w:pPr>
    <w:rPr>
      <w:rFonts w:ascii="Georgia" w:eastAsia="Times New Roman" w:hAnsi="Georgia"/>
      <w:sz w:val="20"/>
      <w:szCs w:val="20"/>
      <w:lang w:val="en-GB" w:eastAsia="en-GB"/>
    </w:rPr>
  </w:style>
  <w:style w:type="paragraph" w:styleId="ListContinue4">
    <w:name w:val="List Continue 4"/>
    <w:basedOn w:val="Normal"/>
    <w:rsid w:val="000F5A53"/>
    <w:pPr>
      <w:spacing w:after="120"/>
      <w:ind w:left="1132"/>
    </w:pPr>
    <w:rPr>
      <w:rFonts w:ascii="Georgia" w:eastAsia="Times New Roman" w:hAnsi="Georgia"/>
      <w:sz w:val="20"/>
      <w:szCs w:val="20"/>
      <w:lang w:val="en-GB" w:eastAsia="en-GB"/>
    </w:rPr>
  </w:style>
  <w:style w:type="paragraph" w:styleId="ListContinue5">
    <w:name w:val="List Continue 5"/>
    <w:basedOn w:val="Normal"/>
    <w:rsid w:val="000F5A53"/>
    <w:pPr>
      <w:spacing w:after="120"/>
      <w:ind w:left="1415"/>
    </w:pPr>
    <w:rPr>
      <w:rFonts w:ascii="Georgia" w:eastAsia="Times New Roman" w:hAnsi="Georgia"/>
      <w:sz w:val="20"/>
      <w:szCs w:val="20"/>
      <w:lang w:val="en-GB" w:eastAsia="en-GB"/>
    </w:rPr>
  </w:style>
  <w:style w:type="paragraph" w:styleId="ListNumber5">
    <w:name w:val="List Number 5"/>
    <w:basedOn w:val="Normal"/>
    <w:rsid w:val="000F5A53"/>
    <w:pPr>
      <w:numPr>
        <w:numId w:val="21"/>
      </w:numPr>
    </w:pPr>
    <w:rPr>
      <w:rFonts w:ascii="Georgia" w:eastAsia="Times New Roman" w:hAnsi="Georgia"/>
      <w:sz w:val="20"/>
      <w:szCs w:val="20"/>
      <w:lang w:val="en-GB" w:eastAsia="en-GB"/>
    </w:rPr>
  </w:style>
  <w:style w:type="paragraph" w:styleId="MacroText">
    <w:name w:val="macro"/>
    <w:link w:val="MacroTextChar"/>
    <w:semiHidden/>
    <w:rsid w:val="000F5A53"/>
    <w:pPr>
      <w:tabs>
        <w:tab w:val="left" w:pos="480"/>
        <w:tab w:val="left" w:pos="960"/>
        <w:tab w:val="left" w:pos="1440"/>
        <w:tab w:val="left" w:pos="1920"/>
        <w:tab w:val="left" w:pos="2400"/>
        <w:tab w:val="left" w:pos="2880"/>
        <w:tab w:val="left" w:pos="3360"/>
        <w:tab w:val="left" w:pos="3840"/>
        <w:tab w:val="left" w:pos="4320"/>
      </w:tabs>
    </w:pPr>
    <w:rPr>
      <w:rFonts w:ascii="Georgia" w:eastAsia="Times New Roman" w:hAnsi="Georgia" w:cs="Courier New"/>
      <w:lang w:val="en-GB" w:eastAsia="en-GB"/>
    </w:rPr>
  </w:style>
  <w:style w:type="character" w:customStyle="1" w:styleId="MacroTextChar">
    <w:name w:val="Macro Text Char"/>
    <w:basedOn w:val="DefaultParagraphFont"/>
    <w:link w:val="MacroText"/>
    <w:semiHidden/>
    <w:rsid w:val="000F5A53"/>
    <w:rPr>
      <w:rFonts w:ascii="Georgia" w:eastAsia="Times New Roman" w:hAnsi="Georgia" w:cs="Courier New"/>
      <w:lang w:val="en-GB" w:eastAsia="en-GB"/>
    </w:rPr>
  </w:style>
  <w:style w:type="paragraph" w:styleId="MessageHeader">
    <w:name w:val="Message Header"/>
    <w:basedOn w:val="Normal"/>
    <w:link w:val="MessageHeaderChar"/>
    <w:rsid w:val="000F5A53"/>
    <w:pPr>
      <w:pBdr>
        <w:top w:val="single" w:sz="6" w:space="1" w:color="auto"/>
        <w:left w:val="single" w:sz="6" w:space="1" w:color="auto"/>
        <w:bottom w:val="single" w:sz="6" w:space="1" w:color="auto"/>
        <w:right w:val="single" w:sz="6" w:space="1" w:color="auto"/>
      </w:pBdr>
      <w:shd w:val="pct20" w:color="auto" w:fill="auto"/>
      <w:ind w:left="1134" w:hanging="1134"/>
    </w:pPr>
    <w:rPr>
      <w:rFonts w:ascii="Georgia" w:eastAsia="Times New Roman" w:hAnsi="Georgia" w:cs="Arial"/>
      <w:sz w:val="24"/>
      <w:lang w:val="en-GB" w:eastAsia="en-GB"/>
    </w:rPr>
  </w:style>
  <w:style w:type="character" w:customStyle="1" w:styleId="MessageHeaderChar">
    <w:name w:val="Message Header Char"/>
    <w:basedOn w:val="DefaultParagraphFont"/>
    <w:link w:val="MessageHeader"/>
    <w:rsid w:val="000F5A53"/>
    <w:rPr>
      <w:rFonts w:ascii="Georgia" w:eastAsia="Times New Roman" w:hAnsi="Georgia" w:cs="Arial"/>
      <w:sz w:val="24"/>
      <w:szCs w:val="24"/>
      <w:shd w:val="pct20" w:color="auto" w:fill="auto"/>
      <w:lang w:val="en-GB" w:eastAsia="en-GB"/>
    </w:rPr>
  </w:style>
  <w:style w:type="paragraph" w:customStyle="1" w:styleId="NoteHeading1">
    <w:name w:val="Note Heading1"/>
    <w:basedOn w:val="Normal"/>
    <w:next w:val="Normal"/>
    <w:link w:val="NoteHeadingChar"/>
    <w:rsid w:val="000F5A53"/>
    <w:rPr>
      <w:rFonts w:ascii="Georgia" w:eastAsia="Times New Roman" w:hAnsi="Georgia"/>
      <w:sz w:val="20"/>
      <w:szCs w:val="20"/>
      <w:lang w:val="en-GB" w:eastAsia="en-GB"/>
    </w:rPr>
  </w:style>
  <w:style w:type="character" w:customStyle="1" w:styleId="NoteHeadingChar">
    <w:name w:val="Note Heading Char"/>
    <w:basedOn w:val="DefaultParagraphFont"/>
    <w:link w:val="NoteHeading1"/>
    <w:rsid w:val="000F5A53"/>
    <w:rPr>
      <w:rFonts w:ascii="Georgia" w:eastAsia="Times New Roman" w:hAnsi="Georgia"/>
      <w:lang w:val="en-GB" w:eastAsia="en-GB"/>
    </w:rPr>
  </w:style>
  <w:style w:type="paragraph" w:styleId="PlainText">
    <w:name w:val="Plain Text"/>
    <w:basedOn w:val="Normal"/>
    <w:link w:val="PlainTextChar"/>
    <w:rsid w:val="000F5A53"/>
    <w:rPr>
      <w:rFonts w:ascii="Georgia" w:eastAsia="Times New Roman" w:hAnsi="Georgia" w:cs="Courier New"/>
      <w:sz w:val="20"/>
      <w:szCs w:val="20"/>
      <w:lang w:val="en-GB" w:eastAsia="en-GB"/>
    </w:rPr>
  </w:style>
  <w:style w:type="character" w:customStyle="1" w:styleId="PlainTextChar">
    <w:name w:val="Plain Text Char"/>
    <w:basedOn w:val="DefaultParagraphFont"/>
    <w:link w:val="PlainText"/>
    <w:rsid w:val="000F5A53"/>
    <w:rPr>
      <w:rFonts w:ascii="Georgia" w:eastAsia="Times New Roman" w:hAnsi="Georgia" w:cs="Courier New"/>
      <w:lang w:val="en-GB" w:eastAsia="en-GB"/>
    </w:rPr>
  </w:style>
  <w:style w:type="paragraph" w:styleId="Salutation">
    <w:name w:val="Salutation"/>
    <w:basedOn w:val="Normal"/>
    <w:next w:val="Normal"/>
    <w:link w:val="SalutationChar"/>
    <w:rsid w:val="000F5A53"/>
    <w:rPr>
      <w:rFonts w:ascii="Georgia" w:eastAsia="Times New Roman" w:hAnsi="Georgia"/>
      <w:sz w:val="20"/>
      <w:szCs w:val="20"/>
      <w:lang w:val="en-GB" w:eastAsia="en-GB"/>
    </w:rPr>
  </w:style>
  <w:style w:type="character" w:customStyle="1" w:styleId="SalutationChar">
    <w:name w:val="Salutation Char"/>
    <w:basedOn w:val="DefaultParagraphFont"/>
    <w:link w:val="Salutation"/>
    <w:rsid w:val="000F5A53"/>
    <w:rPr>
      <w:rFonts w:ascii="Georgia" w:eastAsia="Times New Roman" w:hAnsi="Georgia"/>
      <w:lang w:val="en-GB" w:eastAsia="en-GB"/>
    </w:rPr>
  </w:style>
  <w:style w:type="paragraph" w:styleId="Signature">
    <w:name w:val="Signature"/>
    <w:basedOn w:val="Normal"/>
    <w:link w:val="SignatureChar"/>
    <w:rsid w:val="000F5A53"/>
    <w:pPr>
      <w:ind w:left="4252"/>
    </w:pPr>
    <w:rPr>
      <w:rFonts w:ascii="Georgia" w:eastAsia="Times New Roman" w:hAnsi="Georgia"/>
      <w:sz w:val="20"/>
      <w:szCs w:val="20"/>
      <w:lang w:val="en-GB" w:eastAsia="en-GB"/>
    </w:rPr>
  </w:style>
  <w:style w:type="character" w:customStyle="1" w:styleId="SignatureChar">
    <w:name w:val="Signature Char"/>
    <w:basedOn w:val="DefaultParagraphFont"/>
    <w:link w:val="Signature"/>
    <w:rsid w:val="000F5A53"/>
    <w:rPr>
      <w:rFonts w:ascii="Georgia" w:eastAsia="Times New Roman" w:hAnsi="Georgia"/>
      <w:lang w:val="en-GB" w:eastAsia="en-GB"/>
    </w:rPr>
  </w:style>
  <w:style w:type="paragraph" w:styleId="Subtitle">
    <w:name w:val="Subtitle"/>
    <w:basedOn w:val="Normal"/>
    <w:link w:val="SubtitleChar"/>
    <w:qFormat/>
    <w:rsid w:val="000F5A53"/>
    <w:pPr>
      <w:spacing w:after="60"/>
      <w:jc w:val="center"/>
      <w:outlineLvl w:val="1"/>
    </w:pPr>
    <w:rPr>
      <w:rFonts w:ascii="Georgia" w:eastAsia="Times New Roman" w:hAnsi="Georgia" w:cs="Arial"/>
      <w:sz w:val="24"/>
      <w:lang w:val="en-GB" w:eastAsia="en-GB"/>
    </w:rPr>
  </w:style>
  <w:style w:type="character" w:customStyle="1" w:styleId="SubtitleChar">
    <w:name w:val="Subtitle Char"/>
    <w:basedOn w:val="DefaultParagraphFont"/>
    <w:link w:val="Subtitle"/>
    <w:uiPriority w:val="2"/>
    <w:rsid w:val="000F5A53"/>
    <w:rPr>
      <w:rFonts w:ascii="Georgia" w:eastAsia="Times New Roman" w:hAnsi="Georgia" w:cs="Arial"/>
      <w:sz w:val="24"/>
      <w:szCs w:val="24"/>
      <w:lang w:val="en-GB" w:eastAsia="en-GB"/>
    </w:rPr>
  </w:style>
  <w:style w:type="table" w:styleId="Table3Deffects1">
    <w:name w:val="Table 3D effects 1"/>
    <w:basedOn w:val="TableNormal"/>
    <w:rsid w:val="000F5A53"/>
    <w:rPr>
      <w:rFonts w:ascii="Georgia" w:eastAsia="Times New Roman" w:hAnsi="Georgia"/>
      <w:lang w:val="sv-SE" w:eastAsia="sv-S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0F5A53"/>
    <w:rPr>
      <w:rFonts w:ascii="Georgia" w:eastAsia="Times New Roman" w:hAnsi="Georgia"/>
      <w:lang w:val="sv-SE" w:eastAsia="sv-S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0F5A53"/>
    <w:rPr>
      <w:rFonts w:ascii="Georgia" w:eastAsia="Times New Roman" w:hAnsi="Georgia"/>
      <w:lang w:val="sv-SE" w:eastAsia="sv-S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0F5A53"/>
    <w:rPr>
      <w:rFonts w:ascii="Georgia" w:eastAsia="Times New Roman" w:hAnsi="Georgia"/>
      <w:lang w:val="sv-SE"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0F5A53"/>
    <w:rPr>
      <w:rFonts w:ascii="Georgia" w:eastAsia="Times New Roman" w:hAnsi="Georgia"/>
      <w:lang w:val="sv-SE"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0F5A53"/>
    <w:rPr>
      <w:rFonts w:ascii="Georgia" w:eastAsia="Times New Roman" w:hAnsi="Georgia"/>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0F5A53"/>
    <w:rPr>
      <w:rFonts w:ascii="Georgia" w:eastAsia="Times New Roman" w:hAnsi="Georgia"/>
      <w:lang w:val="sv-SE"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0F5A53"/>
    <w:rPr>
      <w:rFonts w:ascii="Georgia" w:eastAsia="Times New Roman" w:hAnsi="Georgia"/>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0F5A53"/>
    <w:rPr>
      <w:rFonts w:ascii="Georgia" w:eastAsia="Times New Roman" w:hAnsi="Georgia"/>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0F5A53"/>
    <w:rPr>
      <w:rFonts w:ascii="Georgia" w:eastAsia="Times New Roman" w:hAnsi="Georgia"/>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0F5A53"/>
    <w:rPr>
      <w:rFonts w:ascii="Georgia" w:eastAsia="Times New Roman" w:hAnsi="Georgia"/>
      <w:b/>
      <w:bCs/>
      <w:lang w:val="sv-SE"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0F5A53"/>
    <w:rPr>
      <w:rFonts w:ascii="Georgia" w:eastAsia="Times New Roman" w:hAnsi="Georgia"/>
      <w:b/>
      <w:bCs/>
      <w:lang w:val="sv-SE" w:eastAsia="sv-S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0F5A53"/>
    <w:rPr>
      <w:rFonts w:ascii="Georgia" w:eastAsia="Times New Roman" w:hAnsi="Georgia"/>
      <w:b/>
      <w:bCs/>
      <w:lang w:val="sv-SE"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0F5A53"/>
    <w:rPr>
      <w:rFonts w:ascii="Georgia" w:eastAsia="Times New Roman" w:hAnsi="Georgia"/>
      <w:lang w:val="sv-SE" w:eastAsia="sv-S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F5A53"/>
    <w:rPr>
      <w:rFonts w:ascii="Georgia" w:eastAsia="Times New Roman" w:hAnsi="Georgia"/>
      <w:lang w:val="sv-SE"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F5A53"/>
    <w:rPr>
      <w:rFonts w:ascii="Georgia" w:eastAsia="Times New Roman" w:hAnsi="Georgia"/>
      <w:lang w:val="sv-SE" w:eastAsia="sv-SE"/>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0F5A53"/>
    <w:rPr>
      <w:rFonts w:ascii="Georgia" w:eastAsia="Times New Roman" w:hAnsi="Georgia"/>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rsid w:val="000F5A53"/>
    <w:rPr>
      <w:rFonts w:ascii="Georgia" w:eastAsia="Times New Roman" w:hAnsi="Georgia"/>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0F5A53"/>
    <w:rPr>
      <w:rFonts w:ascii="Georgia" w:eastAsia="Times New Roman" w:hAnsi="Georgia"/>
      <w:lang w:val="sv-SE" w:eastAsia="sv-SE"/>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0F5A53"/>
    <w:rPr>
      <w:rFonts w:ascii="Georgia" w:eastAsia="Times New Roman" w:hAnsi="Georgia"/>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0F5A53"/>
    <w:rPr>
      <w:rFonts w:ascii="Georgia" w:eastAsia="Times New Roman" w:hAnsi="Georgia"/>
      <w:lang w:val="sv-SE"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0F5A53"/>
    <w:rPr>
      <w:rFonts w:ascii="Georgia" w:eastAsia="Times New Roman" w:hAnsi="Georgia"/>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0F5A53"/>
    <w:rPr>
      <w:rFonts w:ascii="Georgia" w:eastAsia="Times New Roman" w:hAnsi="Georgia"/>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0F5A53"/>
    <w:rPr>
      <w:rFonts w:ascii="Georgia" w:eastAsia="Times New Roman" w:hAnsi="Georgia"/>
      <w:lang w:val="sv-SE"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0F5A53"/>
    <w:rPr>
      <w:rFonts w:ascii="Georgia" w:eastAsia="Times New Roman" w:hAnsi="Georgia"/>
      <w:lang w:val="sv-SE" w:eastAsia="sv-SE"/>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0F5A53"/>
    <w:rPr>
      <w:rFonts w:ascii="Georgia" w:eastAsia="Times New Roman" w:hAnsi="Georgia"/>
      <w:lang w:val="sv-SE"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0F5A53"/>
    <w:rPr>
      <w:rFonts w:ascii="Georgia" w:eastAsia="Times New Roman" w:hAnsi="Georgia"/>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0F5A53"/>
    <w:rPr>
      <w:rFonts w:ascii="Georgia" w:eastAsia="Times New Roman" w:hAnsi="Georgia"/>
      <w:lang w:val="sv-SE"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0F5A53"/>
    <w:rPr>
      <w:rFonts w:ascii="Georgia" w:eastAsia="Times New Roman" w:hAnsi="Georgia"/>
      <w:lang w:val="sv-SE"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0F5A53"/>
    <w:rPr>
      <w:rFonts w:ascii="Georgia" w:eastAsia="Times New Roman" w:hAnsi="Georgia"/>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semiHidden/>
    <w:rsid w:val="000F5A53"/>
    <w:pPr>
      <w:ind w:left="200" w:hanging="200"/>
    </w:pPr>
    <w:rPr>
      <w:rFonts w:ascii="Georgia" w:eastAsia="Times New Roman" w:hAnsi="Georgia"/>
      <w:sz w:val="20"/>
      <w:szCs w:val="20"/>
      <w:lang w:val="en-GB" w:eastAsia="en-GB"/>
    </w:rPr>
  </w:style>
  <w:style w:type="paragraph" w:styleId="TableofFigures">
    <w:name w:val="table of figures"/>
    <w:basedOn w:val="Normal"/>
    <w:next w:val="Normal"/>
    <w:semiHidden/>
    <w:rsid w:val="000F5A53"/>
    <w:rPr>
      <w:rFonts w:ascii="Georgia" w:eastAsia="Times New Roman" w:hAnsi="Georgia"/>
      <w:sz w:val="20"/>
      <w:szCs w:val="20"/>
      <w:lang w:val="en-GB" w:eastAsia="en-GB"/>
    </w:rPr>
  </w:style>
  <w:style w:type="table" w:styleId="TableProfessional">
    <w:name w:val="Table Professional"/>
    <w:basedOn w:val="TableNormal"/>
    <w:rsid w:val="000F5A53"/>
    <w:rPr>
      <w:rFonts w:ascii="Georgia" w:eastAsia="Times New Roman" w:hAnsi="Georgia"/>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0F5A53"/>
    <w:rPr>
      <w:rFonts w:ascii="Georgia" w:eastAsia="Times New Roman" w:hAnsi="Georgia"/>
      <w:lang w:val="sv-SE"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0F5A53"/>
    <w:rPr>
      <w:rFonts w:ascii="Georgia" w:eastAsia="Times New Roman" w:hAnsi="Georgia"/>
      <w:lang w:val="sv-SE" w:eastAsia="sv-S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0F5A53"/>
    <w:rPr>
      <w:rFonts w:ascii="Georgia" w:eastAsia="Times New Roman" w:hAnsi="Georgia"/>
      <w:lang w:val="sv-SE" w:eastAsia="sv-SE"/>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0F5A53"/>
    <w:rPr>
      <w:rFonts w:ascii="Georgia" w:eastAsia="Times New Roman" w:hAnsi="Georgia"/>
      <w:lang w:val="sv-SE" w:eastAsia="sv-S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0F5A53"/>
    <w:rPr>
      <w:rFonts w:ascii="Georgia" w:eastAsia="Times New Roman" w:hAnsi="Georg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F5A53"/>
    <w:rPr>
      <w:rFonts w:ascii="Georgia" w:eastAsia="Times New Roman" w:hAnsi="Georgia"/>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0F5A53"/>
    <w:rPr>
      <w:rFonts w:ascii="Georgia" w:eastAsia="Times New Roman" w:hAnsi="Georgia"/>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0F5A53"/>
    <w:rPr>
      <w:rFonts w:ascii="Georgia" w:eastAsia="Times New Roman" w:hAnsi="Georgia"/>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semiHidden/>
    <w:rsid w:val="000F5A53"/>
    <w:pPr>
      <w:spacing w:before="120"/>
    </w:pPr>
    <w:rPr>
      <w:rFonts w:ascii="Georgia" w:eastAsia="Times New Roman" w:hAnsi="Georgia" w:cs="Arial"/>
      <w:b/>
      <w:bCs/>
      <w:sz w:val="24"/>
      <w:lang w:val="en-GB" w:eastAsia="en-GB"/>
    </w:rPr>
  </w:style>
  <w:style w:type="paragraph" w:customStyle="1" w:styleId="NormalwithindentAltD">
    <w:name w:val="Normal with indent Alt+D"/>
    <w:basedOn w:val="Normal"/>
    <w:qFormat/>
    <w:rsid w:val="000F5A53"/>
    <w:pPr>
      <w:spacing w:after="240"/>
      <w:ind w:left="1009"/>
    </w:pPr>
    <w:rPr>
      <w:rFonts w:eastAsia="Times New Roman"/>
      <w:szCs w:val="22"/>
      <w:lang w:val="en-GB" w:eastAsia="sv-SE"/>
    </w:rPr>
  </w:style>
  <w:style w:type="paragraph" w:customStyle="1" w:styleId="Numbparagr2AltS">
    <w:name w:val="Numb paragr 2 Alt+S"/>
    <w:basedOn w:val="Heading2"/>
    <w:qFormat/>
    <w:rsid w:val="000F5A53"/>
    <w:pPr>
      <w:keepNext w:val="0"/>
      <w:numPr>
        <w:numId w:val="0"/>
      </w:numPr>
      <w:tabs>
        <w:tab w:val="num" w:pos="0"/>
        <w:tab w:val="num" w:pos="709"/>
      </w:tabs>
      <w:spacing w:after="240" w:line="240" w:lineRule="auto"/>
      <w:ind w:left="1009" w:hanging="1009"/>
    </w:pPr>
    <w:rPr>
      <w:rFonts w:ascii="Times New Roman" w:eastAsia="Times New Roman" w:hAnsi="Times New Roman"/>
      <w:b w:val="0"/>
      <w:kern w:val="32"/>
      <w:szCs w:val="22"/>
      <w:lang w:eastAsia="sv-SE"/>
    </w:rPr>
  </w:style>
  <w:style w:type="paragraph" w:customStyle="1" w:styleId="Listlevel1aAlt5">
    <w:name w:val="List level 1 (a) Alt+5"/>
    <w:uiPriority w:val="1"/>
    <w:qFormat/>
    <w:rsid w:val="000F5A53"/>
    <w:pPr>
      <w:tabs>
        <w:tab w:val="num" w:pos="1729"/>
      </w:tabs>
      <w:spacing w:after="240"/>
      <w:ind w:left="1729" w:hanging="720"/>
    </w:pPr>
    <w:rPr>
      <w:rFonts w:eastAsia="Times New Roman"/>
      <w:sz w:val="22"/>
      <w:szCs w:val="22"/>
      <w:lang w:val="en-GB" w:eastAsia="sv-SE"/>
    </w:rPr>
  </w:style>
  <w:style w:type="paragraph" w:customStyle="1" w:styleId="Normalmedindrag">
    <w:name w:val="Normal med indrag"/>
    <w:basedOn w:val="Normal"/>
    <w:rsid w:val="000F5A53"/>
    <w:pPr>
      <w:spacing w:after="240"/>
      <w:ind w:left="1009"/>
    </w:pPr>
    <w:rPr>
      <w:rFonts w:eastAsia="Times New Roman"/>
      <w:szCs w:val="22"/>
      <w:lang w:val="en-US" w:eastAsia="sv-SE"/>
    </w:rPr>
  </w:style>
  <w:style w:type="paragraph" w:customStyle="1" w:styleId="Rubr2">
    <w:name w:val="Rubr 2"/>
    <w:aliases w:val="Stycke"/>
    <w:basedOn w:val="Heading2"/>
    <w:rsid w:val="000F5A53"/>
    <w:pPr>
      <w:keepNext w:val="0"/>
      <w:numPr>
        <w:numId w:val="0"/>
      </w:numPr>
      <w:tabs>
        <w:tab w:val="num" w:pos="709"/>
      </w:tabs>
      <w:spacing w:after="240" w:line="240" w:lineRule="auto"/>
      <w:ind w:left="1009" w:hanging="1009"/>
    </w:pPr>
    <w:rPr>
      <w:rFonts w:ascii="Times New Roman" w:eastAsia="Times New Roman" w:hAnsi="Times New Roman"/>
      <w:b w:val="0"/>
      <w:kern w:val="32"/>
      <w:szCs w:val="22"/>
      <w:lang w:val="en-US" w:eastAsia="sv-SE"/>
    </w:rPr>
  </w:style>
  <w:style w:type="paragraph" w:customStyle="1" w:styleId="Schedule">
    <w:name w:val="Schedule"/>
    <w:next w:val="ScheduleHeadingToC"/>
    <w:rsid w:val="000F5A53"/>
    <w:pPr>
      <w:numPr>
        <w:numId w:val="26"/>
      </w:numPr>
      <w:spacing w:after="240"/>
      <w:jc w:val="center"/>
    </w:pPr>
    <w:rPr>
      <w:rFonts w:eastAsia="Times New Roman"/>
      <w:b/>
      <w:bCs/>
      <w:caps/>
      <w:sz w:val="22"/>
      <w:szCs w:val="22"/>
      <w:lang w:val="en-GB" w:eastAsia="sv-SE"/>
    </w:rPr>
  </w:style>
  <w:style w:type="paragraph" w:customStyle="1" w:styleId="ScheduleHeadingToC">
    <w:name w:val="Schedule Heading ToC"/>
    <w:next w:val="Normal"/>
    <w:uiPriority w:val="4"/>
    <w:qFormat/>
    <w:rsid w:val="000F5A53"/>
    <w:pPr>
      <w:numPr>
        <w:ilvl w:val="1"/>
        <w:numId w:val="26"/>
      </w:numPr>
      <w:spacing w:after="240"/>
      <w:jc w:val="center"/>
    </w:pPr>
    <w:rPr>
      <w:rFonts w:eastAsia="Times New Roman"/>
      <w:b/>
      <w:bCs/>
      <w:caps/>
      <w:sz w:val="22"/>
      <w:szCs w:val="22"/>
      <w:lang w:val="en-GB" w:eastAsia="sv-SE"/>
    </w:rPr>
  </w:style>
  <w:style w:type="paragraph" w:customStyle="1" w:styleId="ScheduleHeading1">
    <w:name w:val="Schedule Heading 1"/>
    <w:next w:val="NormalwithindentAltD"/>
    <w:uiPriority w:val="5"/>
    <w:qFormat/>
    <w:rsid w:val="000F5A53"/>
    <w:pPr>
      <w:keepNext/>
      <w:numPr>
        <w:ilvl w:val="2"/>
        <w:numId w:val="26"/>
      </w:numPr>
      <w:spacing w:before="240" w:after="240"/>
    </w:pPr>
    <w:rPr>
      <w:rFonts w:eastAsia="Times New Roman"/>
      <w:b/>
      <w:bCs/>
      <w:caps/>
      <w:sz w:val="22"/>
      <w:szCs w:val="22"/>
      <w:lang w:val="en-GB" w:eastAsia="sv-SE"/>
    </w:rPr>
  </w:style>
  <w:style w:type="paragraph" w:customStyle="1" w:styleId="ScheduleHeading2">
    <w:name w:val="Schedule Heading 2"/>
    <w:next w:val="NormalwithindentAltD"/>
    <w:rsid w:val="000F5A53"/>
    <w:pPr>
      <w:keepNext/>
      <w:numPr>
        <w:ilvl w:val="3"/>
        <w:numId w:val="26"/>
      </w:numPr>
      <w:spacing w:after="240"/>
    </w:pPr>
    <w:rPr>
      <w:rFonts w:eastAsia="Times New Roman"/>
      <w:b/>
      <w:bCs/>
      <w:sz w:val="22"/>
      <w:szCs w:val="22"/>
      <w:lang w:val="en-GB" w:eastAsia="sv-SE"/>
    </w:rPr>
  </w:style>
  <w:style w:type="paragraph" w:customStyle="1" w:styleId="ScheduleHeading3">
    <w:name w:val="Schedule Heading 3"/>
    <w:next w:val="NormalwithindentAltD"/>
    <w:rsid w:val="000F5A53"/>
    <w:pPr>
      <w:keepNext/>
      <w:numPr>
        <w:ilvl w:val="4"/>
        <w:numId w:val="26"/>
      </w:numPr>
      <w:spacing w:after="240"/>
    </w:pPr>
    <w:rPr>
      <w:rFonts w:eastAsia="Times New Roman"/>
      <w:sz w:val="22"/>
      <w:szCs w:val="22"/>
      <w:u w:val="single"/>
      <w:lang w:val="en-GB" w:eastAsia="sv-SE"/>
    </w:rPr>
  </w:style>
  <w:style w:type="paragraph" w:customStyle="1" w:styleId="DocID">
    <w:name w:val="DocID"/>
    <w:basedOn w:val="Footer"/>
    <w:next w:val="Footer"/>
    <w:link w:val="DocIDChar"/>
    <w:rsid w:val="000F5A53"/>
    <w:pPr>
      <w:tabs>
        <w:tab w:val="clear" w:pos="9350"/>
      </w:tabs>
      <w:spacing w:line="240" w:lineRule="auto"/>
    </w:pPr>
    <w:rPr>
      <w:rFonts w:ascii="Times New Roman" w:eastAsia="Times New Roman" w:hAnsi="Times New Roman"/>
      <w:noProof w:val="0"/>
      <w:lang w:eastAsia="en-GB"/>
    </w:rPr>
  </w:style>
  <w:style w:type="character" w:customStyle="1" w:styleId="DocIDChar">
    <w:name w:val="DocID Char"/>
    <w:link w:val="DocID"/>
    <w:rsid w:val="000F5A53"/>
    <w:rPr>
      <w:rFonts w:eastAsia="Times New Roman"/>
      <w:sz w:val="16"/>
      <w:szCs w:val="24"/>
      <w:lang w:val="en-GB" w:eastAsia="en-GB"/>
    </w:rPr>
  </w:style>
  <w:style w:type="paragraph" w:customStyle="1" w:styleId="ColorfulShading-Accent11">
    <w:name w:val="Colorful Shading - Accent 11"/>
    <w:hidden/>
    <w:uiPriority w:val="99"/>
    <w:semiHidden/>
    <w:rsid w:val="000F5A53"/>
    <w:rPr>
      <w:rFonts w:ascii="Georgia" w:eastAsia="Times New Roman" w:hAnsi="Georgia"/>
      <w:lang w:val="en-GB" w:eastAsia="en-GB"/>
    </w:rPr>
  </w:style>
  <w:style w:type="paragraph" w:customStyle="1" w:styleId="Listlevel2i">
    <w:name w:val="List level 2 (i)"/>
    <w:uiPriority w:val="1"/>
    <w:qFormat/>
    <w:rsid w:val="000F5A53"/>
    <w:pPr>
      <w:tabs>
        <w:tab w:val="num" w:pos="2449"/>
      </w:tabs>
      <w:spacing w:after="240"/>
      <w:ind w:left="2449" w:hanging="720"/>
    </w:pPr>
    <w:rPr>
      <w:rFonts w:eastAsia="Times New Roman"/>
      <w:sz w:val="22"/>
      <w:szCs w:val="24"/>
      <w:lang w:val="en-GB" w:eastAsia="sv-SE"/>
    </w:rPr>
  </w:style>
  <w:style w:type="paragraph" w:customStyle="1" w:styleId="Listlevel3A">
    <w:name w:val="List level 3 (A)"/>
    <w:uiPriority w:val="2"/>
    <w:qFormat/>
    <w:rsid w:val="000F5A53"/>
    <w:pPr>
      <w:tabs>
        <w:tab w:val="num" w:pos="3170"/>
      </w:tabs>
      <w:spacing w:after="240"/>
      <w:ind w:left="3170" w:hanging="721"/>
    </w:pPr>
    <w:rPr>
      <w:rFonts w:eastAsia="Times New Roman"/>
      <w:sz w:val="22"/>
      <w:szCs w:val="24"/>
      <w:lang w:val="en-GB" w:eastAsia="sv-SE"/>
    </w:rPr>
  </w:style>
  <w:style w:type="paragraph" w:customStyle="1" w:styleId="Numbparagr3AltU">
    <w:name w:val="Numb paragr 3 Alt+U"/>
    <w:basedOn w:val="Heading3"/>
    <w:qFormat/>
    <w:rsid w:val="000F5A53"/>
    <w:pPr>
      <w:numPr>
        <w:ilvl w:val="0"/>
        <w:numId w:val="0"/>
      </w:numPr>
      <w:tabs>
        <w:tab w:val="num" w:pos="1622"/>
      </w:tabs>
      <w:spacing w:after="240" w:line="240" w:lineRule="auto"/>
      <w:ind w:left="1622" w:hanging="902"/>
    </w:pPr>
    <w:rPr>
      <w:rFonts w:eastAsia="Times New Roman" w:cs="Arial"/>
      <w:bCs/>
      <w:iCs/>
      <w:kern w:val="32"/>
      <w:szCs w:val="26"/>
      <w:lang w:eastAsia="sv-SE"/>
    </w:rPr>
  </w:style>
  <w:style w:type="paragraph" w:customStyle="1" w:styleId="Headertitlepage">
    <w:name w:val="Header title page"/>
    <w:basedOn w:val="Normal"/>
    <w:rsid w:val="000F5A53"/>
    <w:pPr>
      <w:spacing w:after="240"/>
      <w:jc w:val="right"/>
    </w:pPr>
    <w:rPr>
      <w:rFonts w:eastAsia="Times New Roman"/>
      <w:lang w:val="en-GB" w:eastAsia="sv-SE"/>
    </w:rPr>
  </w:style>
  <w:style w:type="table" w:customStyle="1" w:styleId="BMTableFillGreen">
    <w:name w:val="B&amp;M Table Fill (Green)"/>
    <w:basedOn w:val="TableNormal"/>
    <w:uiPriority w:val="99"/>
    <w:rsid w:val="000F5A53"/>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pPr>
        <w:jc w:val="left"/>
      </w:pPr>
      <w:rPr>
        <w:rFonts w:cs="Times New Roman"/>
        <w:color w:val="FFFFFF" w:themeColor="background1"/>
      </w:rPr>
      <w:tblPr/>
      <w:tcPr>
        <w:shd w:val="clear" w:color="auto" w:fill="A2AD00" w:themeFill="accent4"/>
      </w:tcPr>
    </w:tblStylePr>
    <w:tblStylePr w:type="lastRow">
      <w:rPr>
        <w:rFonts w:cs="Times New Roman"/>
      </w:rPr>
      <w:tblPr/>
      <w:tcPr>
        <w:tcBorders>
          <w:bottom w:val="single" w:sz="8" w:space="0" w:color="A2AD00" w:themeColor="accent4"/>
        </w:tcBorders>
        <w:shd w:val="clear" w:color="auto" w:fill="F2F2F2" w:themeFill="background1" w:themeFillShade="F2"/>
      </w:tcPr>
    </w:tblStylePr>
  </w:style>
  <w:style w:type="table" w:customStyle="1" w:styleId="BMTableFillBurgundy">
    <w:name w:val="B&amp;M Table Fill (Burgundy)"/>
    <w:basedOn w:val="TableNormal"/>
    <w:uiPriority w:val="99"/>
    <w:rsid w:val="000F5A5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pPr>
        <w:jc w:val="left"/>
      </w:pPr>
      <w:rPr>
        <w:rFonts w:cs="Times New Roman"/>
        <w:b w:val="0"/>
        <w:color w:val="FFFFFF"/>
      </w:rPr>
      <w:tblPr/>
      <w:tcPr>
        <w:tcBorders>
          <w:bottom w:val="nil"/>
        </w:tcBorders>
        <w:shd w:val="clear" w:color="auto" w:fill="A71930" w:themeFill="accent1"/>
      </w:tcPr>
    </w:tblStylePr>
    <w:tblStylePr w:type="lastRow">
      <w:rPr>
        <w:rFonts w:cs="Times New Roman"/>
      </w:rPr>
      <w:tblPr/>
      <w:tcPr>
        <w:tcBorders>
          <w:bottom w:val="single" w:sz="8" w:space="0" w:color="A71930" w:themeColor="accent1"/>
        </w:tcBorders>
        <w:shd w:val="clear" w:color="auto" w:fill="F2F2F2" w:themeFill="background1" w:themeFillShade="F2"/>
      </w:tcPr>
    </w:tblStylePr>
  </w:style>
  <w:style w:type="paragraph" w:customStyle="1" w:styleId="PrecedentCoverH1">
    <w:name w:val="Precedent Cover H1"/>
    <w:basedOn w:val="Normal"/>
    <w:uiPriority w:val="11"/>
    <w:rsid w:val="000F5A53"/>
    <w:pPr>
      <w:pageBreakBefore/>
      <w:spacing w:after="240" w:line="320" w:lineRule="atLeast"/>
      <w:outlineLvl w:val="0"/>
    </w:pPr>
    <w:rPr>
      <w:rFonts w:asciiTheme="majorHAnsi" w:hAnsiTheme="majorHAnsi" w:cstheme="minorBidi"/>
      <w:noProof/>
      <w:color w:val="A71930" w:themeColor="accent1"/>
      <w:sz w:val="40"/>
      <w:szCs w:val="28"/>
      <w:lang w:val="en-AU" w:eastAsia="en-AU"/>
    </w:rPr>
  </w:style>
  <w:style w:type="paragraph" w:customStyle="1" w:styleId="PrecedentCoverH2">
    <w:name w:val="Precedent Cover H2"/>
    <w:basedOn w:val="Normal"/>
    <w:uiPriority w:val="11"/>
    <w:rsid w:val="000F5A53"/>
    <w:pPr>
      <w:spacing w:before="240" w:after="120" w:line="240" w:lineRule="atLeast"/>
      <w:outlineLvl w:val="0"/>
    </w:pPr>
    <w:rPr>
      <w:rFonts w:ascii="Arial" w:eastAsia="MS Gothic" w:hAnsi="Arial" w:cs="Arial"/>
      <w:color w:val="A71930"/>
      <w:sz w:val="28"/>
      <w:lang w:val="en-GB" w:eastAsia="en-AU"/>
    </w:rPr>
  </w:style>
  <w:style w:type="paragraph" w:customStyle="1" w:styleId="PrecedentCoverDocumentTitle">
    <w:name w:val="Precedent Cover Document Title"/>
    <w:basedOn w:val="Normal"/>
    <w:uiPriority w:val="11"/>
    <w:rsid w:val="000F5A53"/>
    <w:pPr>
      <w:spacing w:before="360" w:after="120" w:line="240" w:lineRule="atLeast"/>
      <w:outlineLvl w:val="2"/>
    </w:pPr>
    <w:rPr>
      <w:rFonts w:ascii="Arial" w:eastAsia="MS Gothic" w:hAnsi="Arial" w:cs="Arial"/>
      <w:b/>
      <w:color w:val="404143" w:themeColor="text1"/>
      <w:sz w:val="36"/>
      <w:lang w:val="en-GB" w:eastAsia="en-AU"/>
    </w:rPr>
  </w:style>
  <w:style w:type="paragraph" w:customStyle="1" w:styleId="PrecedentCoverTableHeading">
    <w:name w:val="Precedent Cover Table Heading"/>
    <w:basedOn w:val="Normal"/>
    <w:uiPriority w:val="11"/>
    <w:rsid w:val="000F5A53"/>
    <w:pPr>
      <w:spacing w:before="120" w:after="120" w:line="240" w:lineRule="atLeast"/>
    </w:pPr>
    <w:rPr>
      <w:rFonts w:ascii="Arial Bold" w:eastAsia="MS Mincho" w:hAnsi="Arial Bold"/>
      <w:b/>
      <w:color w:val="FFFFFF"/>
      <w:sz w:val="20"/>
      <w:szCs w:val="20"/>
      <w:lang w:val="en-GB" w:eastAsia="en-AU"/>
    </w:rPr>
  </w:style>
  <w:style w:type="paragraph" w:customStyle="1" w:styleId="PrecedentCoverTableText-Bold">
    <w:name w:val="Precedent Cover Table Text - Bold"/>
    <w:basedOn w:val="Normal"/>
    <w:uiPriority w:val="11"/>
    <w:rsid w:val="000F5A53"/>
    <w:pPr>
      <w:spacing w:before="60" w:after="60" w:line="240" w:lineRule="atLeast"/>
    </w:pPr>
    <w:rPr>
      <w:rFonts w:ascii="Arial" w:eastAsia="MS Mincho" w:hAnsi="Arial"/>
      <w:b/>
      <w:color w:val="404143" w:themeColor="text1"/>
      <w:sz w:val="20"/>
      <w:szCs w:val="20"/>
      <w:lang w:val="en-GB" w:eastAsia="en-AU"/>
    </w:rPr>
  </w:style>
  <w:style w:type="paragraph" w:customStyle="1" w:styleId="PrecedentCoverTableText">
    <w:name w:val="Precedent Cover Table Text"/>
    <w:basedOn w:val="Normal"/>
    <w:uiPriority w:val="11"/>
    <w:rsid w:val="000F5A53"/>
    <w:pPr>
      <w:numPr>
        <w:numId w:val="27"/>
      </w:numPr>
      <w:spacing w:before="60" w:after="60" w:line="240" w:lineRule="atLeast"/>
    </w:pPr>
    <w:rPr>
      <w:rFonts w:ascii="Arial" w:eastAsia="MS Mincho" w:hAnsi="Arial"/>
      <w:color w:val="404143" w:themeColor="text1"/>
      <w:sz w:val="20"/>
      <w:szCs w:val="20"/>
      <w:lang w:val="en-GB" w:eastAsia="en-AU"/>
    </w:rPr>
  </w:style>
  <w:style w:type="paragraph" w:customStyle="1" w:styleId="PrecedentCoverTableText-Numbered">
    <w:name w:val="Precedent Cover Table Text - Numbered"/>
    <w:basedOn w:val="PrecedentCoverTableText"/>
    <w:uiPriority w:val="11"/>
    <w:rsid w:val="000F5A53"/>
    <w:pPr>
      <w:numPr>
        <w:numId w:val="28"/>
      </w:numPr>
      <w:ind w:left="567" w:hanging="567"/>
    </w:pPr>
    <w:rPr>
      <w:b/>
      <w:bCs/>
      <w:color w:val="A71930" w:themeColor="accent1"/>
    </w:rPr>
  </w:style>
  <w:style w:type="numbering" w:customStyle="1" w:styleId="BMIndents0">
    <w:name w:val="B&amp;M Indents"/>
    <w:uiPriority w:val="99"/>
    <w:rsid w:val="000F5A53"/>
  </w:style>
  <w:style w:type="paragraph" w:customStyle="1" w:styleId="CoverText">
    <w:name w:val="CoverText"/>
    <w:uiPriority w:val="11"/>
    <w:semiHidden/>
    <w:rsid w:val="000F5A53"/>
    <w:pPr>
      <w:spacing w:after="180" w:line="260" w:lineRule="exact"/>
    </w:pPr>
    <w:rPr>
      <w:rFonts w:eastAsiaTheme="minorEastAsia" w:cstheme="minorHAnsi"/>
      <w:sz w:val="22"/>
      <w:szCs w:val="22"/>
      <w:lang w:val="en-US" w:eastAsia="en-US"/>
    </w:rPr>
  </w:style>
  <w:style w:type="table" w:customStyle="1" w:styleId="CoverTable">
    <w:name w:val="CoverTable"/>
    <w:basedOn w:val="TableNormal"/>
    <w:uiPriority w:val="99"/>
    <w:rsid w:val="000F5A53"/>
    <w:rPr>
      <w:rFonts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576A"/>
    <w:rPr>
      <w:color w:val="605E5C"/>
      <w:shd w:val="clear" w:color="auto" w:fill="E1DFDD"/>
    </w:rPr>
  </w:style>
  <w:style w:type="character" w:customStyle="1" w:styleId="SubHeadingChar">
    <w:name w:val="Sub Heading Char"/>
    <w:basedOn w:val="DefaultParagraphFont"/>
    <w:link w:val="SubHeading"/>
    <w:rsid w:val="00F3012E"/>
    <w:rPr>
      <w:rFonts w:ascii="Arial" w:hAnsi="Arial"/>
      <w:b/>
      <w:sz w:val="22"/>
      <w:lang w:val="en-GB" w:eastAsia="en-US"/>
    </w:rPr>
  </w:style>
  <w:style w:type="paragraph" w:customStyle="1" w:styleId="ListNumbering1">
    <w:name w:val="List Numbering 1"/>
    <w:basedOn w:val="Normal"/>
    <w:link w:val="ListNumbering1Char"/>
    <w:uiPriority w:val="98"/>
    <w:qFormat/>
    <w:rsid w:val="00F3012E"/>
    <w:pPr>
      <w:numPr>
        <w:numId w:val="42"/>
      </w:numPr>
    </w:pPr>
    <w:rPr>
      <w:rFonts w:eastAsia="Times New Roman"/>
      <w:bCs/>
      <w:szCs w:val="28"/>
      <w:lang w:val="en-GB" w:eastAsia="zh-CN"/>
    </w:rPr>
  </w:style>
  <w:style w:type="paragraph" w:styleId="TOCHeading0">
    <w:name w:val="TOC Heading"/>
    <w:basedOn w:val="Heading1"/>
    <w:next w:val="Normal"/>
    <w:uiPriority w:val="39"/>
    <w:semiHidden/>
    <w:unhideWhenUsed/>
    <w:qFormat/>
    <w:rsid w:val="00F3012E"/>
    <w:pPr>
      <w:keepLines/>
      <w:numPr>
        <w:numId w:val="0"/>
      </w:numPr>
      <w:spacing w:before="480" w:after="0" w:line="240" w:lineRule="auto"/>
      <w:outlineLvl w:val="9"/>
    </w:pPr>
    <w:rPr>
      <w:rFonts w:asciiTheme="majorHAnsi" w:eastAsiaTheme="majorEastAsia" w:hAnsiTheme="majorHAnsi" w:cstheme="majorBidi"/>
      <w:bCs/>
      <w:color w:val="EBB700" w:themeColor="accent2"/>
      <w:sz w:val="28"/>
      <w:szCs w:val="28"/>
      <w:lang w:eastAsia="zh-CN"/>
    </w:rPr>
  </w:style>
  <w:style w:type="paragraph" w:styleId="Bibliography">
    <w:name w:val="Bibliography"/>
    <w:basedOn w:val="Normal"/>
    <w:next w:val="Normal"/>
    <w:uiPriority w:val="37"/>
    <w:semiHidden/>
    <w:unhideWhenUsed/>
    <w:rsid w:val="00F3012E"/>
    <w:rPr>
      <w:rFonts w:asciiTheme="minorHAnsi" w:eastAsiaTheme="minorEastAsia" w:hAnsiTheme="minorHAnsi" w:cstheme="minorBidi"/>
      <w:szCs w:val="28"/>
      <w:lang w:val="en-GB" w:eastAsia="zh-CN"/>
    </w:rPr>
  </w:style>
  <w:style w:type="paragraph" w:styleId="NoteHeading">
    <w:name w:val="Note Heading"/>
    <w:basedOn w:val="Normal"/>
    <w:next w:val="Normal"/>
    <w:semiHidden/>
    <w:unhideWhenUsed/>
    <w:rsid w:val="00F3012E"/>
    <w:rPr>
      <w:rFonts w:asciiTheme="minorHAnsi" w:eastAsiaTheme="minorEastAsia" w:hAnsiTheme="minorHAnsi" w:cstheme="minorBidi"/>
      <w:szCs w:val="28"/>
      <w:lang w:val="en-GB" w:eastAsia="zh-CN"/>
    </w:rPr>
  </w:style>
  <w:style w:type="character" w:customStyle="1" w:styleId="NoteHeadingChar1">
    <w:name w:val="Note Heading Char1"/>
    <w:basedOn w:val="DefaultParagraphFont"/>
    <w:semiHidden/>
    <w:rsid w:val="00F3012E"/>
    <w:rPr>
      <w:sz w:val="22"/>
      <w:szCs w:val="24"/>
      <w:lang w:val="sv-SE" w:eastAsia="en-US"/>
    </w:rPr>
  </w:style>
  <w:style w:type="character" w:customStyle="1" w:styleId="BoxNoteBulletChar">
    <w:name w:val="Box Note Bullet Char"/>
    <w:basedOn w:val="BoxNoteChar"/>
    <w:link w:val="BoxNoteBullet"/>
    <w:uiPriority w:val="9"/>
    <w:semiHidden/>
    <w:rsid w:val="00F3012E"/>
    <w:rPr>
      <w:rFonts w:eastAsia="Times New Roman"/>
      <w:color w:val="FF0000"/>
      <w:sz w:val="18"/>
      <w:szCs w:val="28"/>
      <w:lang w:val="en-US" w:eastAsia="zh-CN"/>
    </w:rPr>
  </w:style>
  <w:style w:type="character" w:customStyle="1" w:styleId="ListNumbering1Char">
    <w:name w:val="List Numbering 1 Char"/>
    <w:basedOn w:val="DefaultParagraphFont"/>
    <w:link w:val="ListNumbering1"/>
    <w:uiPriority w:val="98"/>
    <w:rsid w:val="00F3012E"/>
    <w:rPr>
      <w:rFonts w:eastAsia="Times New Roman"/>
      <w:bCs/>
      <w:sz w:val="22"/>
      <w:szCs w:val="28"/>
      <w:lang w:val="en-GB" w:eastAsia="zh-CN"/>
    </w:rPr>
  </w:style>
  <w:style w:type="paragraph" w:customStyle="1" w:styleId="BodyText4">
    <w:name w:val="Body Text 4"/>
    <w:basedOn w:val="BodyText"/>
    <w:link w:val="BodyText4Char"/>
    <w:qFormat/>
    <w:rsid w:val="00F3012E"/>
    <w:pPr>
      <w:numPr>
        <w:ilvl w:val="3"/>
      </w:numPr>
      <w:ind w:left="2160"/>
    </w:pPr>
    <w:rPr>
      <w:rFonts w:asciiTheme="minorHAnsi" w:eastAsiaTheme="minorEastAsia" w:hAnsiTheme="minorHAnsi" w:cstheme="minorBidi"/>
      <w:szCs w:val="28"/>
      <w:lang w:eastAsia="zh-CN"/>
    </w:rPr>
  </w:style>
  <w:style w:type="character" w:customStyle="1" w:styleId="BodyText4Char">
    <w:name w:val="Body Text 4 Char"/>
    <w:basedOn w:val="DefaultParagraphFont"/>
    <w:link w:val="BodyText4"/>
    <w:rsid w:val="00F3012E"/>
    <w:rPr>
      <w:rFonts w:asciiTheme="minorHAnsi" w:eastAsiaTheme="minorEastAsia" w:hAnsiTheme="minorHAnsi" w:cstheme="minorBidi"/>
      <w:sz w:val="22"/>
      <w:szCs w:val="28"/>
      <w:lang w:val="en-GB" w:eastAsia="zh-CN"/>
    </w:rPr>
  </w:style>
  <w:style w:type="paragraph" w:customStyle="1" w:styleId="BodyText5">
    <w:name w:val="Body Text 5"/>
    <w:basedOn w:val="BodyText"/>
    <w:link w:val="BodyText5Char"/>
    <w:semiHidden/>
    <w:qFormat/>
    <w:rsid w:val="00F3012E"/>
    <w:pPr>
      <w:numPr>
        <w:ilvl w:val="4"/>
      </w:numPr>
      <w:ind w:left="2880"/>
    </w:pPr>
    <w:rPr>
      <w:rFonts w:asciiTheme="minorHAnsi" w:eastAsia="Times New Roman" w:hAnsiTheme="minorHAnsi" w:cstheme="minorBidi"/>
      <w:szCs w:val="28"/>
      <w:lang w:eastAsia="zh-CN"/>
    </w:rPr>
  </w:style>
  <w:style w:type="character" w:customStyle="1" w:styleId="BodyText5Char">
    <w:name w:val="Body Text 5 Char"/>
    <w:basedOn w:val="DefaultParagraphFont"/>
    <w:link w:val="BodyText5"/>
    <w:semiHidden/>
    <w:rsid w:val="00F3012E"/>
    <w:rPr>
      <w:rFonts w:asciiTheme="minorHAnsi" w:eastAsia="Times New Roman" w:hAnsiTheme="minorHAnsi" w:cstheme="minorBidi"/>
      <w:sz w:val="22"/>
      <w:szCs w:val="28"/>
      <w:lang w:val="en-GB" w:eastAsia="zh-CN"/>
    </w:rPr>
  </w:style>
  <w:style w:type="paragraph" w:customStyle="1" w:styleId="BodyText6">
    <w:name w:val="Body Text 6"/>
    <w:basedOn w:val="BodyText"/>
    <w:link w:val="BodyText6Char"/>
    <w:uiPriority w:val="9"/>
    <w:semiHidden/>
    <w:rsid w:val="00F3012E"/>
    <w:pPr>
      <w:ind w:left="3600"/>
    </w:pPr>
    <w:rPr>
      <w:rFonts w:asciiTheme="minorHAnsi" w:eastAsia="Times New Roman" w:hAnsiTheme="minorHAnsi" w:cstheme="minorBidi"/>
      <w:szCs w:val="28"/>
      <w:lang w:eastAsia="zh-CN"/>
    </w:rPr>
  </w:style>
  <w:style w:type="character" w:customStyle="1" w:styleId="BodyText6Char">
    <w:name w:val="Body Text 6 Char"/>
    <w:basedOn w:val="DefaultParagraphFont"/>
    <w:link w:val="BodyText6"/>
    <w:uiPriority w:val="9"/>
    <w:semiHidden/>
    <w:rsid w:val="00F3012E"/>
    <w:rPr>
      <w:rFonts w:asciiTheme="minorHAnsi" w:eastAsia="Times New Roman" w:hAnsiTheme="minorHAnsi" w:cstheme="minorBidi"/>
      <w:sz w:val="22"/>
      <w:szCs w:val="28"/>
      <w:lang w:val="en-GB" w:eastAsia="zh-CN"/>
    </w:rPr>
  </w:style>
  <w:style w:type="paragraph" w:customStyle="1" w:styleId="BodyText7">
    <w:name w:val="Body Text 7"/>
    <w:basedOn w:val="BodyText"/>
    <w:link w:val="BodyText7Char"/>
    <w:uiPriority w:val="9"/>
    <w:semiHidden/>
    <w:qFormat/>
    <w:rsid w:val="00F3012E"/>
    <w:pPr>
      <w:ind w:left="4320"/>
    </w:pPr>
    <w:rPr>
      <w:rFonts w:asciiTheme="minorHAnsi" w:eastAsia="Times New Roman" w:hAnsiTheme="minorHAnsi" w:cstheme="minorBidi"/>
      <w:szCs w:val="28"/>
      <w:lang w:eastAsia="zh-CN"/>
    </w:rPr>
  </w:style>
  <w:style w:type="character" w:customStyle="1" w:styleId="BodyText7Char">
    <w:name w:val="Body Text 7 Char"/>
    <w:basedOn w:val="BodyText6Char"/>
    <w:link w:val="BodyText7"/>
    <w:uiPriority w:val="9"/>
    <w:semiHidden/>
    <w:rsid w:val="00F3012E"/>
    <w:rPr>
      <w:rFonts w:asciiTheme="minorHAnsi" w:eastAsia="Times New Roman" w:hAnsiTheme="minorHAnsi" w:cstheme="minorBidi"/>
      <w:sz w:val="22"/>
      <w:szCs w:val="28"/>
      <w:lang w:val="en-GB" w:eastAsia="zh-CN"/>
    </w:rPr>
  </w:style>
  <w:style w:type="paragraph" w:customStyle="1" w:styleId="BoxNote">
    <w:name w:val="Box Note"/>
    <w:link w:val="BoxNoteChar"/>
    <w:uiPriority w:val="12"/>
    <w:semiHidden/>
    <w:qFormat/>
    <w:rsid w:val="00F3012E"/>
    <w:pPr>
      <w:pBdr>
        <w:top w:val="single" w:sz="4" w:space="1" w:color="FF0000"/>
        <w:left w:val="single" w:sz="4" w:space="4" w:color="FF0000"/>
        <w:bottom w:val="single" w:sz="4" w:space="1" w:color="FF0000"/>
        <w:right w:val="single" w:sz="4" w:space="4" w:color="FF0000"/>
      </w:pBdr>
      <w:spacing w:after="120"/>
    </w:pPr>
    <w:rPr>
      <w:rFonts w:eastAsia="Times New Roman"/>
      <w:color w:val="FF0000"/>
      <w:sz w:val="18"/>
      <w:szCs w:val="28"/>
      <w:lang w:val="en-US" w:eastAsia="zh-CN"/>
    </w:rPr>
  </w:style>
  <w:style w:type="character" w:customStyle="1" w:styleId="BoxNoteChar">
    <w:name w:val="Box Note Char"/>
    <w:link w:val="BoxNote"/>
    <w:uiPriority w:val="12"/>
    <w:semiHidden/>
    <w:rsid w:val="00F3012E"/>
    <w:rPr>
      <w:rFonts w:eastAsia="Times New Roman"/>
      <w:color w:val="FF0000"/>
      <w:sz w:val="18"/>
      <w:szCs w:val="28"/>
      <w:lang w:val="en-US" w:eastAsia="zh-CN"/>
    </w:rPr>
  </w:style>
  <w:style w:type="paragraph" w:customStyle="1" w:styleId="BoxNoteBullet">
    <w:name w:val="Box Note Bullet"/>
    <w:basedOn w:val="BoxNote"/>
    <w:link w:val="BoxNoteBulletChar"/>
    <w:uiPriority w:val="9"/>
    <w:semiHidden/>
    <w:qFormat/>
    <w:rsid w:val="00F3012E"/>
    <w:pPr>
      <w:numPr>
        <w:numId w:val="39"/>
      </w:numPr>
      <w:ind w:left="360"/>
    </w:pPr>
    <w:rPr>
      <w:lang w:eastAsia="en-AU"/>
    </w:rPr>
  </w:style>
  <w:style w:type="paragraph" w:customStyle="1" w:styleId="BoxNoteHeading">
    <w:name w:val="Box Note Heading"/>
    <w:basedOn w:val="BoxNote"/>
    <w:next w:val="BoxNote"/>
    <w:link w:val="BoxNoteHeadingChar"/>
    <w:uiPriority w:val="9"/>
    <w:semiHidden/>
    <w:rsid w:val="00F3012E"/>
    <w:rPr>
      <w:b/>
    </w:rPr>
  </w:style>
  <w:style w:type="paragraph" w:customStyle="1" w:styleId="TableTitle">
    <w:name w:val="Table Title"/>
    <w:basedOn w:val="Normal"/>
    <w:next w:val="BodyText"/>
    <w:link w:val="TableTitleChar"/>
    <w:uiPriority w:val="9"/>
    <w:rsid w:val="00F3012E"/>
    <w:pPr>
      <w:keepNext/>
      <w:widowControl w:val="0"/>
      <w:spacing w:after="120"/>
    </w:pPr>
    <w:rPr>
      <w:rFonts w:eastAsia="Times New Roman"/>
      <w:b/>
      <w:bCs/>
      <w:caps/>
      <w:szCs w:val="28"/>
      <w:lang w:val="en-GB" w:eastAsia="zh-CN"/>
    </w:rPr>
  </w:style>
  <w:style w:type="paragraph" w:customStyle="1" w:styleId="Bullet0ptAfter1">
    <w:name w:val="Bullet (0pt After) 1"/>
    <w:basedOn w:val="Normal"/>
    <w:link w:val="Bullet0ptAfter1Char"/>
    <w:uiPriority w:val="98"/>
    <w:qFormat/>
    <w:rsid w:val="00F3012E"/>
    <w:pPr>
      <w:numPr>
        <w:numId w:val="44"/>
      </w:numPr>
      <w:outlineLvl w:val="0"/>
    </w:pPr>
    <w:rPr>
      <w:rFonts w:eastAsiaTheme="minorEastAsia" w:cstheme="minorBidi"/>
      <w:bCs/>
      <w:szCs w:val="28"/>
      <w:lang w:val="en-GB" w:eastAsia="zh-CN"/>
    </w:rPr>
  </w:style>
  <w:style w:type="paragraph" w:customStyle="1" w:styleId="Bullet0ptAfter2">
    <w:name w:val="Bullet (0pt After) 2"/>
    <w:basedOn w:val="Bullet0ptAfter1"/>
    <w:link w:val="Bullet0ptAfter2Char"/>
    <w:uiPriority w:val="98"/>
    <w:rsid w:val="00F3012E"/>
    <w:pPr>
      <w:numPr>
        <w:ilvl w:val="1"/>
      </w:numPr>
      <w:outlineLvl w:val="1"/>
    </w:pPr>
  </w:style>
  <w:style w:type="paragraph" w:customStyle="1" w:styleId="Bullet0ptAfter3">
    <w:name w:val="Bullet (0pt After) 3"/>
    <w:basedOn w:val="Bullet0ptAfter1"/>
    <w:link w:val="Bullet0ptAfter3Char"/>
    <w:uiPriority w:val="98"/>
    <w:rsid w:val="00F3012E"/>
    <w:pPr>
      <w:numPr>
        <w:ilvl w:val="2"/>
      </w:numPr>
      <w:outlineLvl w:val="2"/>
    </w:pPr>
  </w:style>
  <w:style w:type="paragraph" w:customStyle="1" w:styleId="Bullet0ptAfter4">
    <w:name w:val="Bullet (0pt After) 4"/>
    <w:basedOn w:val="Bullet0ptAfter1"/>
    <w:link w:val="Bullet0ptAfter4Char"/>
    <w:uiPriority w:val="98"/>
    <w:semiHidden/>
    <w:rsid w:val="00F3012E"/>
    <w:pPr>
      <w:numPr>
        <w:ilvl w:val="3"/>
      </w:numPr>
      <w:outlineLvl w:val="3"/>
    </w:pPr>
  </w:style>
  <w:style w:type="paragraph" w:customStyle="1" w:styleId="Bullet0ptAfter5">
    <w:name w:val="Bullet (0pt After) 5"/>
    <w:basedOn w:val="Bullet0ptAfter1"/>
    <w:link w:val="Bullet0ptAfter5Char"/>
    <w:uiPriority w:val="98"/>
    <w:semiHidden/>
    <w:rsid w:val="00F3012E"/>
    <w:pPr>
      <w:numPr>
        <w:ilvl w:val="4"/>
      </w:numPr>
      <w:outlineLvl w:val="4"/>
    </w:pPr>
  </w:style>
  <w:style w:type="paragraph" w:customStyle="1" w:styleId="Bullet0ptAfter6">
    <w:name w:val="Bullet (0pt After) 6"/>
    <w:basedOn w:val="Bullet0ptAfter1"/>
    <w:link w:val="Bullet0ptAfter6Char"/>
    <w:uiPriority w:val="98"/>
    <w:semiHidden/>
    <w:rsid w:val="00F3012E"/>
    <w:pPr>
      <w:numPr>
        <w:ilvl w:val="5"/>
      </w:numPr>
      <w:outlineLvl w:val="5"/>
    </w:pPr>
  </w:style>
  <w:style w:type="paragraph" w:customStyle="1" w:styleId="Bullet0ptAfter7">
    <w:name w:val="Bullet (0pt After) 7"/>
    <w:basedOn w:val="Normal"/>
    <w:next w:val="BodyText"/>
    <w:link w:val="Bullet0ptAfter7Char"/>
    <w:uiPriority w:val="98"/>
    <w:semiHidden/>
    <w:rsid w:val="00F3012E"/>
    <w:pPr>
      <w:numPr>
        <w:ilvl w:val="6"/>
        <w:numId w:val="44"/>
      </w:numPr>
    </w:pPr>
    <w:rPr>
      <w:rFonts w:eastAsiaTheme="minorEastAsia"/>
      <w:bCs/>
      <w:szCs w:val="28"/>
      <w:lang w:val="en-GB" w:eastAsia="zh-CN"/>
    </w:rPr>
  </w:style>
  <w:style w:type="paragraph" w:customStyle="1" w:styleId="Bullet0ptAfter8">
    <w:name w:val="Bullet (0pt After) 8"/>
    <w:basedOn w:val="Normal"/>
    <w:next w:val="BodyText"/>
    <w:link w:val="Bullet0ptAfter8Char"/>
    <w:uiPriority w:val="98"/>
    <w:semiHidden/>
    <w:rsid w:val="00F3012E"/>
    <w:pPr>
      <w:numPr>
        <w:ilvl w:val="7"/>
        <w:numId w:val="44"/>
      </w:numPr>
    </w:pPr>
    <w:rPr>
      <w:rFonts w:eastAsiaTheme="minorEastAsia"/>
      <w:bCs/>
      <w:szCs w:val="28"/>
      <w:lang w:val="en-GB" w:eastAsia="zh-CN"/>
    </w:rPr>
  </w:style>
  <w:style w:type="paragraph" w:customStyle="1" w:styleId="Bullet0ptAfter9">
    <w:name w:val="Bullet (0pt After) 9"/>
    <w:basedOn w:val="Normal"/>
    <w:next w:val="BodyText"/>
    <w:link w:val="Bullet0ptAfter9Char"/>
    <w:uiPriority w:val="98"/>
    <w:semiHidden/>
    <w:rsid w:val="00F3012E"/>
    <w:pPr>
      <w:numPr>
        <w:ilvl w:val="8"/>
        <w:numId w:val="44"/>
      </w:numPr>
    </w:pPr>
    <w:rPr>
      <w:rFonts w:eastAsiaTheme="minorEastAsia"/>
      <w:bCs/>
      <w:szCs w:val="28"/>
      <w:lang w:val="en-GB" w:eastAsia="zh-CN"/>
    </w:rPr>
  </w:style>
  <w:style w:type="paragraph" w:customStyle="1" w:styleId="Bullet12ptAfter1">
    <w:name w:val="Bullet (12pt After) 1"/>
    <w:basedOn w:val="Normal"/>
    <w:link w:val="Bullet12ptAfter1Char"/>
    <w:uiPriority w:val="98"/>
    <w:qFormat/>
    <w:rsid w:val="00F3012E"/>
    <w:pPr>
      <w:numPr>
        <w:numId w:val="43"/>
      </w:numPr>
    </w:pPr>
    <w:rPr>
      <w:rFonts w:eastAsiaTheme="minorEastAsia" w:cstheme="minorBidi"/>
      <w:bCs/>
      <w:szCs w:val="28"/>
      <w:lang w:val="en-GB" w:eastAsia="zh-CN"/>
    </w:rPr>
  </w:style>
  <w:style w:type="paragraph" w:customStyle="1" w:styleId="Bullet12ptAfter2">
    <w:name w:val="Bullet (12pt After) 2"/>
    <w:basedOn w:val="Bullet12ptAfter1"/>
    <w:link w:val="Bullet12ptAfter2Char"/>
    <w:uiPriority w:val="98"/>
    <w:rsid w:val="00F3012E"/>
    <w:pPr>
      <w:numPr>
        <w:ilvl w:val="1"/>
      </w:numPr>
    </w:pPr>
  </w:style>
  <w:style w:type="paragraph" w:customStyle="1" w:styleId="Bullet12ptAfter3">
    <w:name w:val="Bullet (12pt After) 3"/>
    <w:basedOn w:val="Bullet12ptAfter1"/>
    <w:link w:val="Bullet12ptAfter3Char"/>
    <w:uiPriority w:val="98"/>
    <w:rsid w:val="00F3012E"/>
    <w:pPr>
      <w:numPr>
        <w:ilvl w:val="2"/>
      </w:numPr>
    </w:pPr>
  </w:style>
  <w:style w:type="paragraph" w:customStyle="1" w:styleId="Bullet12ptAfter4">
    <w:name w:val="Bullet (12pt After) 4"/>
    <w:basedOn w:val="Bullet12ptAfter1"/>
    <w:link w:val="Bullet12ptAfter4Char"/>
    <w:uiPriority w:val="98"/>
    <w:semiHidden/>
    <w:rsid w:val="00F3012E"/>
    <w:pPr>
      <w:numPr>
        <w:ilvl w:val="3"/>
      </w:numPr>
    </w:pPr>
  </w:style>
  <w:style w:type="paragraph" w:customStyle="1" w:styleId="Bullet12ptAfter5">
    <w:name w:val="Bullet (12pt After) 5"/>
    <w:basedOn w:val="Bullet12ptAfter1"/>
    <w:link w:val="Bullet12ptAfter5Char"/>
    <w:uiPriority w:val="98"/>
    <w:semiHidden/>
    <w:rsid w:val="00F3012E"/>
    <w:pPr>
      <w:numPr>
        <w:ilvl w:val="4"/>
      </w:numPr>
    </w:pPr>
  </w:style>
  <w:style w:type="paragraph" w:customStyle="1" w:styleId="Bullet12ptAfter6">
    <w:name w:val="Bullet (12pt After) 6"/>
    <w:basedOn w:val="Bullet12ptAfter1"/>
    <w:link w:val="Bullet12ptAfter6Char"/>
    <w:uiPriority w:val="98"/>
    <w:semiHidden/>
    <w:rsid w:val="00F3012E"/>
    <w:pPr>
      <w:numPr>
        <w:ilvl w:val="5"/>
      </w:numPr>
    </w:pPr>
  </w:style>
  <w:style w:type="paragraph" w:customStyle="1" w:styleId="Bullet12ptAfter7">
    <w:name w:val="Bullet (12pt After) 7"/>
    <w:basedOn w:val="Normal"/>
    <w:next w:val="BodyText"/>
    <w:link w:val="Bullet12ptAfter7Char"/>
    <w:uiPriority w:val="98"/>
    <w:semiHidden/>
    <w:rsid w:val="00F3012E"/>
    <w:pPr>
      <w:numPr>
        <w:ilvl w:val="6"/>
        <w:numId w:val="43"/>
      </w:numPr>
    </w:pPr>
    <w:rPr>
      <w:rFonts w:eastAsiaTheme="minorEastAsia"/>
      <w:bCs/>
      <w:szCs w:val="28"/>
      <w:lang w:val="en-GB" w:eastAsia="zh-CN"/>
    </w:rPr>
  </w:style>
  <w:style w:type="paragraph" w:customStyle="1" w:styleId="Bullet12ptAfter8">
    <w:name w:val="Bullet (12pt After) 8"/>
    <w:basedOn w:val="Normal"/>
    <w:next w:val="BodyText"/>
    <w:link w:val="Bullet12ptAfter8Char"/>
    <w:uiPriority w:val="98"/>
    <w:semiHidden/>
    <w:rsid w:val="00F3012E"/>
    <w:pPr>
      <w:numPr>
        <w:ilvl w:val="7"/>
        <w:numId w:val="43"/>
      </w:numPr>
    </w:pPr>
    <w:rPr>
      <w:rFonts w:eastAsiaTheme="minorEastAsia"/>
      <w:bCs/>
      <w:szCs w:val="28"/>
      <w:lang w:val="en-GB" w:eastAsia="zh-CN"/>
    </w:rPr>
  </w:style>
  <w:style w:type="paragraph" w:customStyle="1" w:styleId="Bullet12ptAfter9">
    <w:name w:val="Bullet (12pt After) 9"/>
    <w:basedOn w:val="Normal"/>
    <w:next w:val="BodyText"/>
    <w:link w:val="Bullet12ptAfter9Char"/>
    <w:uiPriority w:val="98"/>
    <w:semiHidden/>
    <w:rsid w:val="00F3012E"/>
    <w:pPr>
      <w:numPr>
        <w:ilvl w:val="8"/>
        <w:numId w:val="43"/>
      </w:numPr>
    </w:pPr>
    <w:rPr>
      <w:rFonts w:eastAsiaTheme="minorEastAsia"/>
      <w:bCs/>
      <w:szCs w:val="28"/>
      <w:lang w:val="en-GB" w:eastAsia="zh-CN"/>
    </w:rPr>
  </w:style>
  <w:style w:type="paragraph" w:customStyle="1" w:styleId="TableBullet1">
    <w:name w:val="Table Bullet 1"/>
    <w:basedOn w:val="Normal"/>
    <w:link w:val="TableBullet1Char"/>
    <w:uiPriority w:val="98"/>
    <w:qFormat/>
    <w:rsid w:val="00F3012E"/>
    <w:pPr>
      <w:numPr>
        <w:numId w:val="41"/>
      </w:numPr>
      <w:spacing w:before="120" w:after="120"/>
    </w:pPr>
    <w:rPr>
      <w:rFonts w:ascii="Arial" w:eastAsiaTheme="minorEastAsia" w:hAnsi="Arial"/>
      <w:szCs w:val="28"/>
      <w:lang w:val="en-GB" w:eastAsia="zh-CN"/>
    </w:rPr>
  </w:style>
  <w:style w:type="character" w:customStyle="1" w:styleId="TableBullet1Char">
    <w:name w:val="Table Bullet 1 Char"/>
    <w:basedOn w:val="Heading1Char"/>
    <w:link w:val="TableBullet1"/>
    <w:uiPriority w:val="98"/>
    <w:rsid w:val="00F3012E"/>
    <w:rPr>
      <w:rFonts w:ascii="Arial" w:eastAsiaTheme="minorEastAsia" w:hAnsi="Arial"/>
      <w:b w:val="0"/>
      <w:sz w:val="22"/>
      <w:szCs w:val="28"/>
      <w:lang w:val="en-GB" w:eastAsia="zh-CN"/>
    </w:rPr>
  </w:style>
  <w:style w:type="paragraph" w:customStyle="1" w:styleId="TableBullet2">
    <w:name w:val="Table Bullet 2"/>
    <w:basedOn w:val="TableBullet1"/>
    <w:link w:val="TableBullet2Char"/>
    <w:uiPriority w:val="98"/>
    <w:rsid w:val="00F3012E"/>
    <w:pPr>
      <w:numPr>
        <w:ilvl w:val="1"/>
      </w:numPr>
    </w:pPr>
  </w:style>
  <w:style w:type="character" w:customStyle="1" w:styleId="TableBullet2Char">
    <w:name w:val="Table Bullet 2 Char"/>
    <w:basedOn w:val="Heading1Char"/>
    <w:link w:val="TableBullet2"/>
    <w:uiPriority w:val="98"/>
    <w:rsid w:val="00F3012E"/>
    <w:rPr>
      <w:rFonts w:ascii="Arial" w:eastAsiaTheme="minorEastAsia" w:hAnsi="Arial"/>
      <w:b w:val="0"/>
      <w:sz w:val="22"/>
      <w:szCs w:val="28"/>
      <w:lang w:val="en-GB" w:eastAsia="zh-CN"/>
    </w:rPr>
  </w:style>
  <w:style w:type="paragraph" w:customStyle="1" w:styleId="TableBullet3">
    <w:name w:val="Table Bullet 3"/>
    <w:basedOn w:val="TableBullet1"/>
    <w:link w:val="TableBullet3Char"/>
    <w:uiPriority w:val="98"/>
    <w:rsid w:val="00F3012E"/>
    <w:pPr>
      <w:numPr>
        <w:ilvl w:val="2"/>
      </w:numPr>
    </w:pPr>
  </w:style>
  <w:style w:type="character" w:customStyle="1" w:styleId="TableBullet3Char">
    <w:name w:val="Table Bullet 3 Char"/>
    <w:basedOn w:val="Heading1Char"/>
    <w:link w:val="TableBullet3"/>
    <w:uiPriority w:val="98"/>
    <w:rsid w:val="00F3012E"/>
    <w:rPr>
      <w:rFonts w:ascii="Arial" w:eastAsiaTheme="minorEastAsia" w:hAnsi="Arial"/>
      <w:b w:val="0"/>
      <w:sz w:val="22"/>
      <w:szCs w:val="28"/>
      <w:lang w:val="en-GB" w:eastAsia="zh-CN"/>
    </w:rPr>
  </w:style>
  <w:style w:type="paragraph" w:customStyle="1" w:styleId="TableBullet4">
    <w:name w:val="Table Bullet 4"/>
    <w:basedOn w:val="Normal"/>
    <w:link w:val="TableBullet4Char"/>
    <w:uiPriority w:val="98"/>
    <w:semiHidden/>
    <w:rsid w:val="00F3012E"/>
    <w:pPr>
      <w:numPr>
        <w:ilvl w:val="3"/>
        <w:numId w:val="41"/>
      </w:numPr>
    </w:pPr>
    <w:rPr>
      <w:rFonts w:ascii="Arial" w:eastAsiaTheme="minorEastAsia" w:hAnsi="Arial"/>
      <w:szCs w:val="28"/>
      <w:lang w:val="en-GB" w:eastAsia="zh-CN"/>
    </w:rPr>
  </w:style>
  <w:style w:type="character" w:customStyle="1" w:styleId="TableBullet4Char">
    <w:name w:val="Table Bullet 4 Char"/>
    <w:basedOn w:val="Heading1Char"/>
    <w:link w:val="TableBullet4"/>
    <w:uiPriority w:val="98"/>
    <w:semiHidden/>
    <w:rsid w:val="00F3012E"/>
    <w:rPr>
      <w:rFonts w:ascii="Arial" w:eastAsiaTheme="minorEastAsia" w:hAnsi="Arial"/>
      <w:b w:val="0"/>
      <w:sz w:val="22"/>
      <w:szCs w:val="28"/>
      <w:lang w:val="en-GB" w:eastAsia="zh-CN"/>
    </w:rPr>
  </w:style>
  <w:style w:type="paragraph" w:customStyle="1" w:styleId="TableBullet5">
    <w:name w:val="Table Bullet 5"/>
    <w:basedOn w:val="Normal"/>
    <w:link w:val="TableBullet5Char"/>
    <w:uiPriority w:val="98"/>
    <w:semiHidden/>
    <w:rsid w:val="00F3012E"/>
    <w:pPr>
      <w:numPr>
        <w:ilvl w:val="4"/>
        <w:numId w:val="41"/>
      </w:numPr>
    </w:pPr>
    <w:rPr>
      <w:rFonts w:ascii="Arial" w:eastAsiaTheme="minorEastAsia" w:hAnsi="Arial"/>
      <w:szCs w:val="28"/>
      <w:lang w:val="en-GB" w:eastAsia="zh-CN"/>
    </w:rPr>
  </w:style>
  <w:style w:type="character" w:customStyle="1" w:styleId="TableBullet5Char">
    <w:name w:val="Table Bullet 5 Char"/>
    <w:basedOn w:val="Heading1Char"/>
    <w:link w:val="TableBullet5"/>
    <w:uiPriority w:val="98"/>
    <w:semiHidden/>
    <w:rsid w:val="00F3012E"/>
    <w:rPr>
      <w:rFonts w:ascii="Arial" w:eastAsiaTheme="minorEastAsia" w:hAnsi="Arial"/>
      <w:b w:val="0"/>
      <w:sz w:val="22"/>
      <w:szCs w:val="28"/>
      <w:lang w:val="en-GB" w:eastAsia="zh-CN"/>
    </w:rPr>
  </w:style>
  <w:style w:type="paragraph" w:customStyle="1" w:styleId="TableBullet6">
    <w:name w:val="Table Bullet 6"/>
    <w:basedOn w:val="Normal"/>
    <w:link w:val="TableBullet6Char"/>
    <w:uiPriority w:val="98"/>
    <w:semiHidden/>
    <w:rsid w:val="00F3012E"/>
    <w:pPr>
      <w:numPr>
        <w:ilvl w:val="5"/>
        <w:numId w:val="41"/>
      </w:numPr>
    </w:pPr>
    <w:rPr>
      <w:rFonts w:ascii="Arial" w:eastAsiaTheme="minorEastAsia" w:hAnsi="Arial"/>
      <w:szCs w:val="28"/>
      <w:lang w:val="en-GB" w:eastAsia="zh-CN"/>
    </w:rPr>
  </w:style>
  <w:style w:type="character" w:customStyle="1" w:styleId="TableBullet6Char">
    <w:name w:val="Table Bullet 6 Char"/>
    <w:basedOn w:val="Heading1Char"/>
    <w:link w:val="TableBullet6"/>
    <w:uiPriority w:val="98"/>
    <w:semiHidden/>
    <w:rsid w:val="00F3012E"/>
    <w:rPr>
      <w:rFonts w:ascii="Arial" w:eastAsiaTheme="minorEastAsia" w:hAnsi="Arial"/>
      <w:b w:val="0"/>
      <w:sz w:val="22"/>
      <w:szCs w:val="28"/>
      <w:lang w:val="en-GB" w:eastAsia="zh-CN"/>
    </w:rPr>
  </w:style>
  <w:style w:type="paragraph" w:customStyle="1" w:styleId="TableBullet7">
    <w:name w:val="Table Bullet 7"/>
    <w:basedOn w:val="Normal"/>
    <w:link w:val="TableBullet7Char"/>
    <w:uiPriority w:val="98"/>
    <w:semiHidden/>
    <w:rsid w:val="00F3012E"/>
    <w:pPr>
      <w:numPr>
        <w:ilvl w:val="6"/>
        <w:numId w:val="41"/>
      </w:numPr>
    </w:pPr>
    <w:rPr>
      <w:rFonts w:ascii="Arial" w:eastAsiaTheme="minorEastAsia" w:hAnsi="Arial"/>
      <w:szCs w:val="28"/>
      <w:lang w:val="en-GB" w:eastAsia="zh-CN"/>
    </w:rPr>
  </w:style>
  <w:style w:type="character" w:customStyle="1" w:styleId="TableBullet7Char">
    <w:name w:val="Table Bullet 7 Char"/>
    <w:basedOn w:val="Heading1Char"/>
    <w:link w:val="TableBullet7"/>
    <w:uiPriority w:val="98"/>
    <w:semiHidden/>
    <w:rsid w:val="00F3012E"/>
    <w:rPr>
      <w:rFonts w:ascii="Arial" w:eastAsiaTheme="minorEastAsia" w:hAnsi="Arial"/>
      <w:b w:val="0"/>
      <w:sz w:val="22"/>
      <w:szCs w:val="28"/>
      <w:lang w:val="en-GB" w:eastAsia="zh-CN"/>
    </w:rPr>
  </w:style>
  <w:style w:type="paragraph" w:customStyle="1" w:styleId="TableBullet8">
    <w:name w:val="Table Bullet 8"/>
    <w:basedOn w:val="Normal"/>
    <w:link w:val="TableBullet8Char"/>
    <w:uiPriority w:val="98"/>
    <w:semiHidden/>
    <w:rsid w:val="00F3012E"/>
    <w:pPr>
      <w:numPr>
        <w:ilvl w:val="7"/>
        <w:numId w:val="41"/>
      </w:numPr>
    </w:pPr>
    <w:rPr>
      <w:rFonts w:ascii="Arial" w:eastAsiaTheme="minorEastAsia" w:hAnsi="Arial"/>
      <w:szCs w:val="28"/>
      <w:lang w:val="en-GB" w:eastAsia="zh-CN"/>
    </w:rPr>
  </w:style>
  <w:style w:type="character" w:customStyle="1" w:styleId="TableBullet8Char">
    <w:name w:val="Table Bullet 8 Char"/>
    <w:basedOn w:val="Heading1Char"/>
    <w:link w:val="TableBullet8"/>
    <w:uiPriority w:val="98"/>
    <w:semiHidden/>
    <w:rsid w:val="00F3012E"/>
    <w:rPr>
      <w:rFonts w:ascii="Arial" w:eastAsiaTheme="minorEastAsia" w:hAnsi="Arial"/>
      <w:b w:val="0"/>
      <w:sz w:val="22"/>
      <w:szCs w:val="28"/>
      <w:lang w:val="en-GB" w:eastAsia="zh-CN"/>
    </w:rPr>
  </w:style>
  <w:style w:type="paragraph" w:customStyle="1" w:styleId="TableBullet9">
    <w:name w:val="Table Bullet 9"/>
    <w:basedOn w:val="Normal"/>
    <w:link w:val="TableBullet9Char"/>
    <w:uiPriority w:val="98"/>
    <w:semiHidden/>
    <w:rsid w:val="00F3012E"/>
    <w:pPr>
      <w:numPr>
        <w:ilvl w:val="8"/>
        <w:numId w:val="41"/>
      </w:numPr>
    </w:pPr>
    <w:rPr>
      <w:rFonts w:ascii="Arial" w:eastAsiaTheme="minorEastAsia" w:hAnsi="Arial"/>
      <w:szCs w:val="28"/>
      <w:lang w:val="en-GB" w:eastAsia="zh-CN"/>
    </w:rPr>
  </w:style>
  <w:style w:type="character" w:customStyle="1" w:styleId="TableBullet9Char">
    <w:name w:val="Table Bullet 9 Char"/>
    <w:basedOn w:val="Heading1Char"/>
    <w:link w:val="TableBullet9"/>
    <w:uiPriority w:val="98"/>
    <w:semiHidden/>
    <w:rsid w:val="00F3012E"/>
    <w:rPr>
      <w:rFonts w:ascii="Arial" w:eastAsiaTheme="minorEastAsia" w:hAnsi="Arial"/>
      <w:b w:val="0"/>
      <w:sz w:val="22"/>
      <w:szCs w:val="28"/>
      <w:lang w:val="en-GB" w:eastAsia="zh-CN"/>
    </w:rPr>
  </w:style>
  <w:style w:type="paragraph" w:customStyle="1" w:styleId="TableNumber1">
    <w:name w:val="Table Number 1"/>
    <w:basedOn w:val="Normal"/>
    <w:link w:val="TableNumber1Char"/>
    <w:uiPriority w:val="98"/>
    <w:qFormat/>
    <w:rsid w:val="00F3012E"/>
    <w:pPr>
      <w:numPr>
        <w:numId w:val="40"/>
      </w:numPr>
      <w:spacing w:before="120" w:after="120"/>
      <w:outlineLvl w:val="0"/>
    </w:pPr>
    <w:rPr>
      <w:rFonts w:ascii="Arial" w:eastAsiaTheme="minorEastAsia" w:hAnsi="Arial"/>
      <w:bCs/>
      <w:szCs w:val="28"/>
      <w:lang w:val="en-GB" w:eastAsia="zh-CN"/>
    </w:rPr>
  </w:style>
  <w:style w:type="character" w:customStyle="1" w:styleId="TableNumber1Char">
    <w:name w:val="Table Number 1 Char"/>
    <w:basedOn w:val="Heading1Char"/>
    <w:link w:val="TableNumber1"/>
    <w:uiPriority w:val="98"/>
    <w:rsid w:val="00F3012E"/>
    <w:rPr>
      <w:rFonts w:ascii="Arial" w:eastAsiaTheme="minorEastAsia" w:hAnsi="Arial"/>
      <w:b w:val="0"/>
      <w:bCs/>
      <w:sz w:val="22"/>
      <w:szCs w:val="28"/>
      <w:lang w:val="en-GB" w:eastAsia="zh-CN"/>
    </w:rPr>
  </w:style>
  <w:style w:type="paragraph" w:customStyle="1" w:styleId="TableNumber2">
    <w:name w:val="Table Number 2"/>
    <w:basedOn w:val="TableNumber1"/>
    <w:link w:val="TableNumber2Char"/>
    <w:uiPriority w:val="98"/>
    <w:rsid w:val="00F3012E"/>
    <w:pPr>
      <w:numPr>
        <w:ilvl w:val="1"/>
      </w:numPr>
      <w:outlineLvl w:val="1"/>
    </w:pPr>
  </w:style>
  <w:style w:type="character" w:customStyle="1" w:styleId="TableNumber2Char">
    <w:name w:val="Table Number 2 Char"/>
    <w:basedOn w:val="Heading1Char"/>
    <w:link w:val="TableNumber2"/>
    <w:uiPriority w:val="98"/>
    <w:rsid w:val="00F3012E"/>
    <w:rPr>
      <w:rFonts w:ascii="Arial" w:eastAsiaTheme="minorEastAsia" w:hAnsi="Arial"/>
      <w:b w:val="0"/>
      <w:bCs/>
      <w:sz w:val="22"/>
      <w:szCs w:val="28"/>
      <w:lang w:val="en-GB" w:eastAsia="zh-CN"/>
    </w:rPr>
  </w:style>
  <w:style w:type="paragraph" w:customStyle="1" w:styleId="TableNumber3">
    <w:name w:val="Table Number 3"/>
    <w:basedOn w:val="TableNumber1"/>
    <w:link w:val="TableNumber3Char"/>
    <w:uiPriority w:val="98"/>
    <w:rsid w:val="00F3012E"/>
    <w:pPr>
      <w:numPr>
        <w:ilvl w:val="2"/>
      </w:numPr>
      <w:outlineLvl w:val="2"/>
    </w:pPr>
  </w:style>
  <w:style w:type="character" w:customStyle="1" w:styleId="TableNumber3Char">
    <w:name w:val="Table Number 3 Char"/>
    <w:basedOn w:val="Heading1Char"/>
    <w:link w:val="TableNumber3"/>
    <w:uiPriority w:val="98"/>
    <w:rsid w:val="00F3012E"/>
    <w:rPr>
      <w:rFonts w:ascii="Arial" w:eastAsiaTheme="minorEastAsia" w:hAnsi="Arial"/>
      <w:b w:val="0"/>
      <w:bCs/>
      <w:sz w:val="22"/>
      <w:szCs w:val="28"/>
      <w:lang w:val="en-GB" w:eastAsia="zh-CN"/>
    </w:rPr>
  </w:style>
  <w:style w:type="paragraph" w:customStyle="1" w:styleId="TableNumber4">
    <w:name w:val="Table Number 4"/>
    <w:basedOn w:val="Normal"/>
    <w:next w:val="BodyText"/>
    <w:link w:val="TableNumber4Char"/>
    <w:uiPriority w:val="98"/>
    <w:semiHidden/>
    <w:rsid w:val="00F3012E"/>
    <w:pPr>
      <w:numPr>
        <w:ilvl w:val="3"/>
        <w:numId w:val="40"/>
      </w:numPr>
      <w:jc w:val="both"/>
      <w:outlineLvl w:val="3"/>
    </w:pPr>
    <w:rPr>
      <w:rFonts w:ascii="Arial" w:eastAsiaTheme="minorEastAsia" w:hAnsi="Arial"/>
      <w:szCs w:val="28"/>
      <w:lang w:val="en-GB" w:eastAsia="zh-CN"/>
    </w:rPr>
  </w:style>
  <w:style w:type="character" w:customStyle="1" w:styleId="TableNumber4Char">
    <w:name w:val="Table Number 4 Char"/>
    <w:basedOn w:val="Heading1Char"/>
    <w:link w:val="TableNumber4"/>
    <w:uiPriority w:val="98"/>
    <w:semiHidden/>
    <w:rsid w:val="00F3012E"/>
    <w:rPr>
      <w:rFonts w:ascii="Arial" w:eastAsiaTheme="minorEastAsia" w:hAnsi="Arial"/>
      <w:b w:val="0"/>
      <w:sz w:val="22"/>
      <w:szCs w:val="28"/>
      <w:lang w:val="en-GB" w:eastAsia="zh-CN"/>
    </w:rPr>
  </w:style>
  <w:style w:type="paragraph" w:customStyle="1" w:styleId="TableNumber5">
    <w:name w:val="Table Number 5"/>
    <w:basedOn w:val="Normal"/>
    <w:next w:val="BodyText"/>
    <w:link w:val="TableNumber5Char"/>
    <w:uiPriority w:val="98"/>
    <w:semiHidden/>
    <w:rsid w:val="00F3012E"/>
    <w:pPr>
      <w:numPr>
        <w:ilvl w:val="4"/>
        <w:numId w:val="40"/>
      </w:numPr>
      <w:jc w:val="both"/>
      <w:outlineLvl w:val="4"/>
    </w:pPr>
    <w:rPr>
      <w:rFonts w:ascii="Arial" w:eastAsiaTheme="minorEastAsia" w:hAnsi="Arial"/>
      <w:szCs w:val="28"/>
      <w:lang w:val="en-GB" w:eastAsia="zh-CN"/>
    </w:rPr>
  </w:style>
  <w:style w:type="character" w:customStyle="1" w:styleId="TableNumber5Char">
    <w:name w:val="Table Number 5 Char"/>
    <w:basedOn w:val="Heading1Char"/>
    <w:link w:val="TableNumber5"/>
    <w:uiPriority w:val="98"/>
    <w:semiHidden/>
    <w:rsid w:val="00F3012E"/>
    <w:rPr>
      <w:rFonts w:ascii="Arial" w:eastAsiaTheme="minorEastAsia" w:hAnsi="Arial"/>
      <w:b w:val="0"/>
      <w:sz w:val="22"/>
      <w:szCs w:val="28"/>
      <w:lang w:val="en-GB" w:eastAsia="zh-CN"/>
    </w:rPr>
  </w:style>
  <w:style w:type="paragraph" w:customStyle="1" w:styleId="TableNumber6">
    <w:name w:val="Table Number 6"/>
    <w:basedOn w:val="Normal"/>
    <w:next w:val="BodyText"/>
    <w:link w:val="TableNumber6Char"/>
    <w:uiPriority w:val="98"/>
    <w:semiHidden/>
    <w:rsid w:val="00F3012E"/>
    <w:pPr>
      <w:numPr>
        <w:ilvl w:val="5"/>
        <w:numId w:val="40"/>
      </w:numPr>
      <w:jc w:val="both"/>
      <w:outlineLvl w:val="5"/>
    </w:pPr>
    <w:rPr>
      <w:rFonts w:ascii="Arial" w:eastAsiaTheme="minorEastAsia" w:hAnsi="Arial"/>
      <w:szCs w:val="28"/>
      <w:lang w:val="en-GB" w:eastAsia="zh-CN"/>
    </w:rPr>
  </w:style>
  <w:style w:type="character" w:customStyle="1" w:styleId="TableNumber6Char">
    <w:name w:val="Table Number 6 Char"/>
    <w:basedOn w:val="Heading1Char"/>
    <w:link w:val="TableNumber6"/>
    <w:uiPriority w:val="98"/>
    <w:semiHidden/>
    <w:rsid w:val="00F3012E"/>
    <w:rPr>
      <w:rFonts w:ascii="Arial" w:eastAsiaTheme="minorEastAsia" w:hAnsi="Arial"/>
      <w:b w:val="0"/>
      <w:sz w:val="22"/>
      <w:szCs w:val="28"/>
      <w:lang w:val="en-GB" w:eastAsia="zh-CN"/>
    </w:rPr>
  </w:style>
  <w:style w:type="paragraph" w:customStyle="1" w:styleId="TableNumber7">
    <w:name w:val="Table Number 7"/>
    <w:basedOn w:val="Normal"/>
    <w:next w:val="BodyText"/>
    <w:link w:val="TableNumber7Char"/>
    <w:uiPriority w:val="98"/>
    <w:semiHidden/>
    <w:rsid w:val="00F3012E"/>
    <w:pPr>
      <w:numPr>
        <w:ilvl w:val="6"/>
        <w:numId w:val="40"/>
      </w:numPr>
      <w:jc w:val="both"/>
      <w:outlineLvl w:val="6"/>
    </w:pPr>
    <w:rPr>
      <w:rFonts w:ascii="Arial" w:eastAsiaTheme="minorEastAsia" w:hAnsi="Arial"/>
      <w:szCs w:val="28"/>
      <w:lang w:val="en-GB" w:eastAsia="zh-CN"/>
    </w:rPr>
  </w:style>
  <w:style w:type="character" w:customStyle="1" w:styleId="TableNumber7Char">
    <w:name w:val="Table Number 7 Char"/>
    <w:basedOn w:val="Heading1Char"/>
    <w:link w:val="TableNumber7"/>
    <w:uiPriority w:val="98"/>
    <w:semiHidden/>
    <w:rsid w:val="00F3012E"/>
    <w:rPr>
      <w:rFonts w:ascii="Arial" w:eastAsiaTheme="minorEastAsia" w:hAnsi="Arial"/>
      <w:b w:val="0"/>
      <w:sz w:val="22"/>
      <w:szCs w:val="28"/>
      <w:lang w:val="en-GB" w:eastAsia="zh-CN"/>
    </w:rPr>
  </w:style>
  <w:style w:type="paragraph" w:customStyle="1" w:styleId="TableNumber8">
    <w:name w:val="Table Number 8"/>
    <w:basedOn w:val="Normal"/>
    <w:next w:val="BodyText"/>
    <w:link w:val="TableNumber8Char"/>
    <w:uiPriority w:val="98"/>
    <w:semiHidden/>
    <w:rsid w:val="00F3012E"/>
    <w:pPr>
      <w:numPr>
        <w:ilvl w:val="7"/>
        <w:numId w:val="40"/>
      </w:numPr>
      <w:jc w:val="both"/>
      <w:outlineLvl w:val="7"/>
    </w:pPr>
    <w:rPr>
      <w:rFonts w:ascii="Arial" w:eastAsiaTheme="minorEastAsia" w:hAnsi="Arial"/>
      <w:szCs w:val="28"/>
      <w:lang w:val="en-GB" w:eastAsia="zh-CN"/>
    </w:rPr>
  </w:style>
  <w:style w:type="character" w:customStyle="1" w:styleId="TableNumber8Char">
    <w:name w:val="Table Number 8 Char"/>
    <w:basedOn w:val="Heading1Char"/>
    <w:link w:val="TableNumber8"/>
    <w:uiPriority w:val="98"/>
    <w:semiHidden/>
    <w:rsid w:val="00F3012E"/>
    <w:rPr>
      <w:rFonts w:ascii="Arial" w:eastAsiaTheme="minorEastAsia" w:hAnsi="Arial"/>
      <w:b w:val="0"/>
      <w:sz w:val="22"/>
      <w:szCs w:val="28"/>
      <w:lang w:val="en-GB" w:eastAsia="zh-CN"/>
    </w:rPr>
  </w:style>
  <w:style w:type="paragraph" w:customStyle="1" w:styleId="TableNumber9">
    <w:name w:val="Table Number 9"/>
    <w:basedOn w:val="Normal"/>
    <w:next w:val="BodyText"/>
    <w:link w:val="TableNumber9Char"/>
    <w:uiPriority w:val="98"/>
    <w:semiHidden/>
    <w:rsid w:val="00F3012E"/>
    <w:pPr>
      <w:numPr>
        <w:ilvl w:val="8"/>
        <w:numId w:val="40"/>
      </w:numPr>
      <w:jc w:val="both"/>
      <w:outlineLvl w:val="8"/>
    </w:pPr>
    <w:rPr>
      <w:rFonts w:ascii="Arial" w:eastAsiaTheme="minorEastAsia" w:hAnsi="Arial"/>
      <w:szCs w:val="28"/>
      <w:lang w:val="en-GB" w:eastAsia="zh-CN"/>
    </w:rPr>
  </w:style>
  <w:style w:type="character" w:customStyle="1" w:styleId="TableNumber9Char">
    <w:name w:val="Table Number 9 Char"/>
    <w:basedOn w:val="Heading1Char"/>
    <w:link w:val="TableNumber9"/>
    <w:uiPriority w:val="98"/>
    <w:semiHidden/>
    <w:rsid w:val="00F3012E"/>
    <w:rPr>
      <w:rFonts w:ascii="Arial" w:eastAsiaTheme="minorEastAsia" w:hAnsi="Arial"/>
      <w:b w:val="0"/>
      <w:sz w:val="22"/>
      <w:szCs w:val="28"/>
      <w:lang w:val="en-GB" w:eastAsia="zh-CN"/>
    </w:rPr>
  </w:style>
  <w:style w:type="paragraph" w:customStyle="1" w:styleId="TableSource">
    <w:name w:val="Table Source"/>
    <w:basedOn w:val="Normal"/>
    <w:next w:val="BodyText"/>
    <w:link w:val="TableSourceChar"/>
    <w:uiPriority w:val="8"/>
    <w:rsid w:val="00F3012E"/>
    <w:pPr>
      <w:spacing w:before="120"/>
    </w:pPr>
    <w:rPr>
      <w:rFonts w:eastAsia="Times New Roman"/>
      <w:bCs/>
      <w:sz w:val="16"/>
      <w:szCs w:val="28"/>
      <w:lang w:val="en-GB" w:eastAsia="zh-CN"/>
    </w:rPr>
  </w:style>
  <w:style w:type="character" w:customStyle="1" w:styleId="HighlightBlue">
    <w:name w:val="Highlight Blue"/>
    <w:basedOn w:val="DefaultParagraphFont"/>
    <w:uiPriority w:val="1"/>
    <w:semiHidden/>
    <w:qFormat/>
    <w:rsid w:val="00F3012E"/>
    <w:rPr>
      <w:color w:val="A2AD00" w:themeColor="accent4"/>
      <w:szCs w:val="20"/>
      <w:lang w:val="en-US"/>
    </w:rPr>
  </w:style>
  <w:style w:type="character" w:customStyle="1" w:styleId="HighlightBurgundy">
    <w:name w:val="Highlight Burgundy"/>
    <w:basedOn w:val="DefaultParagraphFont"/>
    <w:uiPriority w:val="1"/>
    <w:semiHidden/>
    <w:qFormat/>
    <w:rsid w:val="00F3012E"/>
    <w:rPr>
      <w:color w:val="6773B6" w:themeColor="accent3"/>
      <w:szCs w:val="20"/>
      <w:lang w:val="en-US"/>
    </w:rPr>
  </w:style>
  <w:style w:type="character" w:customStyle="1" w:styleId="HighlightGreen">
    <w:name w:val="Highlight Green"/>
    <w:basedOn w:val="DefaultParagraphFont"/>
    <w:uiPriority w:val="1"/>
    <w:semiHidden/>
    <w:qFormat/>
    <w:rsid w:val="00F3012E"/>
    <w:rPr>
      <w:color w:val="404143" w:themeColor="accent6"/>
      <w:lang w:val="en-US"/>
    </w:rPr>
  </w:style>
  <w:style w:type="character" w:customStyle="1" w:styleId="HighlightOrange">
    <w:name w:val="Highlight Orange"/>
    <w:basedOn w:val="DefaultParagraphFont"/>
    <w:uiPriority w:val="1"/>
    <w:semiHidden/>
    <w:qFormat/>
    <w:rsid w:val="00F3012E"/>
    <w:rPr>
      <w:color w:val="8B8D8E" w:themeColor="accent5"/>
      <w:lang w:val="en-US"/>
    </w:rPr>
  </w:style>
  <w:style w:type="character" w:customStyle="1" w:styleId="HighlightRed">
    <w:name w:val="Highlight Red"/>
    <w:basedOn w:val="DefaultParagraphFont"/>
    <w:uiPriority w:val="1"/>
    <w:semiHidden/>
    <w:qFormat/>
    <w:rsid w:val="00F3012E"/>
    <w:rPr>
      <w:i w:val="0"/>
      <w:iCs/>
      <w:color w:val="A71930" w:themeColor="accent1"/>
      <w:szCs w:val="20"/>
      <w:lang w:val="en-US"/>
    </w:rPr>
  </w:style>
  <w:style w:type="paragraph" w:customStyle="1" w:styleId="ListNumbering2">
    <w:name w:val="List Numbering 2"/>
    <w:basedOn w:val="Normal"/>
    <w:link w:val="ListNumbering2Char"/>
    <w:uiPriority w:val="98"/>
    <w:qFormat/>
    <w:rsid w:val="00F3012E"/>
    <w:pPr>
      <w:numPr>
        <w:ilvl w:val="1"/>
        <w:numId w:val="42"/>
      </w:numPr>
      <w:outlineLvl w:val="1"/>
    </w:pPr>
    <w:rPr>
      <w:rFonts w:eastAsia="Times New Roman"/>
      <w:bCs/>
      <w:szCs w:val="28"/>
      <w:lang w:val="en-GB" w:eastAsia="zh-CN"/>
    </w:rPr>
  </w:style>
  <w:style w:type="character" w:customStyle="1" w:styleId="ListNumbering2Char">
    <w:name w:val="List Numbering 2 Char"/>
    <w:basedOn w:val="DefaultParagraphFont"/>
    <w:link w:val="ListNumbering2"/>
    <w:uiPriority w:val="98"/>
    <w:rsid w:val="00F3012E"/>
    <w:rPr>
      <w:rFonts w:eastAsia="Times New Roman"/>
      <w:bCs/>
      <w:sz w:val="22"/>
      <w:szCs w:val="28"/>
      <w:lang w:val="en-GB" w:eastAsia="zh-CN"/>
    </w:rPr>
  </w:style>
  <w:style w:type="paragraph" w:customStyle="1" w:styleId="ListNumbering3">
    <w:name w:val="List Numbering 3"/>
    <w:basedOn w:val="Normal"/>
    <w:link w:val="ListNumbering3Char"/>
    <w:uiPriority w:val="98"/>
    <w:qFormat/>
    <w:rsid w:val="00F3012E"/>
    <w:pPr>
      <w:numPr>
        <w:ilvl w:val="2"/>
        <w:numId w:val="42"/>
      </w:numPr>
      <w:outlineLvl w:val="2"/>
    </w:pPr>
    <w:rPr>
      <w:rFonts w:eastAsia="Times New Roman"/>
      <w:bCs/>
      <w:szCs w:val="28"/>
      <w:lang w:val="en-GB" w:eastAsia="zh-CN"/>
    </w:rPr>
  </w:style>
  <w:style w:type="character" w:customStyle="1" w:styleId="ListNumbering3Char">
    <w:name w:val="List Numbering 3 Char"/>
    <w:basedOn w:val="DefaultParagraphFont"/>
    <w:link w:val="ListNumbering3"/>
    <w:uiPriority w:val="98"/>
    <w:rsid w:val="00F3012E"/>
    <w:rPr>
      <w:rFonts w:eastAsia="Times New Roman"/>
      <w:bCs/>
      <w:sz w:val="22"/>
      <w:szCs w:val="28"/>
      <w:lang w:val="en-GB" w:eastAsia="zh-CN"/>
    </w:rPr>
  </w:style>
  <w:style w:type="paragraph" w:customStyle="1" w:styleId="ListNumbering4">
    <w:name w:val="List Numbering 4"/>
    <w:basedOn w:val="Normal"/>
    <w:link w:val="ListNumbering4Char"/>
    <w:uiPriority w:val="98"/>
    <w:qFormat/>
    <w:rsid w:val="00F3012E"/>
    <w:pPr>
      <w:numPr>
        <w:ilvl w:val="3"/>
        <w:numId w:val="42"/>
      </w:numPr>
      <w:outlineLvl w:val="3"/>
    </w:pPr>
    <w:rPr>
      <w:rFonts w:eastAsia="Times New Roman"/>
      <w:bCs/>
      <w:szCs w:val="28"/>
      <w:lang w:val="en-GB" w:eastAsia="zh-CN"/>
    </w:rPr>
  </w:style>
  <w:style w:type="character" w:customStyle="1" w:styleId="ListNumbering4Char">
    <w:name w:val="List Numbering 4 Char"/>
    <w:basedOn w:val="DefaultParagraphFont"/>
    <w:link w:val="ListNumbering4"/>
    <w:uiPriority w:val="98"/>
    <w:rsid w:val="00F3012E"/>
    <w:rPr>
      <w:rFonts w:eastAsia="Times New Roman"/>
      <w:bCs/>
      <w:sz w:val="22"/>
      <w:szCs w:val="28"/>
      <w:lang w:val="en-GB" w:eastAsia="zh-CN"/>
    </w:rPr>
  </w:style>
  <w:style w:type="paragraph" w:customStyle="1" w:styleId="ListNumbering5">
    <w:name w:val="List Numbering 5"/>
    <w:basedOn w:val="Normal"/>
    <w:link w:val="ListNumbering5Char"/>
    <w:uiPriority w:val="98"/>
    <w:semiHidden/>
    <w:rsid w:val="00F3012E"/>
    <w:pPr>
      <w:numPr>
        <w:ilvl w:val="4"/>
        <w:numId w:val="42"/>
      </w:numPr>
    </w:pPr>
    <w:rPr>
      <w:rFonts w:eastAsiaTheme="minorEastAsia" w:cstheme="minorBidi"/>
      <w:bCs/>
      <w:szCs w:val="28"/>
      <w:lang w:val="en-GB" w:eastAsia="zh-CN"/>
    </w:rPr>
  </w:style>
  <w:style w:type="character" w:customStyle="1" w:styleId="ListNumbering5Char">
    <w:name w:val="List Numbering 5 Char"/>
    <w:basedOn w:val="DefaultParagraphFont"/>
    <w:link w:val="ListNumbering5"/>
    <w:uiPriority w:val="98"/>
    <w:semiHidden/>
    <w:rsid w:val="00F3012E"/>
    <w:rPr>
      <w:rFonts w:eastAsiaTheme="minorEastAsia" w:cstheme="minorBidi"/>
      <w:bCs/>
      <w:sz w:val="22"/>
      <w:szCs w:val="28"/>
      <w:lang w:val="en-GB" w:eastAsia="zh-CN"/>
    </w:rPr>
  </w:style>
  <w:style w:type="paragraph" w:customStyle="1" w:styleId="ListNumbering6">
    <w:name w:val="List Numbering 6"/>
    <w:basedOn w:val="Normal"/>
    <w:link w:val="ListNumbering6Char"/>
    <w:uiPriority w:val="98"/>
    <w:semiHidden/>
    <w:rsid w:val="00F3012E"/>
    <w:pPr>
      <w:numPr>
        <w:ilvl w:val="5"/>
        <w:numId w:val="42"/>
      </w:numPr>
    </w:pPr>
    <w:rPr>
      <w:rFonts w:eastAsiaTheme="minorEastAsia" w:cstheme="minorBidi"/>
      <w:bCs/>
      <w:szCs w:val="28"/>
      <w:lang w:val="en-GB" w:eastAsia="zh-CN"/>
    </w:rPr>
  </w:style>
  <w:style w:type="character" w:customStyle="1" w:styleId="ListNumbering6Char">
    <w:name w:val="List Numbering 6 Char"/>
    <w:basedOn w:val="DefaultParagraphFont"/>
    <w:link w:val="ListNumbering6"/>
    <w:uiPriority w:val="98"/>
    <w:semiHidden/>
    <w:rsid w:val="00F3012E"/>
    <w:rPr>
      <w:rFonts w:eastAsiaTheme="minorEastAsia" w:cstheme="minorBidi"/>
      <w:bCs/>
      <w:sz w:val="22"/>
      <w:szCs w:val="28"/>
      <w:lang w:val="en-GB" w:eastAsia="zh-CN"/>
    </w:rPr>
  </w:style>
  <w:style w:type="paragraph" w:customStyle="1" w:styleId="ListNumbering7">
    <w:name w:val="List Numbering 7"/>
    <w:basedOn w:val="Normal"/>
    <w:next w:val="BodyText"/>
    <w:link w:val="ListNumbering7Char"/>
    <w:uiPriority w:val="98"/>
    <w:semiHidden/>
    <w:rsid w:val="00F3012E"/>
    <w:pPr>
      <w:numPr>
        <w:ilvl w:val="6"/>
        <w:numId w:val="42"/>
      </w:numPr>
      <w:jc w:val="both"/>
      <w:outlineLvl w:val="6"/>
    </w:pPr>
    <w:rPr>
      <w:rFonts w:eastAsiaTheme="minorEastAsia"/>
      <w:bCs/>
      <w:szCs w:val="28"/>
      <w:lang w:val="en-GB" w:eastAsia="zh-CN"/>
    </w:rPr>
  </w:style>
  <w:style w:type="character" w:customStyle="1" w:styleId="ListNumbering7Char">
    <w:name w:val="List Numbering 7 Char"/>
    <w:basedOn w:val="DefaultParagraphFont"/>
    <w:link w:val="ListNumbering7"/>
    <w:uiPriority w:val="98"/>
    <w:semiHidden/>
    <w:rsid w:val="00F3012E"/>
    <w:rPr>
      <w:rFonts w:eastAsiaTheme="minorEastAsia"/>
      <w:bCs/>
      <w:sz w:val="22"/>
      <w:szCs w:val="28"/>
      <w:lang w:val="en-GB" w:eastAsia="zh-CN"/>
    </w:rPr>
  </w:style>
  <w:style w:type="paragraph" w:customStyle="1" w:styleId="ListNumbering8">
    <w:name w:val="List Numbering 8"/>
    <w:basedOn w:val="Normal"/>
    <w:next w:val="BodyText"/>
    <w:link w:val="ListNumbering8Char"/>
    <w:uiPriority w:val="98"/>
    <w:semiHidden/>
    <w:rsid w:val="00F3012E"/>
    <w:pPr>
      <w:numPr>
        <w:ilvl w:val="7"/>
        <w:numId w:val="42"/>
      </w:numPr>
      <w:jc w:val="both"/>
      <w:outlineLvl w:val="7"/>
    </w:pPr>
    <w:rPr>
      <w:rFonts w:eastAsiaTheme="minorEastAsia"/>
      <w:bCs/>
      <w:szCs w:val="28"/>
      <w:lang w:val="en-GB" w:eastAsia="zh-CN"/>
    </w:rPr>
  </w:style>
  <w:style w:type="character" w:customStyle="1" w:styleId="ListNumbering8Char">
    <w:name w:val="List Numbering 8 Char"/>
    <w:basedOn w:val="DefaultParagraphFont"/>
    <w:link w:val="ListNumbering8"/>
    <w:uiPriority w:val="98"/>
    <w:semiHidden/>
    <w:rsid w:val="00F3012E"/>
    <w:rPr>
      <w:rFonts w:eastAsiaTheme="minorEastAsia"/>
      <w:bCs/>
      <w:sz w:val="22"/>
      <w:szCs w:val="28"/>
      <w:lang w:val="en-GB" w:eastAsia="zh-CN"/>
    </w:rPr>
  </w:style>
  <w:style w:type="paragraph" w:customStyle="1" w:styleId="ListNumbering9">
    <w:name w:val="List Numbering 9"/>
    <w:basedOn w:val="Normal"/>
    <w:next w:val="BodyText"/>
    <w:link w:val="ListNumbering9Char"/>
    <w:uiPriority w:val="98"/>
    <w:semiHidden/>
    <w:rsid w:val="00F3012E"/>
    <w:pPr>
      <w:numPr>
        <w:ilvl w:val="8"/>
        <w:numId w:val="42"/>
      </w:numPr>
      <w:jc w:val="both"/>
      <w:outlineLvl w:val="8"/>
    </w:pPr>
    <w:rPr>
      <w:rFonts w:eastAsiaTheme="minorEastAsia"/>
      <w:bCs/>
      <w:szCs w:val="28"/>
      <w:lang w:val="en-GB" w:eastAsia="zh-CN"/>
    </w:rPr>
  </w:style>
  <w:style w:type="character" w:customStyle="1" w:styleId="ListNumbering9Char">
    <w:name w:val="List Numbering 9 Char"/>
    <w:basedOn w:val="DefaultParagraphFont"/>
    <w:link w:val="ListNumbering9"/>
    <w:uiPriority w:val="98"/>
    <w:semiHidden/>
    <w:rsid w:val="00F3012E"/>
    <w:rPr>
      <w:rFonts w:eastAsiaTheme="minorEastAsia"/>
      <w:bCs/>
      <w:sz w:val="22"/>
      <w:szCs w:val="28"/>
      <w:lang w:val="en-GB" w:eastAsia="zh-CN"/>
    </w:rPr>
  </w:style>
  <w:style w:type="paragraph" w:customStyle="1" w:styleId="NoLogo">
    <w:name w:val="NoLogo"/>
    <w:basedOn w:val="BodyText"/>
    <w:uiPriority w:val="11"/>
    <w:semiHidden/>
    <w:rsid w:val="00F3012E"/>
    <w:pPr>
      <w:spacing w:after="1800"/>
    </w:pPr>
    <w:rPr>
      <w:rFonts w:asciiTheme="minorHAnsi" w:eastAsiaTheme="minorEastAsia" w:hAnsiTheme="minorHAnsi" w:cstheme="minorBidi"/>
      <w:szCs w:val="28"/>
      <w:lang w:eastAsia="zh-CN"/>
    </w:rPr>
  </w:style>
  <w:style w:type="table" w:customStyle="1" w:styleId="BMTableBW">
    <w:name w:val="BM Table (B&amp;W)"/>
    <w:basedOn w:val="TableNormal"/>
    <w:uiPriority w:val="99"/>
    <w:rsid w:val="00F3012E"/>
    <w:rPr>
      <w:sz w:val="22"/>
      <w:szCs w:val="22"/>
      <w:lang w:eastAsia="zh-CN"/>
    </w:rPr>
    <w:tblPr>
      <w:tblBorders>
        <w:top w:val="single" w:sz="4" w:space="0" w:color="404143" w:themeColor="text1"/>
        <w:left w:val="single" w:sz="4" w:space="0" w:color="404143" w:themeColor="text1"/>
        <w:bottom w:val="single" w:sz="4" w:space="0" w:color="404143" w:themeColor="text1"/>
        <w:right w:val="single" w:sz="4" w:space="0" w:color="404143" w:themeColor="text1"/>
        <w:insideH w:val="single" w:sz="4" w:space="0" w:color="404143" w:themeColor="text1"/>
        <w:insideV w:val="single" w:sz="4" w:space="0" w:color="404143" w:themeColor="text1"/>
      </w:tblBorders>
    </w:tblPr>
    <w:tcPr>
      <w:shd w:val="clear" w:color="auto" w:fill="F2F2F2" w:themeFill="background1" w:themeFillShade="F2"/>
    </w:tcPr>
    <w:tblStylePr w:type="firstRow">
      <w:pPr>
        <w:jc w:val="left"/>
      </w:pPr>
      <w:tblPr/>
      <w:trPr>
        <w:cantSplit/>
        <w:tblHeader/>
      </w:trPr>
      <w:tcPr>
        <w:tcBorders>
          <w:insideH w:val="single" w:sz="4" w:space="0" w:color="FFFFFF" w:themeColor="background1"/>
          <w:insideV w:val="single" w:sz="4" w:space="0" w:color="FFFFFF" w:themeColor="background1"/>
        </w:tcBorders>
        <w:shd w:val="clear" w:color="auto" w:fill="404143" w:themeFill="text1"/>
        <w:vAlign w:val="bottom"/>
      </w:tcPr>
    </w:tblStylePr>
    <w:tblStylePr w:type="lastRow">
      <w:rPr>
        <w:b/>
      </w:rPr>
    </w:tblStylePr>
  </w:style>
  <w:style w:type="table" w:customStyle="1" w:styleId="BMTableBlue">
    <w:name w:val="BM Table Blue"/>
    <w:basedOn w:val="TableNormal"/>
    <w:uiPriority w:val="99"/>
    <w:rsid w:val="00F3012E"/>
    <w:rPr>
      <w:sz w:val="22"/>
      <w:szCs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FFFFFF" w:themeFill="background2" w:themeFillTint="33"/>
    </w:tcPr>
    <w:tblStylePr w:type="firstRow">
      <w:pPr>
        <w:jc w:val="left"/>
      </w:pPr>
      <w:tblPr/>
      <w:trPr>
        <w:cantSplit/>
        <w:tblHeader/>
      </w:trPr>
      <w:tcPr>
        <w:shd w:val="clear" w:color="auto" w:fill="A2AD00" w:themeFill="accent4"/>
        <w:vAlign w:val="bottom"/>
      </w:tcPr>
    </w:tblStylePr>
    <w:tblStylePr w:type="lastRow">
      <w:rPr>
        <w:b/>
      </w:rPr>
    </w:tblStylePr>
  </w:style>
  <w:style w:type="table" w:customStyle="1" w:styleId="BMTableBurgundy">
    <w:name w:val="BM Table Burgundy"/>
    <w:basedOn w:val="TableNormal"/>
    <w:uiPriority w:val="99"/>
    <w:rsid w:val="00F3012E"/>
    <w:rPr>
      <w:sz w:val="22"/>
      <w:szCs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FFFFFF" w:themeFill="background2" w:themeFillTint="33"/>
    </w:tcPr>
    <w:tblStylePr w:type="firstRow">
      <w:pPr>
        <w:jc w:val="left"/>
      </w:pPr>
      <w:rPr>
        <w:color w:val="FFFFFF" w:themeColor="background1"/>
      </w:rPr>
      <w:tblPr/>
      <w:trPr>
        <w:tblHeader/>
      </w:trPr>
      <w:tcPr>
        <w:shd w:val="clear" w:color="auto" w:fill="6773B6" w:themeFill="accent3"/>
        <w:vAlign w:val="bottom"/>
      </w:tcPr>
    </w:tblStylePr>
    <w:tblStylePr w:type="lastRow">
      <w:rPr>
        <w:b/>
      </w:rPr>
      <w:tblPr/>
      <w:tcPr>
        <w:shd w:val="clear" w:color="auto" w:fill="FFFFFF" w:themeFill="background2" w:themeFillTint="33"/>
      </w:tcPr>
    </w:tblStylePr>
  </w:style>
  <w:style w:type="table" w:customStyle="1" w:styleId="BMTableGreen">
    <w:name w:val="BM Table Green"/>
    <w:basedOn w:val="TableNormal"/>
    <w:uiPriority w:val="99"/>
    <w:rsid w:val="00F3012E"/>
    <w:rPr>
      <w:sz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2" w:themeFillTint="33"/>
    </w:tcPr>
    <w:tblStylePr w:type="firstRow">
      <w:pPr>
        <w:jc w:val="left"/>
      </w:pPr>
      <w:rPr>
        <w:color w:val="FFFFFF" w:themeColor="background1"/>
      </w:rPr>
      <w:tblPr/>
      <w:trPr>
        <w:tblHeader/>
      </w:trPr>
      <w:tcPr>
        <w:shd w:val="clear" w:color="auto" w:fill="404143" w:themeFill="accent6"/>
        <w:vAlign w:val="bottom"/>
      </w:tcPr>
    </w:tblStylePr>
    <w:tblStylePr w:type="lastRow">
      <w:rPr>
        <w:b/>
      </w:rPr>
    </w:tblStylePr>
  </w:style>
  <w:style w:type="table" w:customStyle="1" w:styleId="BMTableOrange">
    <w:name w:val="BM Table Orange"/>
    <w:basedOn w:val="TableNormal"/>
    <w:uiPriority w:val="99"/>
    <w:rsid w:val="00F3012E"/>
    <w:rPr>
      <w:sz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2" w:themeFillTint="33"/>
    </w:tcPr>
    <w:tblStylePr w:type="firstRow">
      <w:pPr>
        <w:jc w:val="left"/>
      </w:pPr>
      <w:rPr>
        <w:color w:val="FFFFFF" w:themeColor="background1"/>
      </w:rPr>
      <w:tblPr/>
      <w:trPr>
        <w:tblHeader/>
      </w:trPr>
      <w:tcPr>
        <w:shd w:val="clear" w:color="auto" w:fill="8B8D8E" w:themeFill="accent5"/>
      </w:tcPr>
    </w:tblStylePr>
    <w:tblStylePr w:type="lastRow">
      <w:rPr>
        <w:b/>
      </w:rPr>
    </w:tblStylePr>
  </w:style>
  <w:style w:type="table" w:customStyle="1" w:styleId="BMTableRed">
    <w:name w:val="BM Table Red"/>
    <w:basedOn w:val="TableNormal"/>
    <w:uiPriority w:val="99"/>
    <w:rsid w:val="00F3012E"/>
    <w:rPr>
      <w:sz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FFFFFF" w:themeFill="background2" w:themeFillTint="33"/>
    </w:tcPr>
    <w:tblStylePr w:type="firstRow">
      <w:pPr>
        <w:jc w:val="left"/>
      </w:pPr>
      <w:rPr>
        <w:color w:val="FFFFFF" w:themeColor="background1"/>
        <w:sz w:val="22"/>
      </w:rPr>
      <w:tblPr/>
      <w:trPr>
        <w:cantSplit/>
        <w:tblHeader/>
      </w:trPr>
      <w:tcPr>
        <w:shd w:val="clear" w:color="auto" w:fill="A71930" w:themeFill="accent1"/>
        <w:vAlign w:val="bottom"/>
      </w:tcPr>
    </w:tblStylePr>
    <w:tblStylePr w:type="lastRow">
      <w:rPr>
        <w:b/>
      </w:rPr>
    </w:tblStylePr>
  </w:style>
  <w:style w:type="paragraph" w:customStyle="1" w:styleId="CoverTitle">
    <w:name w:val="Cover Title"/>
    <w:basedOn w:val="Normal"/>
    <w:link w:val="CoverTitleChar"/>
    <w:semiHidden/>
    <w:rsid w:val="00F3012E"/>
    <w:pPr>
      <w:pBdr>
        <w:top w:val="single" w:sz="4" w:space="30" w:color="FFFFFF" w:themeColor="background2"/>
        <w:bottom w:val="single" w:sz="4" w:space="30" w:color="FFFFFF" w:themeColor="background2"/>
      </w:pBdr>
      <w:spacing w:before="840" w:after="600"/>
    </w:pPr>
    <w:rPr>
      <w:rFonts w:eastAsia="Times New Roman"/>
      <w:b/>
      <w:color w:val="6773B6" w:themeColor="accent3"/>
      <w:sz w:val="36"/>
      <w:szCs w:val="28"/>
      <w:lang w:val="en-GB" w:eastAsia="zh-CN"/>
    </w:rPr>
  </w:style>
  <w:style w:type="character" w:customStyle="1" w:styleId="CoverTitleChar">
    <w:name w:val="Cover Title Char"/>
    <w:basedOn w:val="DefaultParagraphFont"/>
    <w:link w:val="CoverTitle"/>
    <w:semiHidden/>
    <w:rsid w:val="00F3012E"/>
    <w:rPr>
      <w:rFonts w:eastAsia="Times New Roman"/>
      <w:b/>
      <w:color w:val="6773B6" w:themeColor="accent3"/>
      <w:sz w:val="36"/>
      <w:szCs w:val="28"/>
      <w:lang w:val="en-GB" w:eastAsia="zh-CN"/>
    </w:rPr>
  </w:style>
  <w:style w:type="character" w:customStyle="1" w:styleId="Bullet0ptAfter1Char">
    <w:name w:val="Bullet (0pt After) 1 Char"/>
    <w:basedOn w:val="DefaultParagraphFont"/>
    <w:link w:val="Bullet0ptAfter1"/>
    <w:uiPriority w:val="98"/>
    <w:rsid w:val="00F3012E"/>
    <w:rPr>
      <w:rFonts w:eastAsiaTheme="minorEastAsia" w:cstheme="minorBidi"/>
      <w:bCs/>
      <w:sz w:val="22"/>
      <w:szCs w:val="28"/>
      <w:lang w:val="en-GB" w:eastAsia="zh-CN"/>
    </w:rPr>
  </w:style>
  <w:style w:type="character" w:customStyle="1" w:styleId="Bullet0ptAfter2Char">
    <w:name w:val="Bullet (0pt After) 2 Char"/>
    <w:basedOn w:val="DefaultParagraphFont"/>
    <w:link w:val="Bullet0ptAfter2"/>
    <w:uiPriority w:val="98"/>
    <w:rsid w:val="00F3012E"/>
    <w:rPr>
      <w:rFonts w:eastAsiaTheme="minorEastAsia" w:cstheme="minorBidi"/>
      <w:bCs/>
      <w:sz w:val="22"/>
      <w:szCs w:val="28"/>
      <w:lang w:val="en-GB" w:eastAsia="zh-CN"/>
    </w:rPr>
  </w:style>
  <w:style w:type="character" w:customStyle="1" w:styleId="Bullet0ptAfter3Char">
    <w:name w:val="Bullet (0pt After) 3 Char"/>
    <w:basedOn w:val="DefaultParagraphFont"/>
    <w:link w:val="Bullet0ptAfter3"/>
    <w:uiPriority w:val="98"/>
    <w:rsid w:val="00F3012E"/>
    <w:rPr>
      <w:rFonts w:eastAsiaTheme="minorEastAsia" w:cstheme="minorBidi"/>
      <w:bCs/>
      <w:sz w:val="22"/>
      <w:szCs w:val="28"/>
      <w:lang w:val="en-GB" w:eastAsia="zh-CN"/>
    </w:rPr>
  </w:style>
  <w:style w:type="character" w:customStyle="1" w:styleId="Bullet0ptAfter4Char">
    <w:name w:val="Bullet (0pt After) 4 Char"/>
    <w:basedOn w:val="DefaultParagraphFont"/>
    <w:link w:val="Bullet0ptAfter4"/>
    <w:uiPriority w:val="98"/>
    <w:semiHidden/>
    <w:rsid w:val="00F3012E"/>
    <w:rPr>
      <w:rFonts w:eastAsiaTheme="minorEastAsia" w:cstheme="minorBidi"/>
      <w:bCs/>
      <w:sz w:val="22"/>
      <w:szCs w:val="28"/>
      <w:lang w:val="en-GB" w:eastAsia="zh-CN"/>
    </w:rPr>
  </w:style>
  <w:style w:type="character" w:customStyle="1" w:styleId="Bullet0ptAfter5Char">
    <w:name w:val="Bullet (0pt After) 5 Char"/>
    <w:basedOn w:val="DefaultParagraphFont"/>
    <w:link w:val="Bullet0ptAfter5"/>
    <w:uiPriority w:val="98"/>
    <w:semiHidden/>
    <w:rsid w:val="00F3012E"/>
    <w:rPr>
      <w:rFonts w:eastAsiaTheme="minorEastAsia" w:cstheme="minorBidi"/>
      <w:bCs/>
      <w:sz w:val="22"/>
      <w:szCs w:val="28"/>
      <w:lang w:val="en-GB" w:eastAsia="zh-CN"/>
    </w:rPr>
  </w:style>
  <w:style w:type="character" w:customStyle="1" w:styleId="Bullet0ptAfter6Char">
    <w:name w:val="Bullet (0pt After) 6 Char"/>
    <w:basedOn w:val="DefaultParagraphFont"/>
    <w:link w:val="Bullet0ptAfter6"/>
    <w:uiPriority w:val="98"/>
    <w:semiHidden/>
    <w:rsid w:val="00F3012E"/>
    <w:rPr>
      <w:rFonts w:eastAsiaTheme="minorEastAsia" w:cstheme="minorBidi"/>
      <w:bCs/>
      <w:sz w:val="22"/>
      <w:szCs w:val="28"/>
      <w:lang w:val="en-GB" w:eastAsia="zh-CN"/>
    </w:rPr>
  </w:style>
  <w:style w:type="character" w:customStyle="1" w:styleId="Bullet0ptAfter7Char">
    <w:name w:val="Bullet (0pt After) 7 Char"/>
    <w:basedOn w:val="DefaultParagraphFont"/>
    <w:link w:val="Bullet0ptAfter7"/>
    <w:uiPriority w:val="98"/>
    <w:semiHidden/>
    <w:rsid w:val="00F3012E"/>
    <w:rPr>
      <w:rFonts w:eastAsiaTheme="minorEastAsia"/>
      <w:bCs/>
      <w:sz w:val="22"/>
      <w:szCs w:val="28"/>
      <w:lang w:val="en-GB" w:eastAsia="zh-CN"/>
    </w:rPr>
  </w:style>
  <w:style w:type="character" w:customStyle="1" w:styleId="Bullet0ptAfter8Char">
    <w:name w:val="Bullet (0pt After) 8 Char"/>
    <w:basedOn w:val="DefaultParagraphFont"/>
    <w:link w:val="Bullet0ptAfter8"/>
    <w:uiPriority w:val="98"/>
    <w:semiHidden/>
    <w:rsid w:val="00F3012E"/>
    <w:rPr>
      <w:rFonts w:eastAsiaTheme="minorEastAsia"/>
      <w:bCs/>
      <w:sz w:val="22"/>
      <w:szCs w:val="28"/>
      <w:lang w:val="en-GB" w:eastAsia="zh-CN"/>
    </w:rPr>
  </w:style>
  <w:style w:type="character" w:customStyle="1" w:styleId="Bullet0ptAfter9Char">
    <w:name w:val="Bullet (0pt After) 9 Char"/>
    <w:basedOn w:val="DefaultParagraphFont"/>
    <w:link w:val="Bullet0ptAfter9"/>
    <w:uiPriority w:val="98"/>
    <w:semiHidden/>
    <w:rsid w:val="00F3012E"/>
    <w:rPr>
      <w:rFonts w:eastAsiaTheme="minorEastAsia"/>
      <w:bCs/>
      <w:sz w:val="22"/>
      <w:szCs w:val="28"/>
      <w:lang w:val="en-GB" w:eastAsia="zh-CN"/>
    </w:rPr>
  </w:style>
  <w:style w:type="character" w:customStyle="1" w:styleId="Bullet12ptAfter1Char">
    <w:name w:val="Bullet (12pt After) 1 Char"/>
    <w:basedOn w:val="DefaultParagraphFont"/>
    <w:link w:val="Bullet12ptAfter1"/>
    <w:uiPriority w:val="98"/>
    <w:rsid w:val="00F3012E"/>
    <w:rPr>
      <w:rFonts w:eastAsiaTheme="minorEastAsia" w:cstheme="minorBidi"/>
      <w:bCs/>
      <w:sz w:val="22"/>
      <w:szCs w:val="28"/>
      <w:lang w:val="en-GB" w:eastAsia="zh-CN"/>
    </w:rPr>
  </w:style>
  <w:style w:type="character" w:customStyle="1" w:styleId="Bullet12ptAfter2Char">
    <w:name w:val="Bullet (12pt After) 2 Char"/>
    <w:basedOn w:val="DefaultParagraphFont"/>
    <w:link w:val="Bullet12ptAfter2"/>
    <w:uiPriority w:val="98"/>
    <w:rsid w:val="00F3012E"/>
    <w:rPr>
      <w:rFonts w:eastAsiaTheme="minorEastAsia" w:cstheme="minorBidi"/>
      <w:bCs/>
      <w:sz w:val="22"/>
      <w:szCs w:val="28"/>
      <w:lang w:val="en-GB" w:eastAsia="zh-CN"/>
    </w:rPr>
  </w:style>
  <w:style w:type="character" w:customStyle="1" w:styleId="Bullet12ptAfter3Char">
    <w:name w:val="Bullet (12pt After) 3 Char"/>
    <w:basedOn w:val="DefaultParagraphFont"/>
    <w:link w:val="Bullet12ptAfter3"/>
    <w:uiPriority w:val="98"/>
    <w:rsid w:val="00F3012E"/>
    <w:rPr>
      <w:rFonts w:eastAsiaTheme="minorEastAsia" w:cstheme="minorBidi"/>
      <w:bCs/>
      <w:sz w:val="22"/>
      <w:szCs w:val="28"/>
      <w:lang w:val="en-GB" w:eastAsia="zh-CN"/>
    </w:rPr>
  </w:style>
  <w:style w:type="character" w:customStyle="1" w:styleId="Bullet12ptAfter4Char">
    <w:name w:val="Bullet (12pt After) 4 Char"/>
    <w:basedOn w:val="DefaultParagraphFont"/>
    <w:link w:val="Bullet12ptAfter4"/>
    <w:uiPriority w:val="98"/>
    <w:semiHidden/>
    <w:rsid w:val="00F3012E"/>
    <w:rPr>
      <w:rFonts w:eastAsiaTheme="minorEastAsia" w:cstheme="minorBidi"/>
      <w:bCs/>
      <w:sz w:val="22"/>
      <w:szCs w:val="28"/>
      <w:lang w:val="en-GB" w:eastAsia="zh-CN"/>
    </w:rPr>
  </w:style>
  <w:style w:type="character" w:customStyle="1" w:styleId="Bullet12ptAfter5Char">
    <w:name w:val="Bullet (12pt After) 5 Char"/>
    <w:basedOn w:val="DefaultParagraphFont"/>
    <w:link w:val="Bullet12ptAfter5"/>
    <w:uiPriority w:val="98"/>
    <w:semiHidden/>
    <w:rsid w:val="00F3012E"/>
    <w:rPr>
      <w:rFonts w:eastAsiaTheme="minorEastAsia" w:cstheme="minorBidi"/>
      <w:bCs/>
      <w:sz w:val="22"/>
      <w:szCs w:val="28"/>
      <w:lang w:val="en-GB" w:eastAsia="zh-CN"/>
    </w:rPr>
  </w:style>
  <w:style w:type="character" w:customStyle="1" w:styleId="Bullet12ptAfter6Char">
    <w:name w:val="Bullet (12pt After) 6 Char"/>
    <w:basedOn w:val="DefaultParagraphFont"/>
    <w:link w:val="Bullet12ptAfter6"/>
    <w:uiPriority w:val="98"/>
    <w:semiHidden/>
    <w:rsid w:val="00F3012E"/>
    <w:rPr>
      <w:rFonts w:eastAsiaTheme="minorEastAsia" w:cstheme="minorBidi"/>
      <w:bCs/>
      <w:sz w:val="22"/>
      <w:szCs w:val="28"/>
      <w:lang w:val="en-GB" w:eastAsia="zh-CN"/>
    </w:rPr>
  </w:style>
  <w:style w:type="character" w:customStyle="1" w:styleId="Bullet12ptAfter7Char">
    <w:name w:val="Bullet (12pt After) 7 Char"/>
    <w:basedOn w:val="DefaultParagraphFont"/>
    <w:link w:val="Bullet12ptAfter7"/>
    <w:uiPriority w:val="98"/>
    <w:semiHidden/>
    <w:rsid w:val="00F3012E"/>
    <w:rPr>
      <w:rFonts w:eastAsiaTheme="minorEastAsia"/>
      <w:bCs/>
      <w:sz w:val="22"/>
      <w:szCs w:val="28"/>
      <w:lang w:val="en-GB" w:eastAsia="zh-CN"/>
    </w:rPr>
  </w:style>
  <w:style w:type="character" w:customStyle="1" w:styleId="Bullet12ptAfter8Char">
    <w:name w:val="Bullet (12pt After) 8 Char"/>
    <w:basedOn w:val="DefaultParagraphFont"/>
    <w:link w:val="Bullet12ptAfter8"/>
    <w:uiPriority w:val="98"/>
    <w:semiHidden/>
    <w:rsid w:val="00F3012E"/>
    <w:rPr>
      <w:rFonts w:eastAsiaTheme="minorEastAsia"/>
      <w:bCs/>
      <w:sz w:val="22"/>
      <w:szCs w:val="28"/>
      <w:lang w:val="en-GB" w:eastAsia="zh-CN"/>
    </w:rPr>
  </w:style>
  <w:style w:type="character" w:customStyle="1" w:styleId="Bullet12ptAfter9Char">
    <w:name w:val="Bullet (12pt After) 9 Char"/>
    <w:basedOn w:val="DefaultParagraphFont"/>
    <w:link w:val="Bullet12ptAfter9"/>
    <w:uiPriority w:val="98"/>
    <w:semiHidden/>
    <w:rsid w:val="00F3012E"/>
    <w:rPr>
      <w:rFonts w:eastAsiaTheme="minorEastAsia"/>
      <w:bCs/>
      <w:sz w:val="22"/>
      <w:szCs w:val="28"/>
      <w:lang w:val="en-GB" w:eastAsia="zh-CN"/>
    </w:rPr>
  </w:style>
  <w:style w:type="character" w:customStyle="1" w:styleId="CaptionChar">
    <w:name w:val="Caption Char"/>
    <w:basedOn w:val="DefaultParagraphFont"/>
    <w:link w:val="Caption"/>
    <w:rsid w:val="00F3012E"/>
    <w:rPr>
      <w:rFonts w:ascii="Arial" w:eastAsia="Times New Roman" w:hAnsi="Arial"/>
      <w:b/>
      <w:sz w:val="24"/>
      <w:szCs w:val="24"/>
      <w:lang w:val="sv-SE" w:eastAsia="en-US"/>
    </w:rPr>
  </w:style>
  <w:style w:type="character" w:customStyle="1" w:styleId="TableSourceChar">
    <w:name w:val="Table Source Char"/>
    <w:basedOn w:val="DefaultParagraphFont"/>
    <w:link w:val="TableSource"/>
    <w:uiPriority w:val="8"/>
    <w:rsid w:val="00F3012E"/>
    <w:rPr>
      <w:rFonts w:eastAsia="Times New Roman"/>
      <w:bCs/>
      <w:sz w:val="16"/>
      <w:szCs w:val="28"/>
      <w:lang w:val="en-GB" w:eastAsia="zh-CN"/>
    </w:rPr>
  </w:style>
  <w:style w:type="character" w:customStyle="1" w:styleId="TableTextChar">
    <w:name w:val="Table Text Char"/>
    <w:basedOn w:val="DefaultParagraphFont"/>
    <w:link w:val="TableText"/>
    <w:uiPriority w:val="6"/>
    <w:rsid w:val="00F3012E"/>
    <w:rPr>
      <w:sz w:val="22"/>
      <w:szCs w:val="24"/>
      <w:lang w:val="en-GB" w:eastAsia="en-US"/>
    </w:rPr>
  </w:style>
  <w:style w:type="character" w:customStyle="1" w:styleId="TableTitleChar">
    <w:name w:val="Table Title Char"/>
    <w:basedOn w:val="DefaultParagraphFont"/>
    <w:link w:val="TableTitle"/>
    <w:uiPriority w:val="9"/>
    <w:rsid w:val="00F3012E"/>
    <w:rPr>
      <w:rFonts w:eastAsia="Times New Roman"/>
      <w:b/>
      <w:bCs/>
      <w:caps/>
      <w:sz w:val="22"/>
      <w:szCs w:val="28"/>
      <w:lang w:val="en-GB" w:eastAsia="zh-CN"/>
    </w:rPr>
  </w:style>
  <w:style w:type="character" w:customStyle="1" w:styleId="TOC1Char">
    <w:name w:val="TOC 1 Char"/>
    <w:basedOn w:val="DefaultParagraphFont"/>
    <w:link w:val="TOC1"/>
    <w:uiPriority w:val="39"/>
    <w:rsid w:val="00F3012E"/>
    <w:rPr>
      <w:rFonts w:ascii="Arial" w:hAnsi="Arial"/>
      <w:b/>
      <w:sz w:val="22"/>
      <w:lang w:val="en-GB" w:eastAsia="en-US"/>
    </w:rPr>
  </w:style>
  <w:style w:type="character" w:customStyle="1" w:styleId="TOC2Char">
    <w:name w:val="TOC 2 Char"/>
    <w:basedOn w:val="TOC1Char"/>
    <w:link w:val="TOC2"/>
    <w:uiPriority w:val="39"/>
    <w:rsid w:val="00F3012E"/>
    <w:rPr>
      <w:rFonts w:ascii="Arial" w:hAnsi="Arial"/>
      <w:b/>
      <w:sz w:val="22"/>
      <w:lang w:val="en-GB" w:eastAsia="en-US"/>
    </w:rPr>
  </w:style>
  <w:style w:type="character" w:customStyle="1" w:styleId="TOC3Char">
    <w:name w:val="TOC 3 Char"/>
    <w:basedOn w:val="TOC1Char"/>
    <w:link w:val="TOC3"/>
    <w:uiPriority w:val="39"/>
    <w:rsid w:val="00F3012E"/>
    <w:rPr>
      <w:rFonts w:ascii="Arial" w:hAnsi="Arial"/>
      <w:b/>
      <w:sz w:val="22"/>
      <w:lang w:val="en-US" w:eastAsia="en-US"/>
    </w:rPr>
  </w:style>
  <w:style w:type="character" w:customStyle="1" w:styleId="TableCopyChar">
    <w:name w:val="Table Copy Char"/>
    <w:basedOn w:val="DefaultParagraphFont"/>
    <w:link w:val="TableCopy"/>
    <w:uiPriority w:val="8"/>
    <w:semiHidden/>
    <w:rsid w:val="00F3012E"/>
    <w:rPr>
      <w:rFonts w:ascii="Arial" w:hAnsi="Arial"/>
      <w:color w:val="5F5F5F"/>
      <w:szCs w:val="26"/>
      <w:lang w:val="sv-SE"/>
    </w:rPr>
  </w:style>
  <w:style w:type="character" w:customStyle="1" w:styleId="TableHeadingChar">
    <w:name w:val="Table Heading Char"/>
    <w:basedOn w:val="DefaultParagraphFont"/>
    <w:link w:val="TableHeading"/>
    <w:uiPriority w:val="8"/>
    <w:rsid w:val="00F3012E"/>
    <w:rPr>
      <w:rFonts w:ascii="Arial" w:hAnsi="Arial"/>
      <w:b/>
      <w:szCs w:val="24"/>
      <w:lang w:val="en-GB" w:eastAsia="en-US"/>
    </w:rPr>
  </w:style>
  <w:style w:type="character" w:customStyle="1" w:styleId="TOC4Char">
    <w:name w:val="TOC 4 Char"/>
    <w:basedOn w:val="TOC1Char"/>
    <w:link w:val="TOC4"/>
    <w:rsid w:val="00F3012E"/>
    <w:rPr>
      <w:rFonts w:ascii="Arial" w:hAnsi="Arial"/>
      <w:b w:val="0"/>
      <w:sz w:val="22"/>
      <w:lang w:val="en-GB" w:eastAsia="en-US"/>
    </w:rPr>
  </w:style>
  <w:style w:type="character" w:customStyle="1" w:styleId="BoxNoteHeadingChar">
    <w:name w:val="Box Note Heading Char"/>
    <w:basedOn w:val="BoxNoteChar"/>
    <w:link w:val="BoxNoteHeading"/>
    <w:uiPriority w:val="9"/>
    <w:semiHidden/>
    <w:rsid w:val="00F3012E"/>
    <w:rPr>
      <w:rFonts w:eastAsia="Times New Roman"/>
      <w:b/>
      <w:color w:val="FF0000"/>
      <w:sz w:val="18"/>
      <w:szCs w:val="28"/>
      <w:lang w:val="en-US" w:eastAsia="zh-CN"/>
    </w:rPr>
  </w:style>
  <w:style w:type="table" w:styleId="ColorfulGrid">
    <w:name w:val="Colorful Grid"/>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D8D8DA" w:themeFill="text1" w:themeFillTint="33"/>
    </w:tcPr>
    <w:tblStylePr w:type="firstRow">
      <w:rPr>
        <w:b/>
        <w:bCs/>
      </w:rPr>
      <w:tblPr/>
      <w:tcPr>
        <w:shd w:val="clear" w:color="auto" w:fill="B1B2B5" w:themeFill="text1" w:themeFillTint="66"/>
      </w:tcPr>
    </w:tblStylePr>
    <w:tblStylePr w:type="lastRow">
      <w:rPr>
        <w:b/>
        <w:bCs/>
        <w:color w:val="404143" w:themeColor="text1"/>
      </w:rPr>
      <w:tblPr/>
      <w:tcPr>
        <w:shd w:val="clear" w:color="auto" w:fill="B1B2B5" w:themeFill="text1" w:themeFillTint="66"/>
      </w:tcPr>
    </w:tblStylePr>
    <w:tblStylePr w:type="firstCol">
      <w:rPr>
        <w:color w:val="FFFFFF" w:themeColor="background1"/>
      </w:rPr>
      <w:tblPr/>
      <w:tcPr>
        <w:shd w:val="clear" w:color="auto" w:fill="303032" w:themeFill="text1" w:themeFillShade="BF"/>
      </w:tcPr>
    </w:tblStylePr>
    <w:tblStylePr w:type="lastCol">
      <w:rPr>
        <w:color w:val="FFFFFF" w:themeColor="background1"/>
      </w:rPr>
      <w:tblPr/>
      <w:tcPr>
        <w:shd w:val="clear" w:color="auto" w:fill="303032" w:themeFill="text1" w:themeFillShade="BF"/>
      </w:tcPr>
    </w:tblStylePr>
    <w:tblStylePr w:type="band1Vert">
      <w:tblPr/>
      <w:tcPr>
        <w:shd w:val="clear" w:color="auto" w:fill="9E9FA2" w:themeFill="text1" w:themeFillTint="7F"/>
      </w:tcPr>
    </w:tblStylePr>
    <w:tblStylePr w:type="band1Horz">
      <w:tblPr/>
      <w:tcPr>
        <w:shd w:val="clear" w:color="auto" w:fill="9E9FA2" w:themeFill="text1" w:themeFillTint="7F"/>
      </w:tcPr>
    </w:tblStylePr>
  </w:style>
  <w:style w:type="table" w:styleId="ColorfulGrid-Accent1">
    <w:name w:val="Colorful Grid Accent 1"/>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F6C7CF" w:themeFill="accent1" w:themeFillTint="33"/>
    </w:tcPr>
    <w:tblStylePr w:type="firstRow">
      <w:rPr>
        <w:b/>
        <w:bCs/>
      </w:rPr>
      <w:tblPr/>
      <w:tcPr>
        <w:shd w:val="clear" w:color="auto" w:fill="EE909F" w:themeFill="accent1" w:themeFillTint="66"/>
      </w:tcPr>
    </w:tblStylePr>
    <w:tblStylePr w:type="lastRow">
      <w:rPr>
        <w:b/>
        <w:bCs/>
        <w:color w:val="404143" w:themeColor="text1"/>
      </w:rPr>
      <w:tblPr/>
      <w:tcPr>
        <w:shd w:val="clear" w:color="auto" w:fill="EE909F" w:themeFill="accent1" w:themeFillTint="66"/>
      </w:tcPr>
    </w:tblStylePr>
    <w:tblStylePr w:type="firstCol">
      <w:rPr>
        <w:color w:val="FFFFFF" w:themeColor="background1"/>
      </w:rPr>
      <w:tblPr/>
      <w:tcPr>
        <w:shd w:val="clear" w:color="auto" w:fill="7C1223" w:themeFill="accent1" w:themeFillShade="BF"/>
      </w:tcPr>
    </w:tblStylePr>
    <w:tblStylePr w:type="lastCol">
      <w:rPr>
        <w:color w:val="FFFFFF" w:themeColor="background1"/>
      </w:rPr>
      <w:tblPr/>
      <w:tcPr>
        <w:shd w:val="clear" w:color="auto" w:fill="7C1223" w:themeFill="accent1" w:themeFillShade="BF"/>
      </w:tcPr>
    </w:tblStylePr>
    <w:tblStylePr w:type="band1Vert">
      <w:tblPr/>
      <w:tcPr>
        <w:shd w:val="clear" w:color="auto" w:fill="EA7587" w:themeFill="accent1" w:themeFillTint="7F"/>
      </w:tcPr>
    </w:tblStylePr>
    <w:tblStylePr w:type="band1Horz">
      <w:tblPr/>
      <w:tcPr>
        <w:shd w:val="clear" w:color="auto" w:fill="EA7587" w:themeFill="accent1" w:themeFillTint="7F"/>
      </w:tcPr>
    </w:tblStylePr>
  </w:style>
  <w:style w:type="table" w:styleId="ColorfulGrid-Accent2">
    <w:name w:val="Colorful Grid Accent 2"/>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FFF2C8" w:themeFill="accent2" w:themeFillTint="33"/>
    </w:tcPr>
    <w:tblStylePr w:type="firstRow">
      <w:rPr>
        <w:b/>
        <w:bCs/>
      </w:rPr>
      <w:tblPr/>
      <w:tcPr>
        <w:shd w:val="clear" w:color="auto" w:fill="FFE691" w:themeFill="accent2" w:themeFillTint="66"/>
      </w:tcPr>
    </w:tblStylePr>
    <w:tblStylePr w:type="lastRow">
      <w:rPr>
        <w:b/>
        <w:bCs/>
        <w:color w:val="404143" w:themeColor="text1"/>
      </w:rPr>
      <w:tblPr/>
      <w:tcPr>
        <w:shd w:val="clear" w:color="auto" w:fill="FFE691" w:themeFill="accent2" w:themeFillTint="66"/>
      </w:tcPr>
    </w:tblStylePr>
    <w:tblStylePr w:type="firstCol">
      <w:rPr>
        <w:color w:val="FFFFFF" w:themeColor="background1"/>
      </w:rPr>
      <w:tblPr/>
      <w:tcPr>
        <w:shd w:val="clear" w:color="auto" w:fill="B08800" w:themeFill="accent2" w:themeFillShade="BF"/>
      </w:tcPr>
    </w:tblStylePr>
    <w:tblStylePr w:type="lastCol">
      <w:rPr>
        <w:color w:val="FFFFFF" w:themeColor="background1"/>
      </w:rPr>
      <w:tblPr/>
      <w:tcPr>
        <w:shd w:val="clear" w:color="auto" w:fill="B08800" w:themeFill="accent2" w:themeFillShade="BF"/>
      </w:tcPr>
    </w:tblStylePr>
    <w:tblStylePr w:type="band1Vert">
      <w:tblPr/>
      <w:tcPr>
        <w:shd w:val="clear" w:color="auto" w:fill="FFE076" w:themeFill="accent2" w:themeFillTint="7F"/>
      </w:tcPr>
    </w:tblStylePr>
    <w:tblStylePr w:type="band1Horz">
      <w:tblPr/>
      <w:tcPr>
        <w:shd w:val="clear" w:color="auto" w:fill="FFE076" w:themeFill="accent2" w:themeFillTint="7F"/>
      </w:tcPr>
    </w:tblStylePr>
  </w:style>
  <w:style w:type="table" w:styleId="ColorfulGrid-Accent3">
    <w:name w:val="Colorful Grid Accent 3"/>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E0E2F0" w:themeFill="accent3" w:themeFillTint="33"/>
    </w:tcPr>
    <w:tblStylePr w:type="firstRow">
      <w:rPr>
        <w:b/>
        <w:bCs/>
      </w:rPr>
      <w:tblPr/>
      <w:tcPr>
        <w:shd w:val="clear" w:color="auto" w:fill="C2C6E1" w:themeFill="accent3" w:themeFillTint="66"/>
      </w:tcPr>
    </w:tblStylePr>
    <w:tblStylePr w:type="lastRow">
      <w:rPr>
        <w:b/>
        <w:bCs/>
        <w:color w:val="404143" w:themeColor="text1"/>
      </w:rPr>
      <w:tblPr/>
      <w:tcPr>
        <w:shd w:val="clear" w:color="auto" w:fill="C2C6E1" w:themeFill="accent3" w:themeFillTint="66"/>
      </w:tcPr>
    </w:tblStylePr>
    <w:tblStylePr w:type="firstCol">
      <w:rPr>
        <w:color w:val="FFFFFF" w:themeColor="background1"/>
      </w:rPr>
      <w:tblPr/>
      <w:tcPr>
        <w:shd w:val="clear" w:color="auto" w:fill="455090" w:themeFill="accent3" w:themeFillShade="BF"/>
      </w:tcPr>
    </w:tblStylePr>
    <w:tblStylePr w:type="lastCol">
      <w:rPr>
        <w:color w:val="FFFFFF" w:themeColor="background1"/>
      </w:rPr>
      <w:tblPr/>
      <w:tcPr>
        <w:shd w:val="clear" w:color="auto" w:fill="455090" w:themeFill="accent3" w:themeFillShade="BF"/>
      </w:tcPr>
    </w:tblStylePr>
    <w:tblStylePr w:type="band1Vert">
      <w:tblPr/>
      <w:tcPr>
        <w:shd w:val="clear" w:color="auto" w:fill="B3B8DA" w:themeFill="accent3" w:themeFillTint="7F"/>
      </w:tcPr>
    </w:tblStylePr>
    <w:tblStylePr w:type="band1Horz">
      <w:tblPr/>
      <w:tcPr>
        <w:shd w:val="clear" w:color="auto" w:fill="B3B8DA" w:themeFill="accent3" w:themeFillTint="7F"/>
      </w:tcPr>
    </w:tblStylePr>
  </w:style>
  <w:style w:type="table" w:styleId="ColorfulGrid-Accent4">
    <w:name w:val="Colorful Grid Accent 4"/>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FAFFBB" w:themeFill="accent4" w:themeFillTint="33"/>
    </w:tcPr>
    <w:tblStylePr w:type="firstRow">
      <w:rPr>
        <w:b/>
        <w:bCs/>
      </w:rPr>
      <w:tblPr/>
      <w:tcPr>
        <w:shd w:val="clear" w:color="auto" w:fill="F6FF78" w:themeFill="accent4" w:themeFillTint="66"/>
      </w:tcPr>
    </w:tblStylePr>
    <w:tblStylePr w:type="lastRow">
      <w:rPr>
        <w:b/>
        <w:bCs/>
        <w:color w:val="404143" w:themeColor="text1"/>
      </w:rPr>
      <w:tblPr/>
      <w:tcPr>
        <w:shd w:val="clear" w:color="auto" w:fill="F6FF78" w:themeFill="accent4" w:themeFillTint="66"/>
      </w:tcPr>
    </w:tblStylePr>
    <w:tblStylePr w:type="firstCol">
      <w:rPr>
        <w:color w:val="FFFFFF" w:themeColor="background1"/>
      </w:rPr>
      <w:tblPr/>
      <w:tcPr>
        <w:shd w:val="clear" w:color="auto" w:fill="788100" w:themeFill="accent4" w:themeFillShade="BF"/>
      </w:tcPr>
    </w:tblStylePr>
    <w:tblStylePr w:type="lastCol">
      <w:rPr>
        <w:color w:val="FFFFFF" w:themeColor="background1"/>
      </w:rPr>
      <w:tblPr/>
      <w:tcPr>
        <w:shd w:val="clear" w:color="auto" w:fill="788100" w:themeFill="accent4" w:themeFillShade="BF"/>
      </w:tcPr>
    </w:tblStylePr>
    <w:tblStylePr w:type="band1Vert">
      <w:tblPr/>
      <w:tcPr>
        <w:shd w:val="clear" w:color="auto" w:fill="F3FF57" w:themeFill="accent4" w:themeFillTint="7F"/>
      </w:tcPr>
    </w:tblStylePr>
    <w:tblStylePr w:type="band1Horz">
      <w:tblPr/>
      <w:tcPr>
        <w:shd w:val="clear" w:color="auto" w:fill="F3FF57" w:themeFill="accent4" w:themeFillTint="7F"/>
      </w:tcPr>
    </w:tblStylePr>
  </w:style>
  <w:style w:type="table" w:styleId="ColorfulGrid-Accent5">
    <w:name w:val="Colorful Grid Accent 5"/>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E7E8E8" w:themeFill="accent5" w:themeFillTint="33"/>
    </w:tcPr>
    <w:tblStylePr w:type="firstRow">
      <w:rPr>
        <w:b/>
        <w:bCs/>
      </w:rPr>
      <w:tblPr/>
      <w:tcPr>
        <w:shd w:val="clear" w:color="auto" w:fill="D0D1D1" w:themeFill="accent5" w:themeFillTint="66"/>
      </w:tcPr>
    </w:tblStylePr>
    <w:tblStylePr w:type="lastRow">
      <w:rPr>
        <w:b/>
        <w:bCs/>
        <w:color w:val="404143" w:themeColor="text1"/>
      </w:rPr>
      <w:tblPr/>
      <w:tcPr>
        <w:shd w:val="clear" w:color="auto" w:fill="D0D1D1" w:themeFill="accent5" w:themeFillTint="66"/>
      </w:tcPr>
    </w:tblStylePr>
    <w:tblStylePr w:type="firstCol">
      <w:rPr>
        <w:color w:val="FFFFFF" w:themeColor="background1"/>
      </w:rPr>
      <w:tblPr/>
      <w:tcPr>
        <w:shd w:val="clear" w:color="auto" w:fill="67696A" w:themeFill="accent5" w:themeFillShade="BF"/>
      </w:tcPr>
    </w:tblStylePr>
    <w:tblStylePr w:type="lastCol">
      <w:rPr>
        <w:color w:val="FFFFFF" w:themeColor="background1"/>
      </w:rPr>
      <w:tblPr/>
      <w:tcPr>
        <w:shd w:val="clear" w:color="auto" w:fill="67696A" w:themeFill="accent5" w:themeFillShade="BF"/>
      </w:tcPr>
    </w:tblStylePr>
    <w:tblStylePr w:type="band1Vert">
      <w:tblPr/>
      <w:tcPr>
        <w:shd w:val="clear" w:color="auto" w:fill="C5C6C6" w:themeFill="accent5" w:themeFillTint="7F"/>
      </w:tcPr>
    </w:tblStylePr>
    <w:tblStylePr w:type="band1Horz">
      <w:tblPr/>
      <w:tcPr>
        <w:shd w:val="clear" w:color="auto" w:fill="C5C6C6" w:themeFill="accent5" w:themeFillTint="7F"/>
      </w:tcPr>
    </w:tblStylePr>
  </w:style>
  <w:style w:type="table" w:styleId="ColorfulGrid-Accent6">
    <w:name w:val="Colorful Grid Accent 6"/>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D8D8DA" w:themeFill="accent6" w:themeFillTint="33"/>
    </w:tcPr>
    <w:tblStylePr w:type="firstRow">
      <w:rPr>
        <w:b/>
        <w:bCs/>
      </w:rPr>
      <w:tblPr/>
      <w:tcPr>
        <w:shd w:val="clear" w:color="auto" w:fill="B1B2B5" w:themeFill="accent6" w:themeFillTint="66"/>
      </w:tcPr>
    </w:tblStylePr>
    <w:tblStylePr w:type="lastRow">
      <w:rPr>
        <w:b/>
        <w:bCs/>
        <w:color w:val="404143" w:themeColor="text1"/>
      </w:rPr>
      <w:tblPr/>
      <w:tcPr>
        <w:shd w:val="clear" w:color="auto" w:fill="B1B2B5" w:themeFill="accent6" w:themeFillTint="66"/>
      </w:tcPr>
    </w:tblStylePr>
    <w:tblStylePr w:type="firstCol">
      <w:rPr>
        <w:color w:val="FFFFFF" w:themeColor="background1"/>
      </w:rPr>
      <w:tblPr/>
      <w:tcPr>
        <w:shd w:val="clear" w:color="auto" w:fill="303032" w:themeFill="accent6" w:themeFillShade="BF"/>
      </w:tcPr>
    </w:tblStylePr>
    <w:tblStylePr w:type="lastCol">
      <w:rPr>
        <w:color w:val="FFFFFF" w:themeColor="background1"/>
      </w:rPr>
      <w:tblPr/>
      <w:tcPr>
        <w:shd w:val="clear" w:color="auto" w:fill="303032" w:themeFill="accent6" w:themeFillShade="BF"/>
      </w:tcPr>
    </w:tblStylePr>
    <w:tblStylePr w:type="band1Vert">
      <w:tblPr/>
      <w:tcPr>
        <w:shd w:val="clear" w:color="auto" w:fill="9E9FA2" w:themeFill="accent6" w:themeFillTint="7F"/>
      </w:tcPr>
    </w:tblStylePr>
    <w:tblStylePr w:type="band1Horz">
      <w:tblPr/>
      <w:tcPr>
        <w:shd w:val="clear" w:color="auto" w:fill="9E9FA2" w:themeFill="accent6" w:themeFillTint="7F"/>
      </w:tcPr>
    </w:tblStylePr>
  </w:style>
  <w:style w:type="table" w:styleId="ColorfulList">
    <w:name w:val="Colorful List"/>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EBECEC" w:themeFill="text1" w:themeFillTint="19"/>
    </w:tcPr>
    <w:tblStylePr w:type="firstRow">
      <w:rPr>
        <w:b/>
        <w:bCs/>
        <w:color w:val="FFFFFF" w:themeColor="background1"/>
      </w:rPr>
      <w:tblPr/>
      <w:tcPr>
        <w:tcBorders>
          <w:bottom w:val="single" w:sz="12" w:space="0" w:color="FFFFFF" w:themeColor="background1"/>
        </w:tcBorders>
        <w:shd w:val="clear" w:color="auto" w:fill="BC9100" w:themeFill="accent2" w:themeFillShade="CC"/>
      </w:tcPr>
    </w:tblStylePr>
    <w:tblStylePr w:type="lastRow">
      <w:rPr>
        <w:b/>
        <w:bCs/>
        <w:color w:val="BC9100" w:themeColor="accent2"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1" w:themeFill="text1" w:themeFillTint="3F"/>
      </w:tcPr>
    </w:tblStylePr>
    <w:tblStylePr w:type="band1Horz">
      <w:tblPr/>
      <w:tcPr>
        <w:shd w:val="clear" w:color="auto" w:fill="D8D8DA" w:themeFill="text1" w:themeFillTint="33"/>
      </w:tcPr>
    </w:tblStylePr>
  </w:style>
  <w:style w:type="table" w:styleId="ColorfulList-Accent1">
    <w:name w:val="Colorful List Accent 1"/>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BE3E7" w:themeFill="accent1" w:themeFillTint="19"/>
    </w:tcPr>
    <w:tblStylePr w:type="firstRow">
      <w:rPr>
        <w:b/>
        <w:bCs/>
        <w:color w:val="FFFFFF" w:themeColor="background1"/>
      </w:rPr>
      <w:tblPr/>
      <w:tcPr>
        <w:tcBorders>
          <w:bottom w:val="single" w:sz="12" w:space="0" w:color="FFFFFF" w:themeColor="background1"/>
        </w:tcBorders>
        <w:shd w:val="clear" w:color="auto" w:fill="BC9100" w:themeFill="accent2" w:themeFillShade="CC"/>
      </w:tcPr>
    </w:tblStylePr>
    <w:tblStylePr w:type="lastRow">
      <w:rPr>
        <w:b/>
        <w:bCs/>
        <w:color w:val="BC9100" w:themeColor="accent2"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AC3" w:themeFill="accent1" w:themeFillTint="3F"/>
      </w:tcPr>
    </w:tblStylePr>
    <w:tblStylePr w:type="band1Horz">
      <w:tblPr/>
      <w:tcPr>
        <w:shd w:val="clear" w:color="auto" w:fill="F6C7CF" w:themeFill="accent1" w:themeFillTint="33"/>
      </w:tcPr>
    </w:tblStylePr>
  </w:style>
  <w:style w:type="table" w:styleId="ColorfulList-Accent2">
    <w:name w:val="Colorful List Accent 2"/>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FF8E4" w:themeFill="accent2" w:themeFillTint="19"/>
    </w:tcPr>
    <w:tblStylePr w:type="firstRow">
      <w:rPr>
        <w:b/>
        <w:bCs/>
        <w:color w:val="FFFFFF" w:themeColor="background1"/>
      </w:rPr>
      <w:tblPr/>
      <w:tcPr>
        <w:tcBorders>
          <w:bottom w:val="single" w:sz="12" w:space="0" w:color="FFFFFF" w:themeColor="background1"/>
        </w:tcBorders>
        <w:shd w:val="clear" w:color="auto" w:fill="BC9100" w:themeFill="accent2" w:themeFillShade="CC"/>
      </w:tcPr>
    </w:tblStylePr>
    <w:tblStylePr w:type="lastRow">
      <w:rPr>
        <w:b/>
        <w:bCs/>
        <w:color w:val="BC9100" w:themeColor="accent2"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B" w:themeFill="accent2" w:themeFillTint="3F"/>
      </w:tcPr>
    </w:tblStylePr>
    <w:tblStylePr w:type="band1Horz">
      <w:tblPr/>
      <w:tcPr>
        <w:shd w:val="clear" w:color="auto" w:fill="FFF2C8" w:themeFill="accent2" w:themeFillTint="33"/>
      </w:tcPr>
    </w:tblStylePr>
  </w:style>
  <w:style w:type="table" w:styleId="ColorfulList-Accent3">
    <w:name w:val="Colorful List Accent 3"/>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EFF1F7" w:themeFill="accent3" w:themeFillTint="19"/>
    </w:tcPr>
    <w:tblStylePr w:type="firstRow">
      <w:rPr>
        <w:b/>
        <w:bCs/>
        <w:color w:val="FFFFFF" w:themeColor="background1"/>
      </w:rPr>
      <w:tblPr/>
      <w:tcPr>
        <w:tcBorders>
          <w:bottom w:val="single" w:sz="12" w:space="0" w:color="FFFFFF" w:themeColor="background1"/>
        </w:tcBorders>
        <w:shd w:val="clear" w:color="auto" w:fill="818A00" w:themeFill="accent4" w:themeFillShade="CC"/>
      </w:tcPr>
    </w:tblStylePr>
    <w:tblStylePr w:type="lastRow">
      <w:rPr>
        <w:b/>
        <w:bCs/>
        <w:color w:val="818A00" w:themeColor="accent4"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CED" w:themeFill="accent3" w:themeFillTint="3F"/>
      </w:tcPr>
    </w:tblStylePr>
    <w:tblStylePr w:type="band1Horz">
      <w:tblPr/>
      <w:tcPr>
        <w:shd w:val="clear" w:color="auto" w:fill="E0E2F0" w:themeFill="accent3" w:themeFillTint="33"/>
      </w:tcPr>
    </w:tblStylePr>
  </w:style>
  <w:style w:type="table" w:styleId="ColorfulList-Accent4">
    <w:name w:val="Colorful List Accent 4"/>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CFFDD" w:themeFill="accent4" w:themeFillTint="19"/>
    </w:tcPr>
    <w:tblStylePr w:type="firstRow">
      <w:rPr>
        <w:b/>
        <w:bCs/>
        <w:color w:val="FFFFFF" w:themeColor="background1"/>
      </w:rPr>
      <w:tblPr/>
      <w:tcPr>
        <w:tcBorders>
          <w:bottom w:val="single" w:sz="12" w:space="0" w:color="FFFFFF" w:themeColor="background1"/>
        </w:tcBorders>
        <w:shd w:val="clear" w:color="auto" w:fill="4A559A" w:themeFill="accent3" w:themeFillShade="CC"/>
      </w:tcPr>
    </w:tblStylePr>
    <w:tblStylePr w:type="lastRow">
      <w:rPr>
        <w:b/>
        <w:bCs/>
        <w:color w:val="4A559A" w:themeColor="accent3"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FAB" w:themeFill="accent4" w:themeFillTint="3F"/>
      </w:tcPr>
    </w:tblStylePr>
    <w:tblStylePr w:type="band1Horz">
      <w:tblPr/>
      <w:tcPr>
        <w:shd w:val="clear" w:color="auto" w:fill="FAFFBB" w:themeFill="accent4" w:themeFillTint="33"/>
      </w:tcPr>
    </w:tblStylePr>
  </w:style>
  <w:style w:type="table" w:styleId="ColorfulList-Accent5">
    <w:name w:val="Colorful List Accent 5"/>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3F3F3" w:themeFill="accent5" w:themeFillTint="19"/>
    </w:tcPr>
    <w:tblStylePr w:type="firstRow">
      <w:rPr>
        <w:b/>
        <w:bCs/>
        <w:color w:val="FFFFFF" w:themeColor="background1"/>
      </w:rPr>
      <w:tblPr/>
      <w:tcPr>
        <w:tcBorders>
          <w:bottom w:val="single" w:sz="12" w:space="0" w:color="FFFFFF" w:themeColor="background1"/>
        </w:tcBorders>
        <w:shd w:val="clear" w:color="auto" w:fill="333335" w:themeFill="accent6" w:themeFillShade="CC"/>
      </w:tcPr>
    </w:tblStylePr>
    <w:tblStylePr w:type="lastRow">
      <w:rPr>
        <w:b/>
        <w:bCs/>
        <w:color w:val="333335" w:themeColor="accent6"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2E3" w:themeFill="accent5" w:themeFillTint="3F"/>
      </w:tcPr>
    </w:tblStylePr>
    <w:tblStylePr w:type="band1Horz">
      <w:tblPr/>
      <w:tcPr>
        <w:shd w:val="clear" w:color="auto" w:fill="E7E8E8" w:themeFill="accent5" w:themeFillTint="33"/>
      </w:tcPr>
    </w:tblStylePr>
  </w:style>
  <w:style w:type="table" w:styleId="ColorfulList-Accent6">
    <w:name w:val="Colorful List Accent 6"/>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EBECEC" w:themeFill="accent6" w:themeFillTint="19"/>
    </w:tcPr>
    <w:tblStylePr w:type="firstRow">
      <w:rPr>
        <w:b/>
        <w:bCs/>
        <w:color w:val="FFFFFF" w:themeColor="background1"/>
      </w:rPr>
      <w:tblPr/>
      <w:tcPr>
        <w:tcBorders>
          <w:bottom w:val="single" w:sz="12" w:space="0" w:color="FFFFFF" w:themeColor="background1"/>
        </w:tcBorders>
        <w:shd w:val="clear" w:color="auto" w:fill="6F7071" w:themeFill="accent5" w:themeFillShade="CC"/>
      </w:tcPr>
    </w:tblStylePr>
    <w:tblStylePr w:type="lastRow">
      <w:rPr>
        <w:b/>
        <w:bCs/>
        <w:color w:val="6F7071" w:themeColor="accent5"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1" w:themeFill="accent6" w:themeFillTint="3F"/>
      </w:tcPr>
    </w:tblStylePr>
    <w:tblStylePr w:type="band1Horz">
      <w:tblPr/>
      <w:tcPr>
        <w:shd w:val="clear" w:color="auto" w:fill="D8D8DA" w:themeFill="accent6" w:themeFillTint="33"/>
      </w:tcPr>
    </w:tblStylePr>
  </w:style>
  <w:style w:type="table" w:styleId="ColorfulShading">
    <w:name w:val="Colorful Shading"/>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EBB700" w:themeColor="accent2"/>
        <w:left w:val="single" w:sz="4" w:space="0" w:color="404143" w:themeColor="text1"/>
        <w:bottom w:val="single" w:sz="4" w:space="0" w:color="404143" w:themeColor="text1"/>
        <w:right w:val="single" w:sz="4" w:space="0" w:color="404143" w:themeColor="text1"/>
        <w:insideH w:val="single" w:sz="4" w:space="0" w:color="FFFFFF" w:themeColor="background1"/>
        <w:insideV w:val="single" w:sz="4" w:space="0" w:color="FFFFFF" w:themeColor="background1"/>
      </w:tblBorders>
    </w:tblPr>
    <w:tcPr>
      <w:shd w:val="clear" w:color="auto" w:fill="EBECEC" w:themeFill="text1" w:themeFillTint="19"/>
    </w:tcPr>
    <w:tblStylePr w:type="firstRow">
      <w:rPr>
        <w:b/>
        <w:bCs/>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8" w:themeFill="text1" w:themeFillShade="99"/>
      </w:tcPr>
    </w:tblStylePr>
    <w:tblStylePr w:type="firstCol">
      <w:rPr>
        <w:color w:val="FFFFFF" w:themeColor="background1"/>
      </w:rPr>
      <w:tblPr/>
      <w:tcPr>
        <w:tcBorders>
          <w:top w:val="nil"/>
          <w:left w:val="nil"/>
          <w:bottom w:val="nil"/>
          <w:right w:val="nil"/>
          <w:insideH w:val="single" w:sz="4" w:space="0" w:color="262628" w:themeColor="text1" w:themeShade="99"/>
          <w:insideV w:val="nil"/>
        </w:tcBorders>
        <w:shd w:val="clear" w:color="auto" w:fill="2626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2" w:themeFill="text1" w:themeFillShade="BF"/>
      </w:tcPr>
    </w:tblStylePr>
    <w:tblStylePr w:type="band1Vert">
      <w:tblPr/>
      <w:tcPr>
        <w:shd w:val="clear" w:color="auto" w:fill="B1B2B5" w:themeFill="text1" w:themeFillTint="66"/>
      </w:tcPr>
    </w:tblStylePr>
    <w:tblStylePr w:type="band1Horz">
      <w:tblPr/>
      <w:tcPr>
        <w:shd w:val="clear" w:color="auto" w:fill="9E9FA2" w:themeFill="text1" w:themeFillTint="7F"/>
      </w:tcPr>
    </w:tblStylePr>
    <w:tblStylePr w:type="neCell">
      <w:rPr>
        <w:color w:val="404143" w:themeColor="text1"/>
      </w:rPr>
    </w:tblStylePr>
    <w:tblStylePr w:type="nwCell">
      <w:rPr>
        <w:color w:val="404143" w:themeColor="text1"/>
      </w:rPr>
    </w:tblStylePr>
  </w:style>
  <w:style w:type="table" w:styleId="ColorfulShading-Accent1">
    <w:name w:val="Colorful Shading Accent 1"/>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EBB700" w:themeColor="accent2"/>
        <w:left w:val="single" w:sz="4" w:space="0" w:color="A71930" w:themeColor="accent1"/>
        <w:bottom w:val="single" w:sz="4" w:space="0" w:color="A71930" w:themeColor="accent1"/>
        <w:right w:val="single" w:sz="4" w:space="0" w:color="A71930" w:themeColor="accent1"/>
        <w:insideH w:val="single" w:sz="4" w:space="0" w:color="FFFFFF" w:themeColor="background1"/>
        <w:insideV w:val="single" w:sz="4" w:space="0" w:color="FFFFFF" w:themeColor="background1"/>
      </w:tblBorders>
    </w:tblPr>
    <w:tcPr>
      <w:shd w:val="clear" w:color="auto" w:fill="FBE3E7" w:themeFill="accent1" w:themeFillTint="19"/>
    </w:tcPr>
    <w:tblStylePr w:type="firstRow">
      <w:rPr>
        <w:b/>
        <w:bCs/>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0F1C" w:themeFill="accent1" w:themeFillShade="99"/>
      </w:tcPr>
    </w:tblStylePr>
    <w:tblStylePr w:type="firstCol">
      <w:rPr>
        <w:color w:val="FFFFFF" w:themeColor="background1"/>
      </w:rPr>
      <w:tblPr/>
      <w:tcPr>
        <w:tcBorders>
          <w:top w:val="nil"/>
          <w:left w:val="nil"/>
          <w:bottom w:val="nil"/>
          <w:right w:val="nil"/>
          <w:insideH w:val="single" w:sz="4" w:space="0" w:color="640F1C" w:themeColor="accent1" w:themeShade="99"/>
          <w:insideV w:val="nil"/>
        </w:tcBorders>
        <w:shd w:val="clear" w:color="auto" w:fill="640F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40F1C" w:themeFill="accent1" w:themeFillShade="99"/>
      </w:tcPr>
    </w:tblStylePr>
    <w:tblStylePr w:type="band1Vert">
      <w:tblPr/>
      <w:tcPr>
        <w:shd w:val="clear" w:color="auto" w:fill="EE909F" w:themeFill="accent1" w:themeFillTint="66"/>
      </w:tcPr>
    </w:tblStylePr>
    <w:tblStylePr w:type="band1Horz">
      <w:tblPr/>
      <w:tcPr>
        <w:shd w:val="clear" w:color="auto" w:fill="EA7587" w:themeFill="accent1" w:themeFillTint="7F"/>
      </w:tcPr>
    </w:tblStylePr>
    <w:tblStylePr w:type="neCell">
      <w:rPr>
        <w:color w:val="404143" w:themeColor="text1"/>
      </w:rPr>
    </w:tblStylePr>
    <w:tblStylePr w:type="nwCell">
      <w:rPr>
        <w:color w:val="404143" w:themeColor="text1"/>
      </w:rPr>
    </w:tblStylePr>
  </w:style>
  <w:style w:type="table" w:styleId="ColorfulShading-Accent2">
    <w:name w:val="Colorful Shading Accent 2"/>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EBB700" w:themeColor="accent2"/>
        <w:left w:val="single" w:sz="4" w:space="0" w:color="EBB700" w:themeColor="accent2"/>
        <w:bottom w:val="single" w:sz="4" w:space="0" w:color="EBB700" w:themeColor="accent2"/>
        <w:right w:val="single" w:sz="4" w:space="0" w:color="EBB700" w:themeColor="accent2"/>
        <w:insideH w:val="single" w:sz="4" w:space="0" w:color="FFFFFF" w:themeColor="background1"/>
        <w:insideV w:val="single" w:sz="4" w:space="0" w:color="FFFFFF" w:themeColor="background1"/>
      </w:tblBorders>
    </w:tblPr>
    <w:tcPr>
      <w:shd w:val="clear" w:color="auto" w:fill="FFF8E4" w:themeFill="accent2" w:themeFillTint="19"/>
    </w:tcPr>
    <w:tblStylePr w:type="firstRow">
      <w:rPr>
        <w:b/>
        <w:bCs/>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6D00" w:themeFill="accent2" w:themeFillShade="99"/>
      </w:tcPr>
    </w:tblStylePr>
    <w:tblStylePr w:type="firstCol">
      <w:rPr>
        <w:color w:val="FFFFFF" w:themeColor="background1"/>
      </w:rPr>
      <w:tblPr/>
      <w:tcPr>
        <w:tcBorders>
          <w:top w:val="nil"/>
          <w:left w:val="nil"/>
          <w:bottom w:val="nil"/>
          <w:right w:val="nil"/>
          <w:insideH w:val="single" w:sz="4" w:space="0" w:color="8D6D00" w:themeColor="accent2" w:themeShade="99"/>
          <w:insideV w:val="nil"/>
        </w:tcBorders>
        <w:shd w:val="clear" w:color="auto" w:fill="8D6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D6D00" w:themeFill="accent2" w:themeFillShade="99"/>
      </w:tcPr>
    </w:tblStylePr>
    <w:tblStylePr w:type="band1Vert">
      <w:tblPr/>
      <w:tcPr>
        <w:shd w:val="clear" w:color="auto" w:fill="FFE691" w:themeFill="accent2" w:themeFillTint="66"/>
      </w:tcPr>
    </w:tblStylePr>
    <w:tblStylePr w:type="band1Horz">
      <w:tblPr/>
      <w:tcPr>
        <w:shd w:val="clear" w:color="auto" w:fill="FFE076" w:themeFill="accent2" w:themeFillTint="7F"/>
      </w:tcPr>
    </w:tblStylePr>
    <w:tblStylePr w:type="neCell">
      <w:rPr>
        <w:color w:val="404143" w:themeColor="text1"/>
      </w:rPr>
    </w:tblStylePr>
    <w:tblStylePr w:type="nwCell">
      <w:rPr>
        <w:color w:val="404143" w:themeColor="text1"/>
      </w:rPr>
    </w:tblStylePr>
  </w:style>
  <w:style w:type="table" w:styleId="ColorfulShading-Accent3">
    <w:name w:val="Colorful Shading Accent 3"/>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A2AD00" w:themeColor="accent4"/>
        <w:left w:val="single" w:sz="4" w:space="0" w:color="6773B6" w:themeColor="accent3"/>
        <w:bottom w:val="single" w:sz="4" w:space="0" w:color="6773B6" w:themeColor="accent3"/>
        <w:right w:val="single" w:sz="4" w:space="0" w:color="6773B6" w:themeColor="accent3"/>
        <w:insideH w:val="single" w:sz="4" w:space="0" w:color="FFFFFF" w:themeColor="background1"/>
        <w:insideV w:val="single" w:sz="4" w:space="0" w:color="FFFFFF" w:themeColor="background1"/>
      </w:tblBorders>
    </w:tblPr>
    <w:tcPr>
      <w:shd w:val="clear" w:color="auto" w:fill="EFF1F7" w:themeFill="accent3" w:themeFillTint="19"/>
    </w:tcPr>
    <w:tblStylePr w:type="firstRow">
      <w:rPr>
        <w:b/>
        <w:bCs/>
      </w:rPr>
      <w:tblPr/>
      <w:tcPr>
        <w:tcBorders>
          <w:top w:val="nil"/>
          <w:left w:val="nil"/>
          <w:bottom w:val="single" w:sz="24" w:space="0" w:color="A2AD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4073" w:themeFill="accent3" w:themeFillShade="99"/>
      </w:tcPr>
    </w:tblStylePr>
    <w:tblStylePr w:type="firstCol">
      <w:rPr>
        <w:color w:val="FFFFFF" w:themeColor="background1"/>
      </w:rPr>
      <w:tblPr/>
      <w:tcPr>
        <w:tcBorders>
          <w:top w:val="nil"/>
          <w:left w:val="nil"/>
          <w:bottom w:val="nil"/>
          <w:right w:val="nil"/>
          <w:insideH w:val="single" w:sz="4" w:space="0" w:color="374073" w:themeColor="accent3" w:themeShade="99"/>
          <w:insideV w:val="nil"/>
        </w:tcBorders>
        <w:shd w:val="clear" w:color="auto" w:fill="3740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74073" w:themeFill="accent3" w:themeFillShade="99"/>
      </w:tcPr>
    </w:tblStylePr>
    <w:tblStylePr w:type="band1Vert">
      <w:tblPr/>
      <w:tcPr>
        <w:shd w:val="clear" w:color="auto" w:fill="C2C6E1" w:themeFill="accent3" w:themeFillTint="66"/>
      </w:tcPr>
    </w:tblStylePr>
    <w:tblStylePr w:type="band1Horz">
      <w:tblPr/>
      <w:tcPr>
        <w:shd w:val="clear" w:color="auto" w:fill="B3B8DA" w:themeFill="accent3" w:themeFillTint="7F"/>
      </w:tcPr>
    </w:tblStylePr>
  </w:style>
  <w:style w:type="table" w:styleId="ColorfulShading-Accent4">
    <w:name w:val="Colorful Shading Accent 4"/>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6773B6" w:themeColor="accent3"/>
        <w:left w:val="single" w:sz="4" w:space="0" w:color="A2AD00" w:themeColor="accent4"/>
        <w:bottom w:val="single" w:sz="4" w:space="0" w:color="A2AD00" w:themeColor="accent4"/>
        <w:right w:val="single" w:sz="4" w:space="0" w:color="A2AD00" w:themeColor="accent4"/>
        <w:insideH w:val="single" w:sz="4" w:space="0" w:color="FFFFFF" w:themeColor="background1"/>
        <w:insideV w:val="single" w:sz="4" w:space="0" w:color="FFFFFF" w:themeColor="background1"/>
      </w:tblBorders>
    </w:tblPr>
    <w:tcPr>
      <w:shd w:val="clear" w:color="auto" w:fill="FCFFDD" w:themeFill="accent4" w:themeFillTint="19"/>
    </w:tcPr>
    <w:tblStylePr w:type="firstRow">
      <w:rPr>
        <w:b/>
        <w:bCs/>
      </w:rPr>
      <w:tblPr/>
      <w:tcPr>
        <w:tcBorders>
          <w:top w:val="nil"/>
          <w:left w:val="nil"/>
          <w:bottom w:val="single" w:sz="24" w:space="0" w:color="6773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6700" w:themeFill="accent4" w:themeFillShade="99"/>
      </w:tcPr>
    </w:tblStylePr>
    <w:tblStylePr w:type="firstCol">
      <w:rPr>
        <w:color w:val="FFFFFF" w:themeColor="background1"/>
      </w:rPr>
      <w:tblPr/>
      <w:tcPr>
        <w:tcBorders>
          <w:top w:val="nil"/>
          <w:left w:val="nil"/>
          <w:bottom w:val="nil"/>
          <w:right w:val="nil"/>
          <w:insideH w:val="single" w:sz="4" w:space="0" w:color="606700" w:themeColor="accent4" w:themeShade="99"/>
          <w:insideV w:val="nil"/>
        </w:tcBorders>
        <w:shd w:val="clear" w:color="auto" w:fill="606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6700" w:themeFill="accent4" w:themeFillShade="99"/>
      </w:tcPr>
    </w:tblStylePr>
    <w:tblStylePr w:type="band1Vert">
      <w:tblPr/>
      <w:tcPr>
        <w:shd w:val="clear" w:color="auto" w:fill="F6FF78" w:themeFill="accent4" w:themeFillTint="66"/>
      </w:tcPr>
    </w:tblStylePr>
    <w:tblStylePr w:type="band1Horz">
      <w:tblPr/>
      <w:tcPr>
        <w:shd w:val="clear" w:color="auto" w:fill="F3FF57" w:themeFill="accent4" w:themeFillTint="7F"/>
      </w:tcPr>
    </w:tblStylePr>
    <w:tblStylePr w:type="neCell">
      <w:rPr>
        <w:color w:val="404143" w:themeColor="text1"/>
      </w:rPr>
    </w:tblStylePr>
    <w:tblStylePr w:type="nwCell">
      <w:rPr>
        <w:color w:val="404143" w:themeColor="text1"/>
      </w:rPr>
    </w:tblStylePr>
  </w:style>
  <w:style w:type="table" w:styleId="ColorfulShading-Accent5">
    <w:name w:val="Colorful Shading Accent 5"/>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404143" w:themeColor="accent6"/>
        <w:left w:val="single" w:sz="4" w:space="0" w:color="8B8D8E" w:themeColor="accent5"/>
        <w:bottom w:val="single" w:sz="4" w:space="0" w:color="8B8D8E" w:themeColor="accent5"/>
        <w:right w:val="single" w:sz="4" w:space="0" w:color="8B8D8E" w:themeColor="accent5"/>
        <w:insideH w:val="single" w:sz="4" w:space="0" w:color="FFFFFF" w:themeColor="background1"/>
        <w:insideV w:val="single" w:sz="4" w:space="0" w:color="FFFFFF" w:themeColor="background1"/>
      </w:tblBorders>
    </w:tblPr>
    <w:tcPr>
      <w:shd w:val="clear" w:color="auto" w:fill="F3F3F3" w:themeFill="accent5" w:themeFillTint="19"/>
    </w:tcPr>
    <w:tblStylePr w:type="firstRow">
      <w:rPr>
        <w:b/>
        <w:bCs/>
      </w:rPr>
      <w:tblPr/>
      <w:tcPr>
        <w:tcBorders>
          <w:top w:val="nil"/>
          <w:left w:val="nil"/>
          <w:bottom w:val="single" w:sz="24" w:space="0" w:color="40414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5455" w:themeFill="accent5" w:themeFillShade="99"/>
      </w:tcPr>
    </w:tblStylePr>
    <w:tblStylePr w:type="firstCol">
      <w:rPr>
        <w:color w:val="FFFFFF" w:themeColor="background1"/>
      </w:rPr>
      <w:tblPr/>
      <w:tcPr>
        <w:tcBorders>
          <w:top w:val="nil"/>
          <w:left w:val="nil"/>
          <w:bottom w:val="nil"/>
          <w:right w:val="nil"/>
          <w:insideH w:val="single" w:sz="4" w:space="0" w:color="535455" w:themeColor="accent5" w:themeShade="99"/>
          <w:insideV w:val="nil"/>
        </w:tcBorders>
        <w:shd w:val="clear" w:color="auto" w:fill="5354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35455" w:themeFill="accent5" w:themeFillShade="99"/>
      </w:tcPr>
    </w:tblStylePr>
    <w:tblStylePr w:type="band1Vert">
      <w:tblPr/>
      <w:tcPr>
        <w:shd w:val="clear" w:color="auto" w:fill="D0D1D1" w:themeFill="accent5" w:themeFillTint="66"/>
      </w:tcPr>
    </w:tblStylePr>
    <w:tblStylePr w:type="band1Horz">
      <w:tblPr/>
      <w:tcPr>
        <w:shd w:val="clear" w:color="auto" w:fill="C5C6C6" w:themeFill="accent5" w:themeFillTint="7F"/>
      </w:tcPr>
    </w:tblStylePr>
    <w:tblStylePr w:type="neCell">
      <w:rPr>
        <w:color w:val="404143" w:themeColor="text1"/>
      </w:rPr>
    </w:tblStylePr>
    <w:tblStylePr w:type="nwCell">
      <w:rPr>
        <w:color w:val="404143" w:themeColor="text1"/>
      </w:rPr>
    </w:tblStylePr>
  </w:style>
  <w:style w:type="table" w:styleId="ColorfulShading-Accent6">
    <w:name w:val="Colorful Shading Accent 6"/>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8B8D8E" w:themeColor="accent5"/>
        <w:left w:val="single" w:sz="4" w:space="0" w:color="404143" w:themeColor="accent6"/>
        <w:bottom w:val="single" w:sz="4" w:space="0" w:color="404143" w:themeColor="accent6"/>
        <w:right w:val="single" w:sz="4" w:space="0" w:color="404143" w:themeColor="accent6"/>
        <w:insideH w:val="single" w:sz="4" w:space="0" w:color="FFFFFF" w:themeColor="background1"/>
        <w:insideV w:val="single" w:sz="4" w:space="0" w:color="FFFFFF" w:themeColor="background1"/>
      </w:tblBorders>
    </w:tblPr>
    <w:tcPr>
      <w:shd w:val="clear" w:color="auto" w:fill="EBECEC" w:themeFill="accent6" w:themeFillTint="19"/>
    </w:tcPr>
    <w:tblStylePr w:type="firstRow">
      <w:rPr>
        <w:b/>
        <w:bCs/>
      </w:rPr>
      <w:tblPr/>
      <w:tcPr>
        <w:tcBorders>
          <w:top w:val="nil"/>
          <w:left w:val="nil"/>
          <w:bottom w:val="single" w:sz="24" w:space="0" w:color="8B8D8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8" w:themeFill="accent6" w:themeFillShade="99"/>
      </w:tcPr>
    </w:tblStylePr>
    <w:tblStylePr w:type="firstCol">
      <w:rPr>
        <w:color w:val="FFFFFF" w:themeColor="background1"/>
      </w:rPr>
      <w:tblPr/>
      <w:tcPr>
        <w:tcBorders>
          <w:top w:val="nil"/>
          <w:left w:val="nil"/>
          <w:bottom w:val="nil"/>
          <w:right w:val="nil"/>
          <w:insideH w:val="single" w:sz="4" w:space="0" w:color="262628" w:themeColor="accent6" w:themeShade="99"/>
          <w:insideV w:val="nil"/>
        </w:tcBorders>
        <w:shd w:val="clear" w:color="auto" w:fill="2626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62628" w:themeFill="accent6" w:themeFillShade="99"/>
      </w:tcPr>
    </w:tblStylePr>
    <w:tblStylePr w:type="band1Vert">
      <w:tblPr/>
      <w:tcPr>
        <w:shd w:val="clear" w:color="auto" w:fill="B1B2B5" w:themeFill="accent6" w:themeFillTint="66"/>
      </w:tcPr>
    </w:tblStylePr>
    <w:tblStylePr w:type="band1Horz">
      <w:tblPr/>
      <w:tcPr>
        <w:shd w:val="clear" w:color="auto" w:fill="9E9FA2" w:themeFill="accent6" w:themeFillTint="7F"/>
      </w:tcPr>
    </w:tblStylePr>
    <w:tblStylePr w:type="neCell">
      <w:rPr>
        <w:color w:val="404143" w:themeColor="text1"/>
      </w:rPr>
    </w:tblStylePr>
    <w:tblStylePr w:type="nwCell">
      <w:rPr>
        <w:color w:val="404143" w:themeColor="text1"/>
      </w:rPr>
    </w:tblStylePr>
  </w:style>
  <w:style w:type="table" w:styleId="DarkList">
    <w:name w:val="Dark List"/>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404143"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1F20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2" w:themeFill="text1" w:themeFillShade="BF"/>
      </w:tcPr>
    </w:tblStylePr>
    <w:tblStylePr w:type="band1Vert">
      <w:tblPr/>
      <w:tcPr>
        <w:tcBorders>
          <w:top w:val="nil"/>
          <w:left w:val="nil"/>
          <w:bottom w:val="nil"/>
          <w:right w:val="nil"/>
          <w:insideH w:val="nil"/>
          <w:insideV w:val="nil"/>
        </w:tcBorders>
        <w:shd w:val="clear" w:color="auto" w:fill="303032" w:themeFill="text1" w:themeFillShade="BF"/>
      </w:tcPr>
    </w:tblStylePr>
    <w:tblStylePr w:type="band1Horz">
      <w:tblPr/>
      <w:tcPr>
        <w:tcBorders>
          <w:top w:val="nil"/>
          <w:left w:val="nil"/>
          <w:bottom w:val="nil"/>
          <w:right w:val="nil"/>
          <w:insideH w:val="nil"/>
          <w:insideV w:val="nil"/>
        </w:tcBorders>
        <w:shd w:val="clear" w:color="auto" w:fill="303032" w:themeFill="text1" w:themeFillShade="BF"/>
      </w:tcPr>
    </w:tblStylePr>
  </w:style>
  <w:style w:type="table" w:styleId="DarkList-Accent1">
    <w:name w:val="Dark List Accent 1"/>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A7193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520C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12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1223" w:themeFill="accent1" w:themeFillShade="BF"/>
      </w:tcPr>
    </w:tblStylePr>
    <w:tblStylePr w:type="band1Vert">
      <w:tblPr/>
      <w:tcPr>
        <w:tcBorders>
          <w:top w:val="nil"/>
          <w:left w:val="nil"/>
          <w:bottom w:val="nil"/>
          <w:right w:val="nil"/>
          <w:insideH w:val="nil"/>
          <w:insideV w:val="nil"/>
        </w:tcBorders>
        <w:shd w:val="clear" w:color="auto" w:fill="7C1223" w:themeFill="accent1" w:themeFillShade="BF"/>
      </w:tcPr>
    </w:tblStylePr>
    <w:tblStylePr w:type="band1Horz">
      <w:tblPr/>
      <w:tcPr>
        <w:tcBorders>
          <w:top w:val="nil"/>
          <w:left w:val="nil"/>
          <w:bottom w:val="nil"/>
          <w:right w:val="nil"/>
          <w:insideH w:val="nil"/>
          <w:insideV w:val="nil"/>
        </w:tcBorders>
        <w:shd w:val="clear" w:color="auto" w:fill="7C1223" w:themeFill="accent1" w:themeFillShade="BF"/>
      </w:tcPr>
    </w:tblStylePr>
  </w:style>
  <w:style w:type="table" w:styleId="DarkList-Accent2">
    <w:name w:val="Dark List Accent 2"/>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EBB7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75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088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08800" w:themeFill="accent2" w:themeFillShade="BF"/>
      </w:tcPr>
    </w:tblStylePr>
    <w:tblStylePr w:type="band1Vert">
      <w:tblPr/>
      <w:tcPr>
        <w:tcBorders>
          <w:top w:val="nil"/>
          <w:left w:val="nil"/>
          <w:bottom w:val="nil"/>
          <w:right w:val="nil"/>
          <w:insideH w:val="nil"/>
          <w:insideV w:val="nil"/>
        </w:tcBorders>
        <w:shd w:val="clear" w:color="auto" w:fill="B08800" w:themeFill="accent2" w:themeFillShade="BF"/>
      </w:tcPr>
    </w:tblStylePr>
    <w:tblStylePr w:type="band1Horz">
      <w:tblPr/>
      <w:tcPr>
        <w:tcBorders>
          <w:top w:val="nil"/>
          <w:left w:val="nil"/>
          <w:bottom w:val="nil"/>
          <w:right w:val="nil"/>
          <w:insideH w:val="nil"/>
          <w:insideV w:val="nil"/>
        </w:tcBorders>
        <w:shd w:val="clear" w:color="auto" w:fill="B08800" w:themeFill="accent2" w:themeFillShade="BF"/>
      </w:tcPr>
    </w:tblStylePr>
  </w:style>
  <w:style w:type="table" w:styleId="DarkList-Accent3">
    <w:name w:val="Dark List Accent 3"/>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6773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2E35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5509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55090" w:themeFill="accent3" w:themeFillShade="BF"/>
      </w:tcPr>
    </w:tblStylePr>
    <w:tblStylePr w:type="band1Vert">
      <w:tblPr/>
      <w:tcPr>
        <w:tcBorders>
          <w:top w:val="nil"/>
          <w:left w:val="nil"/>
          <w:bottom w:val="nil"/>
          <w:right w:val="nil"/>
          <w:insideH w:val="nil"/>
          <w:insideV w:val="nil"/>
        </w:tcBorders>
        <w:shd w:val="clear" w:color="auto" w:fill="455090" w:themeFill="accent3" w:themeFillShade="BF"/>
      </w:tcPr>
    </w:tblStylePr>
    <w:tblStylePr w:type="band1Horz">
      <w:tblPr/>
      <w:tcPr>
        <w:tcBorders>
          <w:top w:val="nil"/>
          <w:left w:val="nil"/>
          <w:bottom w:val="nil"/>
          <w:right w:val="nil"/>
          <w:insideH w:val="nil"/>
          <w:insideV w:val="nil"/>
        </w:tcBorders>
        <w:shd w:val="clear" w:color="auto" w:fill="455090" w:themeFill="accent3" w:themeFillShade="BF"/>
      </w:tcPr>
    </w:tblStylePr>
  </w:style>
  <w:style w:type="table" w:styleId="DarkList-Accent4">
    <w:name w:val="Dark List Accent 4"/>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A2AD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50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81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8100" w:themeFill="accent4" w:themeFillShade="BF"/>
      </w:tcPr>
    </w:tblStylePr>
    <w:tblStylePr w:type="band1Vert">
      <w:tblPr/>
      <w:tcPr>
        <w:tcBorders>
          <w:top w:val="nil"/>
          <w:left w:val="nil"/>
          <w:bottom w:val="nil"/>
          <w:right w:val="nil"/>
          <w:insideH w:val="nil"/>
          <w:insideV w:val="nil"/>
        </w:tcBorders>
        <w:shd w:val="clear" w:color="auto" w:fill="788100" w:themeFill="accent4" w:themeFillShade="BF"/>
      </w:tcPr>
    </w:tblStylePr>
    <w:tblStylePr w:type="band1Horz">
      <w:tblPr/>
      <w:tcPr>
        <w:tcBorders>
          <w:top w:val="nil"/>
          <w:left w:val="nil"/>
          <w:bottom w:val="nil"/>
          <w:right w:val="nil"/>
          <w:insideH w:val="nil"/>
          <w:insideV w:val="nil"/>
        </w:tcBorders>
        <w:shd w:val="clear" w:color="auto" w:fill="788100" w:themeFill="accent4" w:themeFillShade="BF"/>
      </w:tcPr>
    </w:tblStylePr>
  </w:style>
  <w:style w:type="table" w:styleId="DarkList-Accent5">
    <w:name w:val="Dark List Accent 5"/>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8B8D8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4546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769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7696A" w:themeFill="accent5" w:themeFillShade="BF"/>
      </w:tcPr>
    </w:tblStylePr>
    <w:tblStylePr w:type="band1Vert">
      <w:tblPr/>
      <w:tcPr>
        <w:tcBorders>
          <w:top w:val="nil"/>
          <w:left w:val="nil"/>
          <w:bottom w:val="nil"/>
          <w:right w:val="nil"/>
          <w:insideH w:val="nil"/>
          <w:insideV w:val="nil"/>
        </w:tcBorders>
        <w:shd w:val="clear" w:color="auto" w:fill="67696A" w:themeFill="accent5" w:themeFillShade="BF"/>
      </w:tcPr>
    </w:tblStylePr>
    <w:tblStylePr w:type="band1Horz">
      <w:tblPr/>
      <w:tcPr>
        <w:tcBorders>
          <w:top w:val="nil"/>
          <w:left w:val="nil"/>
          <w:bottom w:val="nil"/>
          <w:right w:val="nil"/>
          <w:insideH w:val="nil"/>
          <w:insideV w:val="nil"/>
        </w:tcBorders>
        <w:shd w:val="clear" w:color="auto" w:fill="67696A" w:themeFill="accent5" w:themeFillShade="BF"/>
      </w:tcPr>
    </w:tblStylePr>
  </w:style>
  <w:style w:type="table" w:styleId="DarkList-Accent6">
    <w:name w:val="Dark List Accent 6"/>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40414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1F20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030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03032" w:themeFill="accent6" w:themeFillShade="BF"/>
      </w:tcPr>
    </w:tblStylePr>
    <w:tblStylePr w:type="band1Vert">
      <w:tblPr/>
      <w:tcPr>
        <w:tcBorders>
          <w:top w:val="nil"/>
          <w:left w:val="nil"/>
          <w:bottom w:val="nil"/>
          <w:right w:val="nil"/>
          <w:insideH w:val="nil"/>
          <w:insideV w:val="nil"/>
        </w:tcBorders>
        <w:shd w:val="clear" w:color="auto" w:fill="303032" w:themeFill="accent6" w:themeFillShade="BF"/>
      </w:tcPr>
    </w:tblStylePr>
    <w:tblStylePr w:type="band1Horz">
      <w:tblPr/>
      <w:tcPr>
        <w:tcBorders>
          <w:top w:val="nil"/>
          <w:left w:val="nil"/>
          <w:bottom w:val="nil"/>
          <w:right w:val="nil"/>
          <w:insideH w:val="nil"/>
          <w:insideV w:val="nil"/>
        </w:tcBorders>
        <w:shd w:val="clear" w:color="auto" w:fill="303032" w:themeFill="accent6" w:themeFillShade="BF"/>
      </w:tcPr>
    </w:tblStylePr>
  </w:style>
  <w:style w:type="table" w:styleId="GridTable1Light">
    <w:name w:val="Grid Table 1 Light"/>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B1B2B5" w:themeColor="text1" w:themeTint="66"/>
        <w:left w:val="single" w:sz="4" w:space="0" w:color="B1B2B5" w:themeColor="text1" w:themeTint="66"/>
        <w:bottom w:val="single" w:sz="4" w:space="0" w:color="B1B2B5" w:themeColor="text1" w:themeTint="66"/>
        <w:right w:val="single" w:sz="4" w:space="0" w:color="B1B2B5" w:themeColor="text1" w:themeTint="66"/>
        <w:insideH w:val="single" w:sz="4" w:space="0" w:color="B1B2B5" w:themeColor="text1" w:themeTint="66"/>
        <w:insideV w:val="single" w:sz="4" w:space="0" w:color="B1B2B5" w:themeColor="text1" w:themeTint="66"/>
      </w:tblBorders>
    </w:tblPr>
    <w:tblStylePr w:type="firstRow">
      <w:rPr>
        <w:b/>
        <w:bCs/>
      </w:rPr>
      <w:tblPr/>
      <w:tcPr>
        <w:tcBorders>
          <w:bottom w:val="single" w:sz="12" w:space="0" w:color="8A8C8F" w:themeColor="text1" w:themeTint="99"/>
        </w:tcBorders>
      </w:tcPr>
    </w:tblStylePr>
    <w:tblStylePr w:type="lastRow">
      <w:rPr>
        <w:b/>
        <w:bCs/>
      </w:rPr>
      <w:tblPr/>
      <w:tcPr>
        <w:tcBorders>
          <w:top w:val="double" w:sz="2" w:space="0" w:color="8A8C8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EE909F" w:themeColor="accent1" w:themeTint="66"/>
        <w:left w:val="single" w:sz="4" w:space="0" w:color="EE909F" w:themeColor="accent1" w:themeTint="66"/>
        <w:bottom w:val="single" w:sz="4" w:space="0" w:color="EE909F" w:themeColor="accent1" w:themeTint="66"/>
        <w:right w:val="single" w:sz="4" w:space="0" w:color="EE909F" w:themeColor="accent1" w:themeTint="66"/>
        <w:insideH w:val="single" w:sz="4" w:space="0" w:color="EE909F" w:themeColor="accent1" w:themeTint="66"/>
        <w:insideV w:val="single" w:sz="4" w:space="0" w:color="EE909F" w:themeColor="accent1" w:themeTint="66"/>
      </w:tblBorders>
    </w:tblPr>
    <w:tblStylePr w:type="firstRow">
      <w:rPr>
        <w:b/>
        <w:bCs/>
      </w:rPr>
      <w:tblPr/>
      <w:tcPr>
        <w:tcBorders>
          <w:bottom w:val="single" w:sz="12" w:space="0" w:color="E6586F" w:themeColor="accent1" w:themeTint="99"/>
        </w:tcBorders>
      </w:tcPr>
    </w:tblStylePr>
    <w:tblStylePr w:type="lastRow">
      <w:rPr>
        <w:b/>
        <w:bCs/>
      </w:rPr>
      <w:tblPr/>
      <w:tcPr>
        <w:tcBorders>
          <w:top w:val="double" w:sz="2" w:space="0" w:color="E6586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FFE691" w:themeColor="accent2" w:themeTint="66"/>
        <w:left w:val="single" w:sz="4" w:space="0" w:color="FFE691" w:themeColor="accent2" w:themeTint="66"/>
        <w:bottom w:val="single" w:sz="4" w:space="0" w:color="FFE691" w:themeColor="accent2" w:themeTint="66"/>
        <w:right w:val="single" w:sz="4" w:space="0" w:color="FFE691" w:themeColor="accent2" w:themeTint="66"/>
        <w:insideH w:val="single" w:sz="4" w:space="0" w:color="FFE691" w:themeColor="accent2" w:themeTint="66"/>
        <w:insideV w:val="single" w:sz="4" w:space="0" w:color="FFE691" w:themeColor="accent2" w:themeTint="66"/>
      </w:tblBorders>
    </w:tblPr>
    <w:tblStylePr w:type="firstRow">
      <w:rPr>
        <w:b/>
        <w:bCs/>
      </w:rPr>
      <w:tblPr/>
      <w:tcPr>
        <w:tcBorders>
          <w:bottom w:val="single" w:sz="12" w:space="0" w:color="FFDA5A" w:themeColor="accent2" w:themeTint="99"/>
        </w:tcBorders>
      </w:tcPr>
    </w:tblStylePr>
    <w:tblStylePr w:type="lastRow">
      <w:rPr>
        <w:b/>
        <w:bCs/>
      </w:rPr>
      <w:tblPr/>
      <w:tcPr>
        <w:tcBorders>
          <w:top w:val="double" w:sz="2" w:space="0" w:color="FFDA5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C2C6E1" w:themeColor="accent3" w:themeTint="66"/>
        <w:left w:val="single" w:sz="4" w:space="0" w:color="C2C6E1" w:themeColor="accent3" w:themeTint="66"/>
        <w:bottom w:val="single" w:sz="4" w:space="0" w:color="C2C6E1" w:themeColor="accent3" w:themeTint="66"/>
        <w:right w:val="single" w:sz="4" w:space="0" w:color="C2C6E1" w:themeColor="accent3" w:themeTint="66"/>
        <w:insideH w:val="single" w:sz="4" w:space="0" w:color="C2C6E1" w:themeColor="accent3" w:themeTint="66"/>
        <w:insideV w:val="single" w:sz="4" w:space="0" w:color="C2C6E1" w:themeColor="accent3" w:themeTint="66"/>
      </w:tblBorders>
    </w:tblPr>
    <w:tblStylePr w:type="firstRow">
      <w:rPr>
        <w:b/>
        <w:bCs/>
      </w:rPr>
      <w:tblPr/>
      <w:tcPr>
        <w:tcBorders>
          <w:bottom w:val="single" w:sz="12" w:space="0" w:color="A3AAD3" w:themeColor="accent3" w:themeTint="99"/>
        </w:tcBorders>
      </w:tcPr>
    </w:tblStylePr>
    <w:tblStylePr w:type="lastRow">
      <w:rPr>
        <w:b/>
        <w:bCs/>
      </w:rPr>
      <w:tblPr/>
      <w:tcPr>
        <w:tcBorders>
          <w:top w:val="double" w:sz="2" w:space="0" w:color="A3AA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F6FF78" w:themeColor="accent4" w:themeTint="66"/>
        <w:left w:val="single" w:sz="4" w:space="0" w:color="F6FF78" w:themeColor="accent4" w:themeTint="66"/>
        <w:bottom w:val="single" w:sz="4" w:space="0" w:color="F6FF78" w:themeColor="accent4" w:themeTint="66"/>
        <w:right w:val="single" w:sz="4" w:space="0" w:color="F6FF78" w:themeColor="accent4" w:themeTint="66"/>
        <w:insideH w:val="single" w:sz="4" w:space="0" w:color="F6FF78" w:themeColor="accent4" w:themeTint="66"/>
        <w:insideV w:val="single" w:sz="4" w:space="0" w:color="F6FF78" w:themeColor="accent4" w:themeTint="66"/>
      </w:tblBorders>
    </w:tblPr>
    <w:tblStylePr w:type="firstRow">
      <w:rPr>
        <w:b/>
        <w:bCs/>
      </w:rPr>
      <w:tblPr/>
      <w:tcPr>
        <w:tcBorders>
          <w:bottom w:val="single" w:sz="12" w:space="0" w:color="F1FF34" w:themeColor="accent4" w:themeTint="99"/>
        </w:tcBorders>
      </w:tcPr>
    </w:tblStylePr>
    <w:tblStylePr w:type="lastRow">
      <w:rPr>
        <w:b/>
        <w:bCs/>
      </w:rPr>
      <w:tblPr/>
      <w:tcPr>
        <w:tcBorders>
          <w:top w:val="double" w:sz="2" w:space="0" w:color="F1FF3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D0D1D1" w:themeColor="accent5" w:themeTint="66"/>
        <w:left w:val="single" w:sz="4" w:space="0" w:color="D0D1D1" w:themeColor="accent5" w:themeTint="66"/>
        <w:bottom w:val="single" w:sz="4" w:space="0" w:color="D0D1D1" w:themeColor="accent5" w:themeTint="66"/>
        <w:right w:val="single" w:sz="4" w:space="0" w:color="D0D1D1" w:themeColor="accent5" w:themeTint="66"/>
        <w:insideH w:val="single" w:sz="4" w:space="0" w:color="D0D1D1" w:themeColor="accent5" w:themeTint="66"/>
        <w:insideV w:val="single" w:sz="4" w:space="0" w:color="D0D1D1" w:themeColor="accent5" w:themeTint="66"/>
      </w:tblBorders>
    </w:tblPr>
    <w:tblStylePr w:type="firstRow">
      <w:rPr>
        <w:b/>
        <w:bCs/>
      </w:rPr>
      <w:tblPr/>
      <w:tcPr>
        <w:tcBorders>
          <w:bottom w:val="single" w:sz="12" w:space="0" w:color="B9BABB" w:themeColor="accent5" w:themeTint="99"/>
        </w:tcBorders>
      </w:tcPr>
    </w:tblStylePr>
    <w:tblStylePr w:type="lastRow">
      <w:rPr>
        <w:b/>
        <w:bCs/>
      </w:rPr>
      <w:tblPr/>
      <w:tcPr>
        <w:tcBorders>
          <w:top w:val="double" w:sz="2" w:space="0" w:color="B9BA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B1B2B5" w:themeColor="accent6" w:themeTint="66"/>
        <w:left w:val="single" w:sz="4" w:space="0" w:color="B1B2B5" w:themeColor="accent6" w:themeTint="66"/>
        <w:bottom w:val="single" w:sz="4" w:space="0" w:color="B1B2B5" w:themeColor="accent6" w:themeTint="66"/>
        <w:right w:val="single" w:sz="4" w:space="0" w:color="B1B2B5" w:themeColor="accent6" w:themeTint="66"/>
        <w:insideH w:val="single" w:sz="4" w:space="0" w:color="B1B2B5" w:themeColor="accent6" w:themeTint="66"/>
        <w:insideV w:val="single" w:sz="4" w:space="0" w:color="B1B2B5" w:themeColor="accent6" w:themeTint="66"/>
      </w:tblBorders>
    </w:tblPr>
    <w:tblStylePr w:type="firstRow">
      <w:rPr>
        <w:b/>
        <w:bCs/>
      </w:rPr>
      <w:tblPr/>
      <w:tcPr>
        <w:tcBorders>
          <w:bottom w:val="single" w:sz="12" w:space="0" w:color="8A8C8F" w:themeColor="accent6" w:themeTint="99"/>
        </w:tcBorders>
      </w:tcPr>
    </w:tblStylePr>
    <w:tblStylePr w:type="lastRow">
      <w:rPr>
        <w:b/>
        <w:bCs/>
      </w:rPr>
      <w:tblPr/>
      <w:tcPr>
        <w:tcBorders>
          <w:top w:val="double" w:sz="2" w:space="0" w:color="8A8C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8A8C8F" w:themeColor="text1" w:themeTint="99"/>
        <w:bottom w:val="single" w:sz="2" w:space="0" w:color="8A8C8F" w:themeColor="text1" w:themeTint="99"/>
        <w:insideH w:val="single" w:sz="2" w:space="0" w:color="8A8C8F" w:themeColor="text1" w:themeTint="99"/>
        <w:insideV w:val="single" w:sz="2" w:space="0" w:color="8A8C8F" w:themeColor="text1" w:themeTint="99"/>
      </w:tblBorders>
    </w:tblPr>
    <w:tblStylePr w:type="firstRow">
      <w:rPr>
        <w:b/>
        <w:bCs/>
      </w:rPr>
      <w:tblPr/>
      <w:tcPr>
        <w:tcBorders>
          <w:top w:val="nil"/>
          <w:bottom w:val="single" w:sz="12" w:space="0" w:color="8A8C8F" w:themeColor="text1" w:themeTint="99"/>
          <w:insideH w:val="nil"/>
          <w:insideV w:val="nil"/>
        </w:tcBorders>
        <w:shd w:val="clear" w:color="auto" w:fill="FFFFFF" w:themeFill="background1"/>
      </w:tcPr>
    </w:tblStylePr>
    <w:tblStylePr w:type="lastRow">
      <w:rPr>
        <w:b/>
        <w:bCs/>
      </w:rPr>
      <w:tblPr/>
      <w:tcPr>
        <w:tcBorders>
          <w:top w:val="double" w:sz="2" w:space="0" w:color="8A8C8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GridTable2-Accent1">
    <w:name w:val="Grid Table 2 Accent 1"/>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E6586F" w:themeColor="accent1" w:themeTint="99"/>
        <w:bottom w:val="single" w:sz="2" w:space="0" w:color="E6586F" w:themeColor="accent1" w:themeTint="99"/>
        <w:insideH w:val="single" w:sz="2" w:space="0" w:color="E6586F" w:themeColor="accent1" w:themeTint="99"/>
        <w:insideV w:val="single" w:sz="2" w:space="0" w:color="E6586F" w:themeColor="accent1" w:themeTint="99"/>
      </w:tblBorders>
    </w:tblPr>
    <w:tblStylePr w:type="firstRow">
      <w:rPr>
        <w:b/>
        <w:bCs/>
      </w:rPr>
      <w:tblPr/>
      <w:tcPr>
        <w:tcBorders>
          <w:top w:val="nil"/>
          <w:bottom w:val="single" w:sz="12" w:space="0" w:color="E6586F" w:themeColor="accent1" w:themeTint="99"/>
          <w:insideH w:val="nil"/>
          <w:insideV w:val="nil"/>
        </w:tcBorders>
        <w:shd w:val="clear" w:color="auto" w:fill="FFFFFF" w:themeFill="background1"/>
      </w:tcPr>
    </w:tblStylePr>
    <w:tblStylePr w:type="lastRow">
      <w:rPr>
        <w:b/>
        <w:bCs/>
      </w:rPr>
      <w:tblPr/>
      <w:tcPr>
        <w:tcBorders>
          <w:top w:val="double" w:sz="2" w:space="0" w:color="E6586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GridTable2-Accent2">
    <w:name w:val="Grid Table 2 Accent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FFDA5A" w:themeColor="accent2" w:themeTint="99"/>
        <w:bottom w:val="single" w:sz="2" w:space="0" w:color="FFDA5A" w:themeColor="accent2" w:themeTint="99"/>
        <w:insideH w:val="single" w:sz="2" w:space="0" w:color="FFDA5A" w:themeColor="accent2" w:themeTint="99"/>
        <w:insideV w:val="single" w:sz="2" w:space="0" w:color="FFDA5A" w:themeColor="accent2" w:themeTint="99"/>
      </w:tblBorders>
    </w:tblPr>
    <w:tblStylePr w:type="firstRow">
      <w:rPr>
        <w:b/>
        <w:bCs/>
      </w:rPr>
      <w:tblPr/>
      <w:tcPr>
        <w:tcBorders>
          <w:top w:val="nil"/>
          <w:bottom w:val="single" w:sz="12" w:space="0" w:color="FFDA5A" w:themeColor="accent2" w:themeTint="99"/>
          <w:insideH w:val="nil"/>
          <w:insideV w:val="nil"/>
        </w:tcBorders>
        <w:shd w:val="clear" w:color="auto" w:fill="FFFFFF" w:themeFill="background1"/>
      </w:tcPr>
    </w:tblStylePr>
    <w:tblStylePr w:type="lastRow">
      <w:rPr>
        <w:b/>
        <w:bCs/>
      </w:rPr>
      <w:tblPr/>
      <w:tcPr>
        <w:tcBorders>
          <w:top w:val="double" w:sz="2" w:space="0" w:color="FFDA5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GridTable2-Accent3">
    <w:name w:val="Grid Table 2 Accent 3"/>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A3AAD3" w:themeColor="accent3" w:themeTint="99"/>
        <w:bottom w:val="single" w:sz="2" w:space="0" w:color="A3AAD3" w:themeColor="accent3" w:themeTint="99"/>
        <w:insideH w:val="single" w:sz="2" w:space="0" w:color="A3AAD3" w:themeColor="accent3" w:themeTint="99"/>
        <w:insideV w:val="single" w:sz="2" w:space="0" w:color="A3AAD3" w:themeColor="accent3" w:themeTint="99"/>
      </w:tblBorders>
    </w:tblPr>
    <w:tblStylePr w:type="firstRow">
      <w:rPr>
        <w:b/>
        <w:bCs/>
      </w:rPr>
      <w:tblPr/>
      <w:tcPr>
        <w:tcBorders>
          <w:top w:val="nil"/>
          <w:bottom w:val="single" w:sz="12" w:space="0" w:color="A3AAD3" w:themeColor="accent3" w:themeTint="99"/>
          <w:insideH w:val="nil"/>
          <w:insideV w:val="nil"/>
        </w:tcBorders>
        <w:shd w:val="clear" w:color="auto" w:fill="FFFFFF" w:themeFill="background1"/>
      </w:tcPr>
    </w:tblStylePr>
    <w:tblStylePr w:type="lastRow">
      <w:rPr>
        <w:b/>
        <w:bCs/>
      </w:rPr>
      <w:tblPr/>
      <w:tcPr>
        <w:tcBorders>
          <w:top w:val="double" w:sz="2" w:space="0" w:color="A3AA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GridTable2-Accent4">
    <w:name w:val="Grid Table 2 Accent 4"/>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F1FF34" w:themeColor="accent4" w:themeTint="99"/>
        <w:bottom w:val="single" w:sz="2" w:space="0" w:color="F1FF34" w:themeColor="accent4" w:themeTint="99"/>
        <w:insideH w:val="single" w:sz="2" w:space="0" w:color="F1FF34" w:themeColor="accent4" w:themeTint="99"/>
        <w:insideV w:val="single" w:sz="2" w:space="0" w:color="F1FF34" w:themeColor="accent4" w:themeTint="99"/>
      </w:tblBorders>
    </w:tblPr>
    <w:tblStylePr w:type="firstRow">
      <w:rPr>
        <w:b/>
        <w:bCs/>
      </w:rPr>
      <w:tblPr/>
      <w:tcPr>
        <w:tcBorders>
          <w:top w:val="nil"/>
          <w:bottom w:val="single" w:sz="12" w:space="0" w:color="F1FF34" w:themeColor="accent4" w:themeTint="99"/>
          <w:insideH w:val="nil"/>
          <w:insideV w:val="nil"/>
        </w:tcBorders>
        <w:shd w:val="clear" w:color="auto" w:fill="FFFFFF" w:themeFill="background1"/>
      </w:tcPr>
    </w:tblStylePr>
    <w:tblStylePr w:type="lastRow">
      <w:rPr>
        <w:b/>
        <w:bCs/>
      </w:rPr>
      <w:tblPr/>
      <w:tcPr>
        <w:tcBorders>
          <w:top w:val="double" w:sz="2" w:space="0" w:color="F1FF3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GridTable2-Accent5">
    <w:name w:val="Grid Table 2 Accent 5"/>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B9BABB" w:themeColor="accent5" w:themeTint="99"/>
        <w:bottom w:val="single" w:sz="2" w:space="0" w:color="B9BABB" w:themeColor="accent5" w:themeTint="99"/>
        <w:insideH w:val="single" w:sz="2" w:space="0" w:color="B9BABB" w:themeColor="accent5" w:themeTint="99"/>
        <w:insideV w:val="single" w:sz="2" w:space="0" w:color="B9BABB" w:themeColor="accent5" w:themeTint="99"/>
      </w:tblBorders>
    </w:tblPr>
    <w:tblStylePr w:type="firstRow">
      <w:rPr>
        <w:b/>
        <w:bCs/>
      </w:rPr>
      <w:tblPr/>
      <w:tcPr>
        <w:tcBorders>
          <w:top w:val="nil"/>
          <w:bottom w:val="single" w:sz="12" w:space="0" w:color="B9BABB" w:themeColor="accent5" w:themeTint="99"/>
          <w:insideH w:val="nil"/>
          <w:insideV w:val="nil"/>
        </w:tcBorders>
        <w:shd w:val="clear" w:color="auto" w:fill="FFFFFF" w:themeFill="background1"/>
      </w:tcPr>
    </w:tblStylePr>
    <w:tblStylePr w:type="lastRow">
      <w:rPr>
        <w:b/>
        <w:bCs/>
      </w:rPr>
      <w:tblPr/>
      <w:tcPr>
        <w:tcBorders>
          <w:top w:val="double" w:sz="2" w:space="0" w:color="B9B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GridTable2-Accent6">
    <w:name w:val="Grid Table 2 Accent 6"/>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8A8C8F" w:themeColor="accent6" w:themeTint="99"/>
        <w:bottom w:val="single" w:sz="2" w:space="0" w:color="8A8C8F" w:themeColor="accent6" w:themeTint="99"/>
        <w:insideH w:val="single" w:sz="2" w:space="0" w:color="8A8C8F" w:themeColor="accent6" w:themeTint="99"/>
        <w:insideV w:val="single" w:sz="2" w:space="0" w:color="8A8C8F" w:themeColor="accent6" w:themeTint="99"/>
      </w:tblBorders>
    </w:tblPr>
    <w:tblStylePr w:type="firstRow">
      <w:rPr>
        <w:b/>
        <w:bCs/>
      </w:rPr>
      <w:tblPr/>
      <w:tcPr>
        <w:tcBorders>
          <w:top w:val="nil"/>
          <w:bottom w:val="single" w:sz="12" w:space="0" w:color="8A8C8F" w:themeColor="accent6" w:themeTint="99"/>
          <w:insideH w:val="nil"/>
          <w:insideV w:val="nil"/>
        </w:tcBorders>
        <w:shd w:val="clear" w:color="auto" w:fill="FFFFFF" w:themeFill="background1"/>
      </w:tcPr>
    </w:tblStylePr>
    <w:tblStylePr w:type="lastRow">
      <w:rPr>
        <w:b/>
        <w:bCs/>
      </w:rPr>
      <w:tblPr/>
      <w:tcPr>
        <w:tcBorders>
          <w:top w:val="double" w:sz="2" w:space="0" w:color="8A8C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GridTable3">
    <w:name w:val="Grid Table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text1" w:themeFillTint="33"/>
      </w:tcPr>
    </w:tblStylePr>
    <w:tblStylePr w:type="band1Horz">
      <w:tblPr/>
      <w:tcPr>
        <w:shd w:val="clear" w:color="auto" w:fill="D8D8DA" w:themeFill="text1" w:themeFillTint="33"/>
      </w:tcPr>
    </w:tblStylePr>
    <w:tblStylePr w:type="neCell">
      <w:tblPr/>
      <w:tcPr>
        <w:tcBorders>
          <w:bottom w:val="single" w:sz="4" w:space="0" w:color="8A8C8F" w:themeColor="text1" w:themeTint="99"/>
        </w:tcBorders>
      </w:tcPr>
    </w:tblStylePr>
    <w:tblStylePr w:type="nwCell">
      <w:tblPr/>
      <w:tcPr>
        <w:tcBorders>
          <w:bottom w:val="single" w:sz="4" w:space="0" w:color="8A8C8F" w:themeColor="text1" w:themeTint="99"/>
        </w:tcBorders>
      </w:tcPr>
    </w:tblStylePr>
    <w:tblStylePr w:type="seCell">
      <w:tblPr/>
      <w:tcPr>
        <w:tcBorders>
          <w:top w:val="single" w:sz="4" w:space="0" w:color="8A8C8F" w:themeColor="text1" w:themeTint="99"/>
        </w:tcBorders>
      </w:tcPr>
    </w:tblStylePr>
    <w:tblStylePr w:type="swCell">
      <w:tblPr/>
      <w:tcPr>
        <w:tcBorders>
          <w:top w:val="single" w:sz="4" w:space="0" w:color="8A8C8F" w:themeColor="text1" w:themeTint="99"/>
        </w:tcBorders>
      </w:tcPr>
    </w:tblStylePr>
  </w:style>
  <w:style w:type="table" w:styleId="GridTable3-Accent1">
    <w:name w:val="Grid Table 3 Accent 1"/>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F" w:themeFill="accent1" w:themeFillTint="33"/>
      </w:tcPr>
    </w:tblStylePr>
    <w:tblStylePr w:type="band1Horz">
      <w:tblPr/>
      <w:tcPr>
        <w:shd w:val="clear" w:color="auto" w:fill="F6C7CF" w:themeFill="accent1" w:themeFillTint="33"/>
      </w:tcPr>
    </w:tblStylePr>
    <w:tblStylePr w:type="neCell">
      <w:tblPr/>
      <w:tcPr>
        <w:tcBorders>
          <w:bottom w:val="single" w:sz="4" w:space="0" w:color="E6586F" w:themeColor="accent1" w:themeTint="99"/>
        </w:tcBorders>
      </w:tcPr>
    </w:tblStylePr>
    <w:tblStylePr w:type="nwCell">
      <w:tblPr/>
      <w:tcPr>
        <w:tcBorders>
          <w:bottom w:val="single" w:sz="4" w:space="0" w:color="E6586F" w:themeColor="accent1" w:themeTint="99"/>
        </w:tcBorders>
      </w:tcPr>
    </w:tblStylePr>
    <w:tblStylePr w:type="seCell">
      <w:tblPr/>
      <w:tcPr>
        <w:tcBorders>
          <w:top w:val="single" w:sz="4" w:space="0" w:color="E6586F" w:themeColor="accent1" w:themeTint="99"/>
        </w:tcBorders>
      </w:tcPr>
    </w:tblStylePr>
    <w:tblStylePr w:type="swCell">
      <w:tblPr/>
      <w:tcPr>
        <w:tcBorders>
          <w:top w:val="single" w:sz="4" w:space="0" w:color="E6586F" w:themeColor="accent1" w:themeTint="99"/>
        </w:tcBorders>
      </w:tcPr>
    </w:tblStylePr>
  </w:style>
  <w:style w:type="table" w:styleId="GridTable3-Accent2">
    <w:name w:val="Grid Table 3 Accent 2"/>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8" w:themeFill="accent2" w:themeFillTint="33"/>
      </w:tcPr>
    </w:tblStylePr>
    <w:tblStylePr w:type="band1Horz">
      <w:tblPr/>
      <w:tcPr>
        <w:shd w:val="clear" w:color="auto" w:fill="FFF2C8" w:themeFill="accent2" w:themeFillTint="33"/>
      </w:tcPr>
    </w:tblStylePr>
    <w:tblStylePr w:type="neCell">
      <w:tblPr/>
      <w:tcPr>
        <w:tcBorders>
          <w:bottom w:val="single" w:sz="4" w:space="0" w:color="FFDA5A" w:themeColor="accent2" w:themeTint="99"/>
        </w:tcBorders>
      </w:tcPr>
    </w:tblStylePr>
    <w:tblStylePr w:type="nwCell">
      <w:tblPr/>
      <w:tcPr>
        <w:tcBorders>
          <w:bottom w:val="single" w:sz="4" w:space="0" w:color="FFDA5A" w:themeColor="accent2" w:themeTint="99"/>
        </w:tcBorders>
      </w:tcPr>
    </w:tblStylePr>
    <w:tblStylePr w:type="seCell">
      <w:tblPr/>
      <w:tcPr>
        <w:tcBorders>
          <w:top w:val="single" w:sz="4" w:space="0" w:color="FFDA5A" w:themeColor="accent2" w:themeTint="99"/>
        </w:tcBorders>
      </w:tcPr>
    </w:tblStylePr>
    <w:tblStylePr w:type="swCell">
      <w:tblPr/>
      <w:tcPr>
        <w:tcBorders>
          <w:top w:val="single" w:sz="4" w:space="0" w:color="FFDA5A" w:themeColor="accent2" w:themeTint="99"/>
        </w:tcBorders>
      </w:tcPr>
    </w:tblStylePr>
  </w:style>
  <w:style w:type="table" w:styleId="GridTable3-Accent3">
    <w:name w:val="Grid Table 3 Accent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2F0" w:themeFill="accent3" w:themeFillTint="33"/>
      </w:tcPr>
    </w:tblStylePr>
    <w:tblStylePr w:type="band1Horz">
      <w:tblPr/>
      <w:tcPr>
        <w:shd w:val="clear" w:color="auto" w:fill="E0E2F0" w:themeFill="accent3" w:themeFillTint="33"/>
      </w:tcPr>
    </w:tblStylePr>
    <w:tblStylePr w:type="neCell">
      <w:tblPr/>
      <w:tcPr>
        <w:tcBorders>
          <w:bottom w:val="single" w:sz="4" w:space="0" w:color="A3AAD3" w:themeColor="accent3" w:themeTint="99"/>
        </w:tcBorders>
      </w:tcPr>
    </w:tblStylePr>
    <w:tblStylePr w:type="nwCell">
      <w:tblPr/>
      <w:tcPr>
        <w:tcBorders>
          <w:bottom w:val="single" w:sz="4" w:space="0" w:color="A3AAD3" w:themeColor="accent3" w:themeTint="99"/>
        </w:tcBorders>
      </w:tcPr>
    </w:tblStylePr>
    <w:tblStylePr w:type="seCell">
      <w:tblPr/>
      <w:tcPr>
        <w:tcBorders>
          <w:top w:val="single" w:sz="4" w:space="0" w:color="A3AAD3" w:themeColor="accent3" w:themeTint="99"/>
        </w:tcBorders>
      </w:tcPr>
    </w:tblStylePr>
    <w:tblStylePr w:type="swCell">
      <w:tblPr/>
      <w:tcPr>
        <w:tcBorders>
          <w:top w:val="single" w:sz="4" w:space="0" w:color="A3AAD3" w:themeColor="accent3" w:themeTint="99"/>
        </w:tcBorders>
      </w:tcPr>
    </w:tblStylePr>
  </w:style>
  <w:style w:type="table" w:styleId="GridTable3-Accent4">
    <w:name w:val="Grid Table 3 Accent 4"/>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BB" w:themeFill="accent4" w:themeFillTint="33"/>
      </w:tcPr>
    </w:tblStylePr>
    <w:tblStylePr w:type="band1Horz">
      <w:tblPr/>
      <w:tcPr>
        <w:shd w:val="clear" w:color="auto" w:fill="FAFFBB" w:themeFill="accent4" w:themeFillTint="33"/>
      </w:tcPr>
    </w:tblStylePr>
    <w:tblStylePr w:type="neCell">
      <w:tblPr/>
      <w:tcPr>
        <w:tcBorders>
          <w:bottom w:val="single" w:sz="4" w:space="0" w:color="F1FF34" w:themeColor="accent4" w:themeTint="99"/>
        </w:tcBorders>
      </w:tcPr>
    </w:tblStylePr>
    <w:tblStylePr w:type="nwCell">
      <w:tblPr/>
      <w:tcPr>
        <w:tcBorders>
          <w:bottom w:val="single" w:sz="4" w:space="0" w:color="F1FF34" w:themeColor="accent4" w:themeTint="99"/>
        </w:tcBorders>
      </w:tcPr>
    </w:tblStylePr>
    <w:tblStylePr w:type="seCell">
      <w:tblPr/>
      <w:tcPr>
        <w:tcBorders>
          <w:top w:val="single" w:sz="4" w:space="0" w:color="F1FF34" w:themeColor="accent4" w:themeTint="99"/>
        </w:tcBorders>
      </w:tcPr>
    </w:tblStylePr>
    <w:tblStylePr w:type="swCell">
      <w:tblPr/>
      <w:tcPr>
        <w:tcBorders>
          <w:top w:val="single" w:sz="4" w:space="0" w:color="F1FF34" w:themeColor="accent4" w:themeTint="99"/>
        </w:tcBorders>
      </w:tcPr>
    </w:tblStylePr>
  </w:style>
  <w:style w:type="table" w:styleId="GridTable3-Accent5">
    <w:name w:val="Grid Table 3 Accent 5"/>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8E8" w:themeFill="accent5" w:themeFillTint="33"/>
      </w:tcPr>
    </w:tblStylePr>
    <w:tblStylePr w:type="band1Horz">
      <w:tblPr/>
      <w:tcPr>
        <w:shd w:val="clear" w:color="auto" w:fill="E7E8E8" w:themeFill="accent5" w:themeFillTint="33"/>
      </w:tcPr>
    </w:tblStylePr>
    <w:tblStylePr w:type="neCell">
      <w:tblPr/>
      <w:tcPr>
        <w:tcBorders>
          <w:bottom w:val="single" w:sz="4" w:space="0" w:color="B9BABB" w:themeColor="accent5" w:themeTint="99"/>
        </w:tcBorders>
      </w:tcPr>
    </w:tblStylePr>
    <w:tblStylePr w:type="nwCell">
      <w:tblPr/>
      <w:tcPr>
        <w:tcBorders>
          <w:bottom w:val="single" w:sz="4" w:space="0" w:color="B9BABB" w:themeColor="accent5" w:themeTint="99"/>
        </w:tcBorders>
      </w:tcPr>
    </w:tblStylePr>
    <w:tblStylePr w:type="seCell">
      <w:tblPr/>
      <w:tcPr>
        <w:tcBorders>
          <w:top w:val="single" w:sz="4" w:space="0" w:color="B9BABB" w:themeColor="accent5" w:themeTint="99"/>
        </w:tcBorders>
      </w:tcPr>
    </w:tblStylePr>
    <w:tblStylePr w:type="swCell">
      <w:tblPr/>
      <w:tcPr>
        <w:tcBorders>
          <w:top w:val="single" w:sz="4" w:space="0" w:color="B9BABB" w:themeColor="accent5" w:themeTint="99"/>
        </w:tcBorders>
      </w:tcPr>
    </w:tblStylePr>
  </w:style>
  <w:style w:type="table" w:styleId="GridTable3-Accent6">
    <w:name w:val="Grid Table 3 Accent 6"/>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accent6" w:themeFillTint="33"/>
      </w:tcPr>
    </w:tblStylePr>
    <w:tblStylePr w:type="band1Horz">
      <w:tblPr/>
      <w:tcPr>
        <w:shd w:val="clear" w:color="auto" w:fill="D8D8DA" w:themeFill="accent6" w:themeFillTint="33"/>
      </w:tcPr>
    </w:tblStylePr>
    <w:tblStylePr w:type="neCell">
      <w:tblPr/>
      <w:tcPr>
        <w:tcBorders>
          <w:bottom w:val="single" w:sz="4" w:space="0" w:color="8A8C8F" w:themeColor="accent6" w:themeTint="99"/>
        </w:tcBorders>
      </w:tcPr>
    </w:tblStylePr>
    <w:tblStylePr w:type="nwCell">
      <w:tblPr/>
      <w:tcPr>
        <w:tcBorders>
          <w:bottom w:val="single" w:sz="4" w:space="0" w:color="8A8C8F" w:themeColor="accent6" w:themeTint="99"/>
        </w:tcBorders>
      </w:tcPr>
    </w:tblStylePr>
    <w:tblStylePr w:type="seCell">
      <w:tblPr/>
      <w:tcPr>
        <w:tcBorders>
          <w:top w:val="single" w:sz="4" w:space="0" w:color="8A8C8F" w:themeColor="accent6" w:themeTint="99"/>
        </w:tcBorders>
      </w:tcPr>
    </w:tblStylePr>
    <w:tblStylePr w:type="swCell">
      <w:tblPr/>
      <w:tcPr>
        <w:tcBorders>
          <w:top w:val="single" w:sz="4" w:space="0" w:color="8A8C8F" w:themeColor="accent6" w:themeTint="99"/>
        </w:tcBorders>
      </w:tcPr>
    </w:tblStylePr>
  </w:style>
  <w:style w:type="table" w:styleId="GridTable4">
    <w:name w:val="Grid Table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color w:val="FFFFFF" w:themeColor="background1"/>
      </w:rPr>
      <w:tblPr/>
      <w:tcPr>
        <w:tcBorders>
          <w:top w:val="single" w:sz="4" w:space="0" w:color="404143" w:themeColor="text1"/>
          <w:left w:val="single" w:sz="4" w:space="0" w:color="404143" w:themeColor="text1"/>
          <w:bottom w:val="single" w:sz="4" w:space="0" w:color="404143" w:themeColor="text1"/>
          <w:right w:val="single" w:sz="4" w:space="0" w:color="404143" w:themeColor="text1"/>
          <w:insideH w:val="nil"/>
          <w:insideV w:val="nil"/>
        </w:tcBorders>
        <w:shd w:val="clear" w:color="auto" w:fill="404143" w:themeFill="text1"/>
      </w:tcPr>
    </w:tblStylePr>
    <w:tblStylePr w:type="lastRow">
      <w:rPr>
        <w:b/>
        <w:bCs/>
      </w:rPr>
      <w:tblPr/>
      <w:tcPr>
        <w:tcBorders>
          <w:top w:val="double" w:sz="4" w:space="0" w:color="404143" w:themeColor="text1"/>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GridTable4-Accent1">
    <w:name w:val="Grid Table 4 Accent 1"/>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color w:val="FFFFFF" w:themeColor="background1"/>
      </w:rPr>
      <w:tblPr/>
      <w:tcPr>
        <w:tcBorders>
          <w:top w:val="single" w:sz="4" w:space="0" w:color="A71930" w:themeColor="accent1"/>
          <w:left w:val="single" w:sz="4" w:space="0" w:color="A71930" w:themeColor="accent1"/>
          <w:bottom w:val="single" w:sz="4" w:space="0" w:color="A71930" w:themeColor="accent1"/>
          <w:right w:val="single" w:sz="4" w:space="0" w:color="A71930" w:themeColor="accent1"/>
          <w:insideH w:val="nil"/>
          <w:insideV w:val="nil"/>
        </w:tcBorders>
        <w:shd w:val="clear" w:color="auto" w:fill="A71930" w:themeFill="accent1"/>
      </w:tcPr>
    </w:tblStylePr>
    <w:tblStylePr w:type="lastRow">
      <w:rPr>
        <w:b/>
        <w:bCs/>
      </w:rPr>
      <w:tblPr/>
      <w:tcPr>
        <w:tcBorders>
          <w:top w:val="double" w:sz="4" w:space="0" w:color="A71930" w:themeColor="accent1"/>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GridTable4-Accent2">
    <w:name w:val="Grid Table 4 Accent 2"/>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color w:val="FFFFFF" w:themeColor="background1"/>
      </w:rPr>
      <w:tblPr/>
      <w:tcPr>
        <w:tcBorders>
          <w:top w:val="single" w:sz="4" w:space="0" w:color="EBB700" w:themeColor="accent2"/>
          <w:left w:val="single" w:sz="4" w:space="0" w:color="EBB700" w:themeColor="accent2"/>
          <w:bottom w:val="single" w:sz="4" w:space="0" w:color="EBB700" w:themeColor="accent2"/>
          <w:right w:val="single" w:sz="4" w:space="0" w:color="EBB700" w:themeColor="accent2"/>
          <w:insideH w:val="nil"/>
          <w:insideV w:val="nil"/>
        </w:tcBorders>
        <w:shd w:val="clear" w:color="auto" w:fill="EBB700" w:themeFill="accent2"/>
      </w:tcPr>
    </w:tblStylePr>
    <w:tblStylePr w:type="lastRow">
      <w:rPr>
        <w:b/>
        <w:bCs/>
      </w:rPr>
      <w:tblPr/>
      <w:tcPr>
        <w:tcBorders>
          <w:top w:val="double" w:sz="4" w:space="0" w:color="EBB700" w:themeColor="accent2"/>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GridTable4-Accent3">
    <w:name w:val="Grid Table 4 Accent 3"/>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color w:val="FFFFFF" w:themeColor="background1"/>
      </w:rPr>
      <w:tblPr/>
      <w:tcPr>
        <w:tcBorders>
          <w:top w:val="single" w:sz="4" w:space="0" w:color="6773B6" w:themeColor="accent3"/>
          <w:left w:val="single" w:sz="4" w:space="0" w:color="6773B6" w:themeColor="accent3"/>
          <w:bottom w:val="single" w:sz="4" w:space="0" w:color="6773B6" w:themeColor="accent3"/>
          <w:right w:val="single" w:sz="4" w:space="0" w:color="6773B6" w:themeColor="accent3"/>
          <w:insideH w:val="nil"/>
          <w:insideV w:val="nil"/>
        </w:tcBorders>
        <w:shd w:val="clear" w:color="auto" w:fill="6773B6" w:themeFill="accent3"/>
      </w:tcPr>
    </w:tblStylePr>
    <w:tblStylePr w:type="lastRow">
      <w:rPr>
        <w:b/>
        <w:bCs/>
      </w:rPr>
      <w:tblPr/>
      <w:tcPr>
        <w:tcBorders>
          <w:top w:val="double" w:sz="4" w:space="0" w:color="6773B6" w:themeColor="accent3"/>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GridTable4-Accent4">
    <w:name w:val="Grid Table 4 Accent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color w:val="FFFFFF" w:themeColor="background1"/>
      </w:rPr>
      <w:tblPr/>
      <w:tcPr>
        <w:tcBorders>
          <w:top w:val="single" w:sz="4" w:space="0" w:color="A2AD00" w:themeColor="accent4"/>
          <w:left w:val="single" w:sz="4" w:space="0" w:color="A2AD00" w:themeColor="accent4"/>
          <w:bottom w:val="single" w:sz="4" w:space="0" w:color="A2AD00" w:themeColor="accent4"/>
          <w:right w:val="single" w:sz="4" w:space="0" w:color="A2AD00" w:themeColor="accent4"/>
          <w:insideH w:val="nil"/>
          <w:insideV w:val="nil"/>
        </w:tcBorders>
        <w:shd w:val="clear" w:color="auto" w:fill="A2AD00" w:themeFill="accent4"/>
      </w:tcPr>
    </w:tblStylePr>
    <w:tblStylePr w:type="lastRow">
      <w:rPr>
        <w:b/>
        <w:bCs/>
      </w:rPr>
      <w:tblPr/>
      <w:tcPr>
        <w:tcBorders>
          <w:top w:val="double" w:sz="4" w:space="0" w:color="A2AD00" w:themeColor="accent4"/>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GridTable4-Accent5">
    <w:name w:val="Grid Table 4 Accent 5"/>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color w:val="FFFFFF" w:themeColor="background1"/>
      </w:rPr>
      <w:tblPr/>
      <w:tcPr>
        <w:tcBorders>
          <w:top w:val="single" w:sz="4" w:space="0" w:color="8B8D8E" w:themeColor="accent5"/>
          <w:left w:val="single" w:sz="4" w:space="0" w:color="8B8D8E" w:themeColor="accent5"/>
          <w:bottom w:val="single" w:sz="4" w:space="0" w:color="8B8D8E" w:themeColor="accent5"/>
          <w:right w:val="single" w:sz="4" w:space="0" w:color="8B8D8E" w:themeColor="accent5"/>
          <w:insideH w:val="nil"/>
          <w:insideV w:val="nil"/>
        </w:tcBorders>
        <w:shd w:val="clear" w:color="auto" w:fill="8B8D8E" w:themeFill="accent5"/>
      </w:tcPr>
    </w:tblStylePr>
    <w:tblStylePr w:type="lastRow">
      <w:rPr>
        <w:b/>
        <w:bCs/>
      </w:rPr>
      <w:tblPr/>
      <w:tcPr>
        <w:tcBorders>
          <w:top w:val="double" w:sz="4" w:space="0" w:color="8B8D8E" w:themeColor="accent5"/>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GridTable4-Accent6">
    <w:name w:val="Grid Table 4 Accent 6"/>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color w:val="FFFFFF" w:themeColor="background1"/>
      </w:rPr>
      <w:tblPr/>
      <w:tcPr>
        <w:tcBorders>
          <w:top w:val="single" w:sz="4" w:space="0" w:color="404143" w:themeColor="accent6"/>
          <w:left w:val="single" w:sz="4" w:space="0" w:color="404143" w:themeColor="accent6"/>
          <w:bottom w:val="single" w:sz="4" w:space="0" w:color="404143" w:themeColor="accent6"/>
          <w:right w:val="single" w:sz="4" w:space="0" w:color="404143" w:themeColor="accent6"/>
          <w:insideH w:val="nil"/>
          <w:insideV w:val="nil"/>
        </w:tcBorders>
        <w:shd w:val="clear" w:color="auto" w:fill="404143" w:themeFill="accent6"/>
      </w:tcPr>
    </w:tblStylePr>
    <w:tblStylePr w:type="lastRow">
      <w:rPr>
        <w:b/>
        <w:bCs/>
      </w:rPr>
      <w:tblPr/>
      <w:tcPr>
        <w:tcBorders>
          <w:top w:val="double" w:sz="4" w:space="0" w:color="404143" w:themeColor="accent6"/>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GridTable5Dark">
    <w:name w:val="Grid Table 5 Dark"/>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14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14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14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143" w:themeFill="text1"/>
      </w:tcPr>
    </w:tblStylePr>
    <w:tblStylePr w:type="band1Vert">
      <w:tblPr/>
      <w:tcPr>
        <w:shd w:val="clear" w:color="auto" w:fill="B1B2B5" w:themeFill="text1" w:themeFillTint="66"/>
      </w:tcPr>
    </w:tblStylePr>
    <w:tblStylePr w:type="band1Horz">
      <w:tblPr/>
      <w:tcPr>
        <w:shd w:val="clear" w:color="auto" w:fill="B1B2B5" w:themeFill="text1" w:themeFillTint="66"/>
      </w:tcPr>
    </w:tblStylePr>
  </w:style>
  <w:style w:type="table" w:styleId="GridTable5Dark-Accent1">
    <w:name w:val="Grid Table 5 Dark Accent 1"/>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193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193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193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1930" w:themeFill="accent1"/>
      </w:tcPr>
    </w:tblStylePr>
    <w:tblStylePr w:type="band1Vert">
      <w:tblPr/>
      <w:tcPr>
        <w:shd w:val="clear" w:color="auto" w:fill="EE909F" w:themeFill="accent1" w:themeFillTint="66"/>
      </w:tcPr>
    </w:tblStylePr>
    <w:tblStylePr w:type="band1Horz">
      <w:tblPr/>
      <w:tcPr>
        <w:shd w:val="clear" w:color="auto" w:fill="EE909F" w:themeFill="accent1" w:themeFillTint="66"/>
      </w:tcPr>
    </w:tblStylePr>
  </w:style>
  <w:style w:type="table" w:styleId="GridTable5Dark-Accent2">
    <w:name w:val="Grid Table 5 Dark Accent 2"/>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B7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B7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B7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B700" w:themeFill="accent2"/>
      </w:tcPr>
    </w:tblStylePr>
    <w:tblStylePr w:type="band1Vert">
      <w:tblPr/>
      <w:tcPr>
        <w:shd w:val="clear" w:color="auto" w:fill="FFE691" w:themeFill="accent2" w:themeFillTint="66"/>
      </w:tcPr>
    </w:tblStylePr>
    <w:tblStylePr w:type="band1Horz">
      <w:tblPr/>
      <w:tcPr>
        <w:shd w:val="clear" w:color="auto" w:fill="FFE691" w:themeFill="accent2" w:themeFillTint="66"/>
      </w:tcPr>
    </w:tblStylePr>
  </w:style>
  <w:style w:type="table" w:styleId="GridTable5Dark-Accent3">
    <w:name w:val="Grid Table 5 Dark Accent 3"/>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2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773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773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773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773B6" w:themeFill="accent3"/>
      </w:tcPr>
    </w:tblStylePr>
    <w:tblStylePr w:type="band1Vert">
      <w:tblPr/>
      <w:tcPr>
        <w:shd w:val="clear" w:color="auto" w:fill="C2C6E1" w:themeFill="accent3" w:themeFillTint="66"/>
      </w:tcPr>
    </w:tblStylePr>
    <w:tblStylePr w:type="band1Horz">
      <w:tblPr/>
      <w:tcPr>
        <w:shd w:val="clear" w:color="auto" w:fill="C2C6E1" w:themeFill="accent3" w:themeFillTint="66"/>
      </w:tcPr>
    </w:tblStylePr>
  </w:style>
  <w:style w:type="table" w:styleId="GridTable5Dark-Accent4">
    <w:name w:val="Grid Table 5 Dark Accent 4"/>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B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AD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AD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AD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AD00" w:themeFill="accent4"/>
      </w:tcPr>
    </w:tblStylePr>
    <w:tblStylePr w:type="band1Vert">
      <w:tblPr/>
      <w:tcPr>
        <w:shd w:val="clear" w:color="auto" w:fill="F6FF78" w:themeFill="accent4" w:themeFillTint="66"/>
      </w:tcPr>
    </w:tblStylePr>
    <w:tblStylePr w:type="band1Horz">
      <w:tblPr/>
      <w:tcPr>
        <w:shd w:val="clear" w:color="auto" w:fill="F6FF78" w:themeFill="accent4" w:themeFillTint="66"/>
      </w:tcPr>
    </w:tblStylePr>
  </w:style>
  <w:style w:type="table" w:styleId="GridTable5Dark-Accent5">
    <w:name w:val="Grid Table 5 Dark Accent 5"/>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8D8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8D8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8D8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8D8E" w:themeFill="accent5"/>
      </w:tcPr>
    </w:tblStylePr>
    <w:tblStylePr w:type="band1Vert">
      <w:tblPr/>
      <w:tcPr>
        <w:shd w:val="clear" w:color="auto" w:fill="D0D1D1" w:themeFill="accent5" w:themeFillTint="66"/>
      </w:tcPr>
    </w:tblStylePr>
    <w:tblStylePr w:type="band1Horz">
      <w:tblPr/>
      <w:tcPr>
        <w:shd w:val="clear" w:color="auto" w:fill="D0D1D1" w:themeFill="accent5" w:themeFillTint="66"/>
      </w:tcPr>
    </w:tblStylePr>
  </w:style>
  <w:style w:type="table" w:styleId="GridTable5Dark-Accent6">
    <w:name w:val="Grid Table 5 Dark Accent 6"/>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14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14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14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143" w:themeFill="accent6"/>
      </w:tcPr>
    </w:tblStylePr>
    <w:tblStylePr w:type="band1Vert">
      <w:tblPr/>
      <w:tcPr>
        <w:shd w:val="clear" w:color="auto" w:fill="B1B2B5" w:themeFill="accent6" w:themeFillTint="66"/>
      </w:tcPr>
    </w:tblStylePr>
    <w:tblStylePr w:type="band1Horz">
      <w:tblPr/>
      <w:tcPr>
        <w:shd w:val="clear" w:color="auto" w:fill="B1B2B5" w:themeFill="accent6" w:themeFillTint="66"/>
      </w:tcPr>
    </w:tblStylePr>
  </w:style>
  <w:style w:type="table" w:styleId="GridTable6Colorful">
    <w:name w:val="Grid Table 6 Colorful"/>
    <w:basedOn w:val="TableNormal"/>
    <w:uiPriority w:val="51"/>
    <w:rsid w:val="00F3012E"/>
    <w:rPr>
      <w:rFonts w:asciiTheme="minorHAnsi" w:hAnsiTheme="minorHAnsi" w:cstheme="minorBidi"/>
      <w:color w:val="404143" w:themeColor="text1"/>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rPr>
      <w:tblPr/>
      <w:tcPr>
        <w:tcBorders>
          <w:bottom w:val="single" w:sz="12" w:space="0" w:color="8A8C8F" w:themeColor="text1" w:themeTint="99"/>
        </w:tcBorders>
      </w:tcPr>
    </w:tblStylePr>
    <w:tblStylePr w:type="lastRow">
      <w:rPr>
        <w:b/>
        <w:bCs/>
      </w:rPr>
      <w:tblPr/>
      <w:tcPr>
        <w:tcBorders>
          <w:top w:val="double" w:sz="4" w:space="0" w:color="8A8C8F" w:themeColor="text1" w:themeTint="99"/>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GridTable6Colorful-Accent1">
    <w:name w:val="Grid Table 6 Colorful Accent 1"/>
    <w:basedOn w:val="TableNormal"/>
    <w:uiPriority w:val="51"/>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rPr>
      <w:tblPr/>
      <w:tcPr>
        <w:tcBorders>
          <w:bottom w:val="single" w:sz="12" w:space="0" w:color="E6586F" w:themeColor="accent1" w:themeTint="99"/>
        </w:tcBorders>
      </w:tcPr>
    </w:tblStylePr>
    <w:tblStylePr w:type="lastRow">
      <w:rPr>
        <w:b/>
        <w:bCs/>
      </w:rPr>
      <w:tblPr/>
      <w:tcPr>
        <w:tcBorders>
          <w:top w:val="double" w:sz="4" w:space="0" w:color="E6586F" w:themeColor="accent1" w:themeTint="99"/>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GridTable6Colorful-Accent2">
    <w:name w:val="Grid Table 6 Colorful Accent 2"/>
    <w:basedOn w:val="TableNormal"/>
    <w:uiPriority w:val="51"/>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rPr>
      <w:tblPr/>
      <w:tcPr>
        <w:tcBorders>
          <w:bottom w:val="single" w:sz="12" w:space="0" w:color="FFDA5A" w:themeColor="accent2" w:themeTint="99"/>
        </w:tcBorders>
      </w:tcPr>
    </w:tblStylePr>
    <w:tblStylePr w:type="lastRow">
      <w:rPr>
        <w:b/>
        <w:bCs/>
      </w:rPr>
      <w:tblPr/>
      <w:tcPr>
        <w:tcBorders>
          <w:top w:val="double" w:sz="4" w:space="0" w:color="FFDA5A" w:themeColor="accent2" w:themeTint="99"/>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GridTable6Colorful-Accent3">
    <w:name w:val="Grid Table 6 Colorful Accent 3"/>
    <w:basedOn w:val="TableNormal"/>
    <w:uiPriority w:val="51"/>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rPr>
      <w:tblPr/>
      <w:tcPr>
        <w:tcBorders>
          <w:bottom w:val="single" w:sz="12" w:space="0" w:color="A3AAD3" w:themeColor="accent3" w:themeTint="99"/>
        </w:tcBorders>
      </w:tcPr>
    </w:tblStylePr>
    <w:tblStylePr w:type="lastRow">
      <w:rPr>
        <w:b/>
        <w:bCs/>
      </w:rPr>
      <w:tblPr/>
      <w:tcPr>
        <w:tcBorders>
          <w:top w:val="double" w:sz="4" w:space="0" w:color="A3AAD3" w:themeColor="accent3" w:themeTint="99"/>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GridTable6Colorful-Accent4">
    <w:name w:val="Grid Table 6 Colorful Accent 4"/>
    <w:basedOn w:val="TableNormal"/>
    <w:uiPriority w:val="51"/>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rPr>
      <w:tblPr/>
      <w:tcPr>
        <w:tcBorders>
          <w:bottom w:val="single" w:sz="12" w:space="0" w:color="F1FF34" w:themeColor="accent4" w:themeTint="99"/>
        </w:tcBorders>
      </w:tcPr>
    </w:tblStylePr>
    <w:tblStylePr w:type="lastRow">
      <w:rPr>
        <w:b/>
        <w:bCs/>
      </w:rPr>
      <w:tblPr/>
      <w:tcPr>
        <w:tcBorders>
          <w:top w:val="double" w:sz="4" w:space="0" w:color="F1FF34" w:themeColor="accent4" w:themeTint="99"/>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GridTable6Colorful-Accent5">
    <w:name w:val="Grid Table 6 Colorful Accent 5"/>
    <w:basedOn w:val="TableNormal"/>
    <w:uiPriority w:val="51"/>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rPr>
      <w:tblPr/>
      <w:tcPr>
        <w:tcBorders>
          <w:bottom w:val="single" w:sz="12" w:space="0" w:color="B9BABB" w:themeColor="accent5" w:themeTint="99"/>
        </w:tcBorders>
      </w:tcPr>
    </w:tblStylePr>
    <w:tblStylePr w:type="lastRow">
      <w:rPr>
        <w:b/>
        <w:bCs/>
      </w:rPr>
      <w:tblPr/>
      <w:tcPr>
        <w:tcBorders>
          <w:top w:val="double" w:sz="4" w:space="0" w:color="B9BABB" w:themeColor="accent5" w:themeTint="99"/>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GridTable6Colorful-Accent6">
    <w:name w:val="Grid Table 6 Colorful Accent 6"/>
    <w:basedOn w:val="TableNormal"/>
    <w:uiPriority w:val="51"/>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rPr>
      <w:tblPr/>
      <w:tcPr>
        <w:tcBorders>
          <w:bottom w:val="single" w:sz="12" w:space="0" w:color="8A8C8F" w:themeColor="accent6" w:themeTint="99"/>
        </w:tcBorders>
      </w:tcPr>
    </w:tblStylePr>
    <w:tblStylePr w:type="lastRow">
      <w:rPr>
        <w:b/>
        <w:bCs/>
      </w:rPr>
      <w:tblPr/>
      <w:tcPr>
        <w:tcBorders>
          <w:top w:val="double" w:sz="4" w:space="0" w:color="8A8C8F" w:themeColor="accent6" w:themeTint="99"/>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GridTable7Colorful">
    <w:name w:val="Grid Table 7 Colorful"/>
    <w:basedOn w:val="TableNormal"/>
    <w:uiPriority w:val="52"/>
    <w:rsid w:val="00F3012E"/>
    <w:rPr>
      <w:rFonts w:asciiTheme="minorHAnsi" w:hAnsiTheme="minorHAnsi" w:cstheme="minorBidi"/>
      <w:color w:val="404143" w:themeColor="text1"/>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text1" w:themeFillTint="33"/>
      </w:tcPr>
    </w:tblStylePr>
    <w:tblStylePr w:type="band1Horz">
      <w:tblPr/>
      <w:tcPr>
        <w:shd w:val="clear" w:color="auto" w:fill="D8D8DA" w:themeFill="text1" w:themeFillTint="33"/>
      </w:tcPr>
    </w:tblStylePr>
    <w:tblStylePr w:type="neCell">
      <w:tblPr/>
      <w:tcPr>
        <w:tcBorders>
          <w:bottom w:val="single" w:sz="4" w:space="0" w:color="8A8C8F" w:themeColor="text1" w:themeTint="99"/>
        </w:tcBorders>
      </w:tcPr>
    </w:tblStylePr>
    <w:tblStylePr w:type="nwCell">
      <w:tblPr/>
      <w:tcPr>
        <w:tcBorders>
          <w:bottom w:val="single" w:sz="4" w:space="0" w:color="8A8C8F" w:themeColor="text1" w:themeTint="99"/>
        </w:tcBorders>
      </w:tcPr>
    </w:tblStylePr>
    <w:tblStylePr w:type="seCell">
      <w:tblPr/>
      <w:tcPr>
        <w:tcBorders>
          <w:top w:val="single" w:sz="4" w:space="0" w:color="8A8C8F" w:themeColor="text1" w:themeTint="99"/>
        </w:tcBorders>
      </w:tcPr>
    </w:tblStylePr>
    <w:tblStylePr w:type="swCell">
      <w:tblPr/>
      <w:tcPr>
        <w:tcBorders>
          <w:top w:val="single" w:sz="4" w:space="0" w:color="8A8C8F" w:themeColor="text1" w:themeTint="99"/>
        </w:tcBorders>
      </w:tcPr>
    </w:tblStylePr>
  </w:style>
  <w:style w:type="table" w:styleId="GridTable7Colorful-Accent1">
    <w:name w:val="Grid Table 7 Colorful Accent 1"/>
    <w:basedOn w:val="TableNormal"/>
    <w:uiPriority w:val="52"/>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F" w:themeFill="accent1" w:themeFillTint="33"/>
      </w:tcPr>
    </w:tblStylePr>
    <w:tblStylePr w:type="band1Horz">
      <w:tblPr/>
      <w:tcPr>
        <w:shd w:val="clear" w:color="auto" w:fill="F6C7CF" w:themeFill="accent1" w:themeFillTint="33"/>
      </w:tcPr>
    </w:tblStylePr>
    <w:tblStylePr w:type="neCell">
      <w:tblPr/>
      <w:tcPr>
        <w:tcBorders>
          <w:bottom w:val="single" w:sz="4" w:space="0" w:color="E6586F" w:themeColor="accent1" w:themeTint="99"/>
        </w:tcBorders>
      </w:tcPr>
    </w:tblStylePr>
    <w:tblStylePr w:type="nwCell">
      <w:tblPr/>
      <w:tcPr>
        <w:tcBorders>
          <w:bottom w:val="single" w:sz="4" w:space="0" w:color="E6586F" w:themeColor="accent1" w:themeTint="99"/>
        </w:tcBorders>
      </w:tcPr>
    </w:tblStylePr>
    <w:tblStylePr w:type="seCell">
      <w:tblPr/>
      <w:tcPr>
        <w:tcBorders>
          <w:top w:val="single" w:sz="4" w:space="0" w:color="E6586F" w:themeColor="accent1" w:themeTint="99"/>
        </w:tcBorders>
      </w:tcPr>
    </w:tblStylePr>
    <w:tblStylePr w:type="swCell">
      <w:tblPr/>
      <w:tcPr>
        <w:tcBorders>
          <w:top w:val="single" w:sz="4" w:space="0" w:color="E6586F" w:themeColor="accent1" w:themeTint="99"/>
        </w:tcBorders>
      </w:tcPr>
    </w:tblStylePr>
  </w:style>
  <w:style w:type="table" w:styleId="GridTable7Colorful-Accent2">
    <w:name w:val="Grid Table 7 Colorful Accent 2"/>
    <w:basedOn w:val="TableNormal"/>
    <w:uiPriority w:val="52"/>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8" w:themeFill="accent2" w:themeFillTint="33"/>
      </w:tcPr>
    </w:tblStylePr>
    <w:tblStylePr w:type="band1Horz">
      <w:tblPr/>
      <w:tcPr>
        <w:shd w:val="clear" w:color="auto" w:fill="FFF2C8" w:themeFill="accent2" w:themeFillTint="33"/>
      </w:tcPr>
    </w:tblStylePr>
    <w:tblStylePr w:type="neCell">
      <w:tblPr/>
      <w:tcPr>
        <w:tcBorders>
          <w:bottom w:val="single" w:sz="4" w:space="0" w:color="FFDA5A" w:themeColor="accent2" w:themeTint="99"/>
        </w:tcBorders>
      </w:tcPr>
    </w:tblStylePr>
    <w:tblStylePr w:type="nwCell">
      <w:tblPr/>
      <w:tcPr>
        <w:tcBorders>
          <w:bottom w:val="single" w:sz="4" w:space="0" w:color="FFDA5A" w:themeColor="accent2" w:themeTint="99"/>
        </w:tcBorders>
      </w:tcPr>
    </w:tblStylePr>
    <w:tblStylePr w:type="seCell">
      <w:tblPr/>
      <w:tcPr>
        <w:tcBorders>
          <w:top w:val="single" w:sz="4" w:space="0" w:color="FFDA5A" w:themeColor="accent2" w:themeTint="99"/>
        </w:tcBorders>
      </w:tcPr>
    </w:tblStylePr>
    <w:tblStylePr w:type="swCell">
      <w:tblPr/>
      <w:tcPr>
        <w:tcBorders>
          <w:top w:val="single" w:sz="4" w:space="0" w:color="FFDA5A" w:themeColor="accent2" w:themeTint="99"/>
        </w:tcBorders>
      </w:tcPr>
    </w:tblStylePr>
  </w:style>
  <w:style w:type="table" w:styleId="GridTable7Colorful-Accent3">
    <w:name w:val="Grid Table 7 Colorful Accent 3"/>
    <w:basedOn w:val="TableNormal"/>
    <w:uiPriority w:val="52"/>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2F0" w:themeFill="accent3" w:themeFillTint="33"/>
      </w:tcPr>
    </w:tblStylePr>
    <w:tblStylePr w:type="band1Horz">
      <w:tblPr/>
      <w:tcPr>
        <w:shd w:val="clear" w:color="auto" w:fill="E0E2F0" w:themeFill="accent3" w:themeFillTint="33"/>
      </w:tcPr>
    </w:tblStylePr>
    <w:tblStylePr w:type="neCell">
      <w:tblPr/>
      <w:tcPr>
        <w:tcBorders>
          <w:bottom w:val="single" w:sz="4" w:space="0" w:color="A3AAD3" w:themeColor="accent3" w:themeTint="99"/>
        </w:tcBorders>
      </w:tcPr>
    </w:tblStylePr>
    <w:tblStylePr w:type="nwCell">
      <w:tblPr/>
      <w:tcPr>
        <w:tcBorders>
          <w:bottom w:val="single" w:sz="4" w:space="0" w:color="A3AAD3" w:themeColor="accent3" w:themeTint="99"/>
        </w:tcBorders>
      </w:tcPr>
    </w:tblStylePr>
    <w:tblStylePr w:type="seCell">
      <w:tblPr/>
      <w:tcPr>
        <w:tcBorders>
          <w:top w:val="single" w:sz="4" w:space="0" w:color="A3AAD3" w:themeColor="accent3" w:themeTint="99"/>
        </w:tcBorders>
      </w:tcPr>
    </w:tblStylePr>
    <w:tblStylePr w:type="swCell">
      <w:tblPr/>
      <w:tcPr>
        <w:tcBorders>
          <w:top w:val="single" w:sz="4" w:space="0" w:color="A3AAD3" w:themeColor="accent3" w:themeTint="99"/>
        </w:tcBorders>
      </w:tcPr>
    </w:tblStylePr>
  </w:style>
  <w:style w:type="table" w:styleId="GridTable7Colorful-Accent4">
    <w:name w:val="Grid Table 7 Colorful Accent 4"/>
    <w:basedOn w:val="TableNormal"/>
    <w:uiPriority w:val="52"/>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BB" w:themeFill="accent4" w:themeFillTint="33"/>
      </w:tcPr>
    </w:tblStylePr>
    <w:tblStylePr w:type="band1Horz">
      <w:tblPr/>
      <w:tcPr>
        <w:shd w:val="clear" w:color="auto" w:fill="FAFFBB" w:themeFill="accent4" w:themeFillTint="33"/>
      </w:tcPr>
    </w:tblStylePr>
    <w:tblStylePr w:type="neCell">
      <w:tblPr/>
      <w:tcPr>
        <w:tcBorders>
          <w:bottom w:val="single" w:sz="4" w:space="0" w:color="F1FF34" w:themeColor="accent4" w:themeTint="99"/>
        </w:tcBorders>
      </w:tcPr>
    </w:tblStylePr>
    <w:tblStylePr w:type="nwCell">
      <w:tblPr/>
      <w:tcPr>
        <w:tcBorders>
          <w:bottom w:val="single" w:sz="4" w:space="0" w:color="F1FF34" w:themeColor="accent4" w:themeTint="99"/>
        </w:tcBorders>
      </w:tcPr>
    </w:tblStylePr>
    <w:tblStylePr w:type="seCell">
      <w:tblPr/>
      <w:tcPr>
        <w:tcBorders>
          <w:top w:val="single" w:sz="4" w:space="0" w:color="F1FF34" w:themeColor="accent4" w:themeTint="99"/>
        </w:tcBorders>
      </w:tcPr>
    </w:tblStylePr>
    <w:tblStylePr w:type="swCell">
      <w:tblPr/>
      <w:tcPr>
        <w:tcBorders>
          <w:top w:val="single" w:sz="4" w:space="0" w:color="F1FF34" w:themeColor="accent4" w:themeTint="99"/>
        </w:tcBorders>
      </w:tcPr>
    </w:tblStylePr>
  </w:style>
  <w:style w:type="table" w:styleId="GridTable7Colorful-Accent5">
    <w:name w:val="Grid Table 7 Colorful Accent 5"/>
    <w:basedOn w:val="TableNormal"/>
    <w:uiPriority w:val="52"/>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8E8" w:themeFill="accent5" w:themeFillTint="33"/>
      </w:tcPr>
    </w:tblStylePr>
    <w:tblStylePr w:type="band1Horz">
      <w:tblPr/>
      <w:tcPr>
        <w:shd w:val="clear" w:color="auto" w:fill="E7E8E8" w:themeFill="accent5" w:themeFillTint="33"/>
      </w:tcPr>
    </w:tblStylePr>
    <w:tblStylePr w:type="neCell">
      <w:tblPr/>
      <w:tcPr>
        <w:tcBorders>
          <w:bottom w:val="single" w:sz="4" w:space="0" w:color="B9BABB" w:themeColor="accent5" w:themeTint="99"/>
        </w:tcBorders>
      </w:tcPr>
    </w:tblStylePr>
    <w:tblStylePr w:type="nwCell">
      <w:tblPr/>
      <w:tcPr>
        <w:tcBorders>
          <w:bottom w:val="single" w:sz="4" w:space="0" w:color="B9BABB" w:themeColor="accent5" w:themeTint="99"/>
        </w:tcBorders>
      </w:tcPr>
    </w:tblStylePr>
    <w:tblStylePr w:type="seCell">
      <w:tblPr/>
      <w:tcPr>
        <w:tcBorders>
          <w:top w:val="single" w:sz="4" w:space="0" w:color="B9BABB" w:themeColor="accent5" w:themeTint="99"/>
        </w:tcBorders>
      </w:tcPr>
    </w:tblStylePr>
    <w:tblStylePr w:type="swCell">
      <w:tblPr/>
      <w:tcPr>
        <w:tcBorders>
          <w:top w:val="single" w:sz="4" w:space="0" w:color="B9BABB" w:themeColor="accent5" w:themeTint="99"/>
        </w:tcBorders>
      </w:tcPr>
    </w:tblStylePr>
  </w:style>
  <w:style w:type="table" w:styleId="GridTable7Colorful-Accent6">
    <w:name w:val="Grid Table 7 Colorful Accent 6"/>
    <w:basedOn w:val="TableNormal"/>
    <w:uiPriority w:val="52"/>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accent6" w:themeFillTint="33"/>
      </w:tcPr>
    </w:tblStylePr>
    <w:tblStylePr w:type="band1Horz">
      <w:tblPr/>
      <w:tcPr>
        <w:shd w:val="clear" w:color="auto" w:fill="D8D8DA" w:themeFill="accent6" w:themeFillTint="33"/>
      </w:tcPr>
    </w:tblStylePr>
    <w:tblStylePr w:type="neCell">
      <w:tblPr/>
      <w:tcPr>
        <w:tcBorders>
          <w:bottom w:val="single" w:sz="4" w:space="0" w:color="8A8C8F" w:themeColor="accent6" w:themeTint="99"/>
        </w:tcBorders>
      </w:tcPr>
    </w:tblStylePr>
    <w:tblStylePr w:type="nwCell">
      <w:tblPr/>
      <w:tcPr>
        <w:tcBorders>
          <w:bottom w:val="single" w:sz="4" w:space="0" w:color="8A8C8F" w:themeColor="accent6" w:themeTint="99"/>
        </w:tcBorders>
      </w:tcPr>
    </w:tblStylePr>
    <w:tblStylePr w:type="seCell">
      <w:tblPr/>
      <w:tcPr>
        <w:tcBorders>
          <w:top w:val="single" w:sz="4" w:space="0" w:color="8A8C8F" w:themeColor="accent6" w:themeTint="99"/>
        </w:tcBorders>
      </w:tcPr>
    </w:tblStylePr>
    <w:tblStylePr w:type="swCell">
      <w:tblPr/>
      <w:tcPr>
        <w:tcBorders>
          <w:top w:val="single" w:sz="4" w:space="0" w:color="8A8C8F" w:themeColor="accent6" w:themeTint="99"/>
        </w:tcBorders>
      </w:tcPr>
    </w:tblStylePr>
  </w:style>
  <w:style w:type="table" w:styleId="LightGrid">
    <w:name w:val="Light Grid"/>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insideH w:val="single" w:sz="8" w:space="0" w:color="404143" w:themeColor="text1"/>
        <w:insideV w:val="single" w:sz="8" w:space="0" w:color="40414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143" w:themeColor="text1"/>
          <w:left w:val="single" w:sz="8" w:space="0" w:color="404143" w:themeColor="text1"/>
          <w:bottom w:val="single" w:sz="18" w:space="0" w:color="404143" w:themeColor="text1"/>
          <w:right w:val="single" w:sz="8" w:space="0" w:color="404143" w:themeColor="text1"/>
          <w:insideH w:val="nil"/>
          <w:insideV w:val="single" w:sz="8" w:space="0" w:color="40414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143" w:themeColor="text1"/>
          <w:left w:val="single" w:sz="8" w:space="0" w:color="404143" w:themeColor="text1"/>
          <w:bottom w:val="single" w:sz="8" w:space="0" w:color="404143" w:themeColor="text1"/>
          <w:right w:val="single" w:sz="8" w:space="0" w:color="404143" w:themeColor="text1"/>
          <w:insideH w:val="nil"/>
          <w:insideV w:val="single" w:sz="8" w:space="0" w:color="40414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143" w:themeColor="text1"/>
          <w:left w:val="single" w:sz="8" w:space="0" w:color="404143" w:themeColor="text1"/>
          <w:bottom w:val="single" w:sz="8" w:space="0" w:color="404143" w:themeColor="text1"/>
          <w:right w:val="single" w:sz="8" w:space="0" w:color="404143" w:themeColor="text1"/>
        </w:tcBorders>
      </w:tcPr>
    </w:tblStylePr>
    <w:tblStylePr w:type="band1Vert">
      <w:tblPr/>
      <w:tcPr>
        <w:tcBorders>
          <w:top w:val="single" w:sz="8" w:space="0" w:color="404143" w:themeColor="text1"/>
          <w:left w:val="single" w:sz="8" w:space="0" w:color="404143" w:themeColor="text1"/>
          <w:bottom w:val="single" w:sz="8" w:space="0" w:color="404143" w:themeColor="text1"/>
          <w:right w:val="single" w:sz="8" w:space="0" w:color="404143" w:themeColor="text1"/>
        </w:tcBorders>
        <w:shd w:val="clear" w:color="auto" w:fill="CFCFD1" w:themeFill="text1" w:themeFillTint="3F"/>
      </w:tcPr>
    </w:tblStylePr>
    <w:tblStylePr w:type="band1Horz">
      <w:tblPr/>
      <w:tcPr>
        <w:tcBorders>
          <w:top w:val="single" w:sz="8" w:space="0" w:color="404143" w:themeColor="text1"/>
          <w:left w:val="single" w:sz="8" w:space="0" w:color="404143" w:themeColor="text1"/>
          <w:bottom w:val="single" w:sz="8" w:space="0" w:color="404143" w:themeColor="text1"/>
          <w:right w:val="single" w:sz="8" w:space="0" w:color="404143" w:themeColor="text1"/>
          <w:insideV w:val="single" w:sz="8" w:space="0" w:color="404143" w:themeColor="text1"/>
        </w:tcBorders>
        <w:shd w:val="clear" w:color="auto" w:fill="CFCFD1" w:themeFill="text1" w:themeFillTint="3F"/>
      </w:tcPr>
    </w:tblStylePr>
    <w:tblStylePr w:type="band2Horz">
      <w:tblPr/>
      <w:tcPr>
        <w:tcBorders>
          <w:top w:val="single" w:sz="8" w:space="0" w:color="404143" w:themeColor="text1"/>
          <w:left w:val="single" w:sz="8" w:space="0" w:color="404143" w:themeColor="text1"/>
          <w:bottom w:val="single" w:sz="8" w:space="0" w:color="404143" w:themeColor="text1"/>
          <w:right w:val="single" w:sz="8" w:space="0" w:color="404143" w:themeColor="text1"/>
          <w:insideV w:val="single" w:sz="8" w:space="0" w:color="404143" w:themeColor="text1"/>
        </w:tcBorders>
      </w:tcPr>
    </w:tblStylePr>
  </w:style>
  <w:style w:type="table" w:styleId="LightGrid-Accent1">
    <w:name w:val="Light Grid Accent 1"/>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insideH w:val="single" w:sz="8" w:space="0" w:color="A71930" w:themeColor="accent1"/>
        <w:insideV w:val="single" w:sz="8" w:space="0" w:color="A7193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1930" w:themeColor="accent1"/>
          <w:left w:val="single" w:sz="8" w:space="0" w:color="A71930" w:themeColor="accent1"/>
          <w:bottom w:val="single" w:sz="18" w:space="0" w:color="A71930" w:themeColor="accent1"/>
          <w:right w:val="single" w:sz="8" w:space="0" w:color="A71930" w:themeColor="accent1"/>
          <w:insideH w:val="nil"/>
          <w:insideV w:val="single" w:sz="8" w:space="0" w:color="A7193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1930" w:themeColor="accent1"/>
          <w:left w:val="single" w:sz="8" w:space="0" w:color="A71930" w:themeColor="accent1"/>
          <w:bottom w:val="single" w:sz="8" w:space="0" w:color="A71930" w:themeColor="accent1"/>
          <w:right w:val="single" w:sz="8" w:space="0" w:color="A71930" w:themeColor="accent1"/>
          <w:insideH w:val="nil"/>
          <w:insideV w:val="single" w:sz="8" w:space="0" w:color="A7193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tcPr>
    </w:tblStylePr>
    <w:tblStylePr w:type="band1Vert">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shd w:val="clear" w:color="auto" w:fill="F4BAC3" w:themeFill="accent1" w:themeFillTint="3F"/>
      </w:tcPr>
    </w:tblStylePr>
    <w:tblStylePr w:type="band1Horz">
      <w:tblPr/>
      <w:tcPr>
        <w:tcBorders>
          <w:top w:val="single" w:sz="8" w:space="0" w:color="A71930" w:themeColor="accent1"/>
          <w:left w:val="single" w:sz="8" w:space="0" w:color="A71930" w:themeColor="accent1"/>
          <w:bottom w:val="single" w:sz="8" w:space="0" w:color="A71930" w:themeColor="accent1"/>
          <w:right w:val="single" w:sz="8" w:space="0" w:color="A71930" w:themeColor="accent1"/>
          <w:insideV w:val="single" w:sz="8" w:space="0" w:color="A71930" w:themeColor="accent1"/>
        </w:tcBorders>
        <w:shd w:val="clear" w:color="auto" w:fill="F4BAC3" w:themeFill="accent1" w:themeFillTint="3F"/>
      </w:tcPr>
    </w:tblStylePr>
    <w:tblStylePr w:type="band2Horz">
      <w:tblPr/>
      <w:tcPr>
        <w:tcBorders>
          <w:top w:val="single" w:sz="8" w:space="0" w:color="A71930" w:themeColor="accent1"/>
          <w:left w:val="single" w:sz="8" w:space="0" w:color="A71930" w:themeColor="accent1"/>
          <w:bottom w:val="single" w:sz="8" w:space="0" w:color="A71930" w:themeColor="accent1"/>
          <w:right w:val="single" w:sz="8" w:space="0" w:color="A71930" w:themeColor="accent1"/>
          <w:insideV w:val="single" w:sz="8" w:space="0" w:color="A71930" w:themeColor="accent1"/>
        </w:tcBorders>
      </w:tcPr>
    </w:tblStylePr>
  </w:style>
  <w:style w:type="table" w:styleId="LightGrid-Accent2">
    <w:name w:val="Light Grid Accent 2"/>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insideH w:val="single" w:sz="8" w:space="0" w:color="EBB700" w:themeColor="accent2"/>
        <w:insideV w:val="single" w:sz="8" w:space="0" w:color="EBB7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B700" w:themeColor="accent2"/>
          <w:left w:val="single" w:sz="8" w:space="0" w:color="EBB700" w:themeColor="accent2"/>
          <w:bottom w:val="single" w:sz="18" w:space="0" w:color="EBB700" w:themeColor="accent2"/>
          <w:right w:val="single" w:sz="8" w:space="0" w:color="EBB700" w:themeColor="accent2"/>
          <w:insideH w:val="nil"/>
          <w:insideV w:val="single" w:sz="8" w:space="0" w:color="EBB7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B700" w:themeColor="accent2"/>
          <w:left w:val="single" w:sz="8" w:space="0" w:color="EBB700" w:themeColor="accent2"/>
          <w:bottom w:val="single" w:sz="8" w:space="0" w:color="EBB700" w:themeColor="accent2"/>
          <w:right w:val="single" w:sz="8" w:space="0" w:color="EBB700" w:themeColor="accent2"/>
          <w:insideH w:val="nil"/>
          <w:insideV w:val="single" w:sz="8" w:space="0" w:color="EBB7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tcPr>
    </w:tblStylePr>
    <w:tblStylePr w:type="band1Vert">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shd w:val="clear" w:color="auto" w:fill="FFEFBB" w:themeFill="accent2" w:themeFillTint="3F"/>
      </w:tcPr>
    </w:tblStylePr>
    <w:tblStylePr w:type="band1Horz">
      <w:tblPr/>
      <w:tcPr>
        <w:tcBorders>
          <w:top w:val="single" w:sz="8" w:space="0" w:color="EBB700" w:themeColor="accent2"/>
          <w:left w:val="single" w:sz="8" w:space="0" w:color="EBB700" w:themeColor="accent2"/>
          <w:bottom w:val="single" w:sz="8" w:space="0" w:color="EBB700" w:themeColor="accent2"/>
          <w:right w:val="single" w:sz="8" w:space="0" w:color="EBB700" w:themeColor="accent2"/>
          <w:insideV w:val="single" w:sz="8" w:space="0" w:color="EBB700" w:themeColor="accent2"/>
        </w:tcBorders>
        <w:shd w:val="clear" w:color="auto" w:fill="FFEFBB" w:themeFill="accent2" w:themeFillTint="3F"/>
      </w:tcPr>
    </w:tblStylePr>
    <w:tblStylePr w:type="band2Horz">
      <w:tblPr/>
      <w:tcPr>
        <w:tcBorders>
          <w:top w:val="single" w:sz="8" w:space="0" w:color="EBB700" w:themeColor="accent2"/>
          <w:left w:val="single" w:sz="8" w:space="0" w:color="EBB700" w:themeColor="accent2"/>
          <w:bottom w:val="single" w:sz="8" w:space="0" w:color="EBB700" w:themeColor="accent2"/>
          <w:right w:val="single" w:sz="8" w:space="0" w:color="EBB700" w:themeColor="accent2"/>
          <w:insideV w:val="single" w:sz="8" w:space="0" w:color="EBB700" w:themeColor="accent2"/>
        </w:tcBorders>
      </w:tcPr>
    </w:tblStylePr>
  </w:style>
  <w:style w:type="table" w:styleId="LightGrid-Accent3">
    <w:name w:val="Light Grid Accent 3"/>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insideH w:val="single" w:sz="8" w:space="0" w:color="6773B6" w:themeColor="accent3"/>
        <w:insideV w:val="single" w:sz="8" w:space="0" w:color="6773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3B6" w:themeColor="accent3"/>
          <w:left w:val="single" w:sz="8" w:space="0" w:color="6773B6" w:themeColor="accent3"/>
          <w:bottom w:val="single" w:sz="18" w:space="0" w:color="6773B6" w:themeColor="accent3"/>
          <w:right w:val="single" w:sz="8" w:space="0" w:color="6773B6" w:themeColor="accent3"/>
          <w:insideH w:val="nil"/>
          <w:insideV w:val="single" w:sz="8" w:space="0" w:color="6773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3B6" w:themeColor="accent3"/>
          <w:left w:val="single" w:sz="8" w:space="0" w:color="6773B6" w:themeColor="accent3"/>
          <w:bottom w:val="single" w:sz="8" w:space="0" w:color="6773B6" w:themeColor="accent3"/>
          <w:right w:val="single" w:sz="8" w:space="0" w:color="6773B6" w:themeColor="accent3"/>
          <w:insideH w:val="nil"/>
          <w:insideV w:val="single" w:sz="8" w:space="0" w:color="6773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tcPr>
    </w:tblStylePr>
    <w:tblStylePr w:type="band1Vert">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shd w:val="clear" w:color="auto" w:fill="D9DCED" w:themeFill="accent3" w:themeFillTint="3F"/>
      </w:tcPr>
    </w:tblStylePr>
    <w:tblStylePr w:type="band1Horz">
      <w:tblPr/>
      <w:tcPr>
        <w:tcBorders>
          <w:top w:val="single" w:sz="8" w:space="0" w:color="6773B6" w:themeColor="accent3"/>
          <w:left w:val="single" w:sz="8" w:space="0" w:color="6773B6" w:themeColor="accent3"/>
          <w:bottom w:val="single" w:sz="8" w:space="0" w:color="6773B6" w:themeColor="accent3"/>
          <w:right w:val="single" w:sz="8" w:space="0" w:color="6773B6" w:themeColor="accent3"/>
          <w:insideV w:val="single" w:sz="8" w:space="0" w:color="6773B6" w:themeColor="accent3"/>
        </w:tcBorders>
        <w:shd w:val="clear" w:color="auto" w:fill="D9DCED" w:themeFill="accent3" w:themeFillTint="3F"/>
      </w:tcPr>
    </w:tblStylePr>
    <w:tblStylePr w:type="band2Horz">
      <w:tblPr/>
      <w:tcPr>
        <w:tcBorders>
          <w:top w:val="single" w:sz="8" w:space="0" w:color="6773B6" w:themeColor="accent3"/>
          <w:left w:val="single" w:sz="8" w:space="0" w:color="6773B6" w:themeColor="accent3"/>
          <w:bottom w:val="single" w:sz="8" w:space="0" w:color="6773B6" w:themeColor="accent3"/>
          <w:right w:val="single" w:sz="8" w:space="0" w:color="6773B6" w:themeColor="accent3"/>
          <w:insideV w:val="single" w:sz="8" w:space="0" w:color="6773B6" w:themeColor="accent3"/>
        </w:tcBorders>
      </w:tcPr>
    </w:tblStylePr>
  </w:style>
  <w:style w:type="table" w:styleId="LightGrid-Accent4">
    <w:name w:val="Light Grid Accent 4"/>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insideH w:val="single" w:sz="8" w:space="0" w:color="A2AD00" w:themeColor="accent4"/>
        <w:insideV w:val="single" w:sz="8" w:space="0" w:color="A2AD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AD00" w:themeColor="accent4"/>
          <w:left w:val="single" w:sz="8" w:space="0" w:color="A2AD00" w:themeColor="accent4"/>
          <w:bottom w:val="single" w:sz="18" w:space="0" w:color="A2AD00" w:themeColor="accent4"/>
          <w:right w:val="single" w:sz="8" w:space="0" w:color="A2AD00" w:themeColor="accent4"/>
          <w:insideH w:val="nil"/>
          <w:insideV w:val="single" w:sz="8" w:space="0" w:color="A2AD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AD00" w:themeColor="accent4"/>
          <w:left w:val="single" w:sz="8" w:space="0" w:color="A2AD00" w:themeColor="accent4"/>
          <w:bottom w:val="single" w:sz="8" w:space="0" w:color="A2AD00" w:themeColor="accent4"/>
          <w:right w:val="single" w:sz="8" w:space="0" w:color="A2AD00" w:themeColor="accent4"/>
          <w:insideH w:val="nil"/>
          <w:insideV w:val="single" w:sz="8" w:space="0" w:color="A2AD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tcPr>
    </w:tblStylePr>
    <w:tblStylePr w:type="band1Vert">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shd w:val="clear" w:color="auto" w:fill="F9FFAB" w:themeFill="accent4" w:themeFillTint="3F"/>
      </w:tcPr>
    </w:tblStylePr>
    <w:tblStylePr w:type="band1Horz">
      <w:tblPr/>
      <w:tcPr>
        <w:tcBorders>
          <w:top w:val="single" w:sz="8" w:space="0" w:color="A2AD00" w:themeColor="accent4"/>
          <w:left w:val="single" w:sz="8" w:space="0" w:color="A2AD00" w:themeColor="accent4"/>
          <w:bottom w:val="single" w:sz="8" w:space="0" w:color="A2AD00" w:themeColor="accent4"/>
          <w:right w:val="single" w:sz="8" w:space="0" w:color="A2AD00" w:themeColor="accent4"/>
          <w:insideV w:val="single" w:sz="8" w:space="0" w:color="A2AD00" w:themeColor="accent4"/>
        </w:tcBorders>
        <w:shd w:val="clear" w:color="auto" w:fill="F9FFAB" w:themeFill="accent4" w:themeFillTint="3F"/>
      </w:tcPr>
    </w:tblStylePr>
    <w:tblStylePr w:type="band2Horz">
      <w:tblPr/>
      <w:tcPr>
        <w:tcBorders>
          <w:top w:val="single" w:sz="8" w:space="0" w:color="A2AD00" w:themeColor="accent4"/>
          <w:left w:val="single" w:sz="8" w:space="0" w:color="A2AD00" w:themeColor="accent4"/>
          <w:bottom w:val="single" w:sz="8" w:space="0" w:color="A2AD00" w:themeColor="accent4"/>
          <w:right w:val="single" w:sz="8" w:space="0" w:color="A2AD00" w:themeColor="accent4"/>
          <w:insideV w:val="single" w:sz="8" w:space="0" w:color="A2AD00" w:themeColor="accent4"/>
        </w:tcBorders>
      </w:tcPr>
    </w:tblStylePr>
  </w:style>
  <w:style w:type="table" w:styleId="LightGrid-Accent5">
    <w:name w:val="Light Grid Accent 5"/>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insideH w:val="single" w:sz="8" w:space="0" w:color="8B8D8E" w:themeColor="accent5"/>
        <w:insideV w:val="single" w:sz="8" w:space="0" w:color="8B8D8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8D8E" w:themeColor="accent5"/>
          <w:left w:val="single" w:sz="8" w:space="0" w:color="8B8D8E" w:themeColor="accent5"/>
          <w:bottom w:val="single" w:sz="18" w:space="0" w:color="8B8D8E" w:themeColor="accent5"/>
          <w:right w:val="single" w:sz="8" w:space="0" w:color="8B8D8E" w:themeColor="accent5"/>
          <w:insideH w:val="nil"/>
          <w:insideV w:val="single" w:sz="8" w:space="0" w:color="8B8D8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8D8E" w:themeColor="accent5"/>
          <w:left w:val="single" w:sz="8" w:space="0" w:color="8B8D8E" w:themeColor="accent5"/>
          <w:bottom w:val="single" w:sz="8" w:space="0" w:color="8B8D8E" w:themeColor="accent5"/>
          <w:right w:val="single" w:sz="8" w:space="0" w:color="8B8D8E" w:themeColor="accent5"/>
          <w:insideH w:val="nil"/>
          <w:insideV w:val="single" w:sz="8" w:space="0" w:color="8B8D8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tcPr>
    </w:tblStylePr>
    <w:tblStylePr w:type="band1Vert">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shd w:val="clear" w:color="auto" w:fill="E2E2E3" w:themeFill="accent5" w:themeFillTint="3F"/>
      </w:tcPr>
    </w:tblStylePr>
    <w:tblStylePr w:type="band1Horz">
      <w:tblPr/>
      <w:tcPr>
        <w:tcBorders>
          <w:top w:val="single" w:sz="8" w:space="0" w:color="8B8D8E" w:themeColor="accent5"/>
          <w:left w:val="single" w:sz="8" w:space="0" w:color="8B8D8E" w:themeColor="accent5"/>
          <w:bottom w:val="single" w:sz="8" w:space="0" w:color="8B8D8E" w:themeColor="accent5"/>
          <w:right w:val="single" w:sz="8" w:space="0" w:color="8B8D8E" w:themeColor="accent5"/>
          <w:insideV w:val="single" w:sz="8" w:space="0" w:color="8B8D8E" w:themeColor="accent5"/>
        </w:tcBorders>
        <w:shd w:val="clear" w:color="auto" w:fill="E2E2E3" w:themeFill="accent5" w:themeFillTint="3F"/>
      </w:tcPr>
    </w:tblStylePr>
    <w:tblStylePr w:type="band2Horz">
      <w:tblPr/>
      <w:tcPr>
        <w:tcBorders>
          <w:top w:val="single" w:sz="8" w:space="0" w:color="8B8D8E" w:themeColor="accent5"/>
          <w:left w:val="single" w:sz="8" w:space="0" w:color="8B8D8E" w:themeColor="accent5"/>
          <w:bottom w:val="single" w:sz="8" w:space="0" w:color="8B8D8E" w:themeColor="accent5"/>
          <w:right w:val="single" w:sz="8" w:space="0" w:color="8B8D8E" w:themeColor="accent5"/>
          <w:insideV w:val="single" w:sz="8" w:space="0" w:color="8B8D8E" w:themeColor="accent5"/>
        </w:tcBorders>
      </w:tcPr>
    </w:tblStylePr>
  </w:style>
  <w:style w:type="table" w:styleId="LightGrid-Accent6">
    <w:name w:val="Light Grid Accent 6"/>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insideH w:val="single" w:sz="8" w:space="0" w:color="404143" w:themeColor="accent6"/>
        <w:insideV w:val="single" w:sz="8" w:space="0" w:color="40414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143" w:themeColor="accent6"/>
          <w:left w:val="single" w:sz="8" w:space="0" w:color="404143" w:themeColor="accent6"/>
          <w:bottom w:val="single" w:sz="18" w:space="0" w:color="404143" w:themeColor="accent6"/>
          <w:right w:val="single" w:sz="8" w:space="0" w:color="404143" w:themeColor="accent6"/>
          <w:insideH w:val="nil"/>
          <w:insideV w:val="single" w:sz="8" w:space="0" w:color="40414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143" w:themeColor="accent6"/>
          <w:left w:val="single" w:sz="8" w:space="0" w:color="404143" w:themeColor="accent6"/>
          <w:bottom w:val="single" w:sz="8" w:space="0" w:color="404143" w:themeColor="accent6"/>
          <w:right w:val="single" w:sz="8" w:space="0" w:color="404143" w:themeColor="accent6"/>
          <w:insideH w:val="nil"/>
          <w:insideV w:val="single" w:sz="8" w:space="0" w:color="40414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tcPr>
    </w:tblStylePr>
    <w:tblStylePr w:type="band1Vert">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shd w:val="clear" w:color="auto" w:fill="CFCFD1" w:themeFill="accent6" w:themeFillTint="3F"/>
      </w:tcPr>
    </w:tblStylePr>
    <w:tblStylePr w:type="band1Horz">
      <w:tblPr/>
      <w:tcPr>
        <w:tcBorders>
          <w:top w:val="single" w:sz="8" w:space="0" w:color="404143" w:themeColor="accent6"/>
          <w:left w:val="single" w:sz="8" w:space="0" w:color="404143" w:themeColor="accent6"/>
          <w:bottom w:val="single" w:sz="8" w:space="0" w:color="404143" w:themeColor="accent6"/>
          <w:right w:val="single" w:sz="8" w:space="0" w:color="404143" w:themeColor="accent6"/>
          <w:insideV w:val="single" w:sz="8" w:space="0" w:color="404143" w:themeColor="accent6"/>
        </w:tcBorders>
        <w:shd w:val="clear" w:color="auto" w:fill="CFCFD1" w:themeFill="accent6" w:themeFillTint="3F"/>
      </w:tcPr>
    </w:tblStylePr>
    <w:tblStylePr w:type="band2Horz">
      <w:tblPr/>
      <w:tcPr>
        <w:tcBorders>
          <w:top w:val="single" w:sz="8" w:space="0" w:color="404143" w:themeColor="accent6"/>
          <w:left w:val="single" w:sz="8" w:space="0" w:color="404143" w:themeColor="accent6"/>
          <w:bottom w:val="single" w:sz="8" w:space="0" w:color="404143" w:themeColor="accent6"/>
          <w:right w:val="single" w:sz="8" w:space="0" w:color="404143" w:themeColor="accent6"/>
          <w:insideV w:val="single" w:sz="8" w:space="0" w:color="404143" w:themeColor="accent6"/>
        </w:tcBorders>
      </w:tcPr>
    </w:tblStylePr>
  </w:style>
  <w:style w:type="table" w:styleId="LightList">
    <w:name w:val="Light List"/>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tblBorders>
    </w:tblPr>
    <w:tblStylePr w:type="firstRow">
      <w:pPr>
        <w:spacing w:before="0" w:after="0" w:line="240" w:lineRule="auto"/>
      </w:pPr>
      <w:rPr>
        <w:b/>
        <w:bCs/>
        <w:color w:val="FFFFFF" w:themeColor="background1"/>
      </w:rPr>
      <w:tblPr/>
      <w:tcPr>
        <w:shd w:val="clear" w:color="auto" w:fill="404143" w:themeFill="text1"/>
      </w:tcPr>
    </w:tblStylePr>
    <w:tblStylePr w:type="lastRow">
      <w:pPr>
        <w:spacing w:before="0" w:after="0" w:line="240" w:lineRule="auto"/>
      </w:pPr>
      <w:rPr>
        <w:b/>
        <w:bCs/>
      </w:rPr>
      <w:tblPr/>
      <w:tcPr>
        <w:tcBorders>
          <w:top w:val="double" w:sz="6" w:space="0" w:color="404143" w:themeColor="text1"/>
          <w:left w:val="single" w:sz="8" w:space="0" w:color="404143" w:themeColor="text1"/>
          <w:bottom w:val="single" w:sz="8" w:space="0" w:color="404143" w:themeColor="text1"/>
          <w:right w:val="single" w:sz="8" w:space="0" w:color="404143" w:themeColor="text1"/>
        </w:tcBorders>
      </w:tcPr>
    </w:tblStylePr>
    <w:tblStylePr w:type="firstCol">
      <w:rPr>
        <w:b/>
        <w:bCs/>
      </w:rPr>
    </w:tblStylePr>
    <w:tblStylePr w:type="lastCol">
      <w:rPr>
        <w:b/>
        <w:bCs/>
      </w:rPr>
    </w:tblStylePr>
    <w:tblStylePr w:type="band1Vert">
      <w:tblPr/>
      <w:tcPr>
        <w:tcBorders>
          <w:top w:val="single" w:sz="8" w:space="0" w:color="404143" w:themeColor="text1"/>
          <w:left w:val="single" w:sz="8" w:space="0" w:color="404143" w:themeColor="text1"/>
          <w:bottom w:val="single" w:sz="8" w:space="0" w:color="404143" w:themeColor="text1"/>
          <w:right w:val="single" w:sz="8" w:space="0" w:color="404143" w:themeColor="text1"/>
        </w:tcBorders>
      </w:tcPr>
    </w:tblStylePr>
    <w:tblStylePr w:type="band1Horz">
      <w:tblPr/>
      <w:tcPr>
        <w:tcBorders>
          <w:top w:val="single" w:sz="8" w:space="0" w:color="404143" w:themeColor="text1"/>
          <w:left w:val="single" w:sz="8" w:space="0" w:color="404143" w:themeColor="text1"/>
          <w:bottom w:val="single" w:sz="8" w:space="0" w:color="404143" w:themeColor="text1"/>
          <w:right w:val="single" w:sz="8" w:space="0" w:color="404143" w:themeColor="text1"/>
        </w:tcBorders>
      </w:tcPr>
    </w:tblStylePr>
  </w:style>
  <w:style w:type="table" w:styleId="LightList-Accent1">
    <w:name w:val="Light List Accent 1"/>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tblBorders>
    </w:tblPr>
    <w:tblStylePr w:type="firstRow">
      <w:pPr>
        <w:spacing w:before="0" w:after="0" w:line="240" w:lineRule="auto"/>
      </w:pPr>
      <w:rPr>
        <w:b/>
        <w:bCs/>
        <w:color w:val="FFFFFF" w:themeColor="background1"/>
      </w:rPr>
      <w:tblPr/>
      <w:tcPr>
        <w:shd w:val="clear" w:color="auto" w:fill="A71930" w:themeFill="accent1"/>
      </w:tcPr>
    </w:tblStylePr>
    <w:tblStylePr w:type="lastRow">
      <w:pPr>
        <w:spacing w:before="0" w:after="0" w:line="240" w:lineRule="auto"/>
      </w:pPr>
      <w:rPr>
        <w:b/>
        <w:bCs/>
      </w:rPr>
      <w:tblPr/>
      <w:tcPr>
        <w:tcBorders>
          <w:top w:val="double" w:sz="6" w:space="0" w:color="A71930" w:themeColor="accent1"/>
          <w:left w:val="single" w:sz="8" w:space="0" w:color="A71930" w:themeColor="accent1"/>
          <w:bottom w:val="single" w:sz="8" w:space="0" w:color="A71930" w:themeColor="accent1"/>
          <w:right w:val="single" w:sz="8" w:space="0" w:color="A71930" w:themeColor="accent1"/>
        </w:tcBorders>
      </w:tcPr>
    </w:tblStylePr>
    <w:tblStylePr w:type="firstCol">
      <w:rPr>
        <w:b/>
        <w:bCs/>
      </w:rPr>
    </w:tblStylePr>
    <w:tblStylePr w:type="lastCol">
      <w:rPr>
        <w:b/>
        <w:bCs/>
      </w:rPr>
    </w:tblStylePr>
    <w:tblStylePr w:type="band1Vert">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tcPr>
    </w:tblStylePr>
    <w:tblStylePr w:type="band1Horz">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tcPr>
    </w:tblStylePr>
  </w:style>
  <w:style w:type="table" w:styleId="LightList-Accent2">
    <w:name w:val="Light List Accent 2"/>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tblBorders>
    </w:tblPr>
    <w:tblStylePr w:type="firstRow">
      <w:pPr>
        <w:spacing w:before="0" w:after="0" w:line="240" w:lineRule="auto"/>
      </w:pPr>
      <w:rPr>
        <w:b/>
        <w:bCs/>
        <w:color w:val="FFFFFF" w:themeColor="background1"/>
      </w:rPr>
      <w:tblPr/>
      <w:tcPr>
        <w:shd w:val="clear" w:color="auto" w:fill="EBB700" w:themeFill="accent2"/>
      </w:tcPr>
    </w:tblStylePr>
    <w:tblStylePr w:type="lastRow">
      <w:pPr>
        <w:spacing w:before="0" w:after="0" w:line="240" w:lineRule="auto"/>
      </w:pPr>
      <w:rPr>
        <w:b/>
        <w:bCs/>
      </w:rPr>
      <w:tblPr/>
      <w:tcPr>
        <w:tcBorders>
          <w:top w:val="double" w:sz="6" w:space="0" w:color="EBB700" w:themeColor="accent2"/>
          <w:left w:val="single" w:sz="8" w:space="0" w:color="EBB700" w:themeColor="accent2"/>
          <w:bottom w:val="single" w:sz="8" w:space="0" w:color="EBB700" w:themeColor="accent2"/>
          <w:right w:val="single" w:sz="8" w:space="0" w:color="EBB700" w:themeColor="accent2"/>
        </w:tcBorders>
      </w:tcPr>
    </w:tblStylePr>
    <w:tblStylePr w:type="firstCol">
      <w:rPr>
        <w:b/>
        <w:bCs/>
      </w:rPr>
    </w:tblStylePr>
    <w:tblStylePr w:type="lastCol">
      <w:rPr>
        <w:b/>
        <w:bCs/>
      </w:rPr>
    </w:tblStylePr>
    <w:tblStylePr w:type="band1Vert">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tcPr>
    </w:tblStylePr>
    <w:tblStylePr w:type="band1Horz">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tcPr>
    </w:tblStylePr>
  </w:style>
  <w:style w:type="table" w:styleId="LightList-Accent3">
    <w:name w:val="Light List Accent 3"/>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tblBorders>
    </w:tblPr>
    <w:tblStylePr w:type="firstRow">
      <w:pPr>
        <w:spacing w:before="0" w:after="0" w:line="240" w:lineRule="auto"/>
      </w:pPr>
      <w:rPr>
        <w:b/>
        <w:bCs/>
        <w:color w:val="FFFFFF" w:themeColor="background1"/>
      </w:rPr>
      <w:tblPr/>
      <w:tcPr>
        <w:shd w:val="clear" w:color="auto" w:fill="6773B6" w:themeFill="accent3"/>
      </w:tcPr>
    </w:tblStylePr>
    <w:tblStylePr w:type="lastRow">
      <w:pPr>
        <w:spacing w:before="0" w:after="0" w:line="240" w:lineRule="auto"/>
      </w:pPr>
      <w:rPr>
        <w:b/>
        <w:bCs/>
      </w:rPr>
      <w:tblPr/>
      <w:tcPr>
        <w:tcBorders>
          <w:top w:val="double" w:sz="6" w:space="0" w:color="6773B6" w:themeColor="accent3"/>
          <w:left w:val="single" w:sz="8" w:space="0" w:color="6773B6" w:themeColor="accent3"/>
          <w:bottom w:val="single" w:sz="8" w:space="0" w:color="6773B6" w:themeColor="accent3"/>
          <w:right w:val="single" w:sz="8" w:space="0" w:color="6773B6" w:themeColor="accent3"/>
        </w:tcBorders>
      </w:tcPr>
    </w:tblStylePr>
    <w:tblStylePr w:type="firstCol">
      <w:rPr>
        <w:b/>
        <w:bCs/>
      </w:rPr>
    </w:tblStylePr>
    <w:tblStylePr w:type="lastCol">
      <w:rPr>
        <w:b/>
        <w:bCs/>
      </w:rPr>
    </w:tblStylePr>
    <w:tblStylePr w:type="band1Vert">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tcPr>
    </w:tblStylePr>
    <w:tblStylePr w:type="band1Horz">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tcPr>
    </w:tblStylePr>
  </w:style>
  <w:style w:type="table" w:styleId="LightList-Accent4">
    <w:name w:val="Light List Accent 4"/>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tblBorders>
    </w:tblPr>
    <w:tblStylePr w:type="firstRow">
      <w:pPr>
        <w:spacing w:before="0" w:after="0" w:line="240" w:lineRule="auto"/>
      </w:pPr>
      <w:rPr>
        <w:b/>
        <w:bCs/>
        <w:color w:val="FFFFFF" w:themeColor="background1"/>
      </w:rPr>
      <w:tblPr/>
      <w:tcPr>
        <w:shd w:val="clear" w:color="auto" w:fill="A2AD00" w:themeFill="accent4"/>
      </w:tcPr>
    </w:tblStylePr>
    <w:tblStylePr w:type="lastRow">
      <w:pPr>
        <w:spacing w:before="0" w:after="0" w:line="240" w:lineRule="auto"/>
      </w:pPr>
      <w:rPr>
        <w:b/>
        <w:bCs/>
      </w:rPr>
      <w:tblPr/>
      <w:tcPr>
        <w:tcBorders>
          <w:top w:val="double" w:sz="6" w:space="0" w:color="A2AD00" w:themeColor="accent4"/>
          <w:left w:val="single" w:sz="8" w:space="0" w:color="A2AD00" w:themeColor="accent4"/>
          <w:bottom w:val="single" w:sz="8" w:space="0" w:color="A2AD00" w:themeColor="accent4"/>
          <w:right w:val="single" w:sz="8" w:space="0" w:color="A2AD00" w:themeColor="accent4"/>
        </w:tcBorders>
      </w:tcPr>
    </w:tblStylePr>
    <w:tblStylePr w:type="firstCol">
      <w:rPr>
        <w:b/>
        <w:bCs/>
      </w:rPr>
    </w:tblStylePr>
    <w:tblStylePr w:type="lastCol">
      <w:rPr>
        <w:b/>
        <w:bCs/>
      </w:rPr>
    </w:tblStylePr>
    <w:tblStylePr w:type="band1Vert">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tcPr>
    </w:tblStylePr>
    <w:tblStylePr w:type="band1Horz">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tcPr>
    </w:tblStylePr>
  </w:style>
  <w:style w:type="table" w:styleId="LightList-Accent5">
    <w:name w:val="Light List Accent 5"/>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tblBorders>
    </w:tblPr>
    <w:tblStylePr w:type="firstRow">
      <w:pPr>
        <w:spacing w:before="0" w:after="0" w:line="240" w:lineRule="auto"/>
      </w:pPr>
      <w:rPr>
        <w:b/>
        <w:bCs/>
        <w:color w:val="FFFFFF" w:themeColor="background1"/>
      </w:rPr>
      <w:tblPr/>
      <w:tcPr>
        <w:shd w:val="clear" w:color="auto" w:fill="8B8D8E" w:themeFill="accent5"/>
      </w:tcPr>
    </w:tblStylePr>
    <w:tblStylePr w:type="lastRow">
      <w:pPr>
        <w:spacing w:before="0" w:after="0" w:line="240" w:lineRule="auto"/>
      </w:pPr>
      <w:rPr>
        <w:b/>
        <w:bCs/>
      </w:rPr>
      <w:tblPr/>
      <w:tcPr>
        <w:tcBorders>
          <w:top w:val="double" w:sz="6" w:space="0" w:color="8B8D8E" w:themeColor="accent5"/>
          <w:left w:val="single" w:sz="8" w:space="0" w:color="8B8D8E" w:themeColor="accent5"/>
          <w:bottom w:val="single" w:sz="8" w:space="0" w:color="8B8D8E" w:themeColor="accent5"/>
          <w:right w:val="single" w:sz="8" w:space="0" w:color="8B8D8E" w:themeColor="accent5"/>
        </w:tcBorders>
      </w:tcPr>
    </w:tblStylePr>
    <w:tblStylePr w:type="firstCol">
      <w:rPr>
        <w:b/>
        <w:bCs/>
      </w:rPr>
    </w:tblStylePr>
    <w:tblStylePr w:type="lastCol">
      <w:rPr>
        <w:b/>
        <w:bCs/>
      </w:rPr>
    </w:tblStylePr>
    <w:tblStylePr w:type="band1Vert">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tcPr>
    </w:tblStylePr>
    <w:tblStylePr w:type="band1Horz">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tcPr>
    </w:tblStylePr>
  </w:style>
  <w:style w:type="table" w:styleId="LightList-Accent6">
    <w:name w:val="Light List Accent 6"/>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tblBorders>
    </w:tblPr>
    <w:tblStylePr w:type="firstRow">
      <w:pPr>
        <w:spacing w:before="0" w:after="0" w:line="240" w:lineRule="auto"/>
      </w:pPr>
      <w:rPr>
        <w:b/>
        <w:bCs/>
        <w:color w:val="FFFFFF" w:themeColor="background1"/>
      </w:rPr>
      <w:tblPr/>
      <w:tcPr>
        <w:shd w:val="clear" w:color="auto" w:fill="404143" w:themeFill="accent6"/>
      </w:tcPr>
    </w:tblStylePr>
    <w:tblStylePr w:type="lastRow">
      <w:pPr>
        <w:spacing w:before="0" w:after="0" w:line="240" w:lineRule="auto"/>
      </w:pPr>
      <w:rPr>
        <w:b/>
        <w:bCs/>
      </w:rPr>
      <w:tblPr/>
      <w:tcPr>
        <w:tcBorders>
          <w:top w:val="double" w:sz="6" w:space="0" w:color="404143" w:themeColor="accent6"/>
          <w:left w:val="single" w:sz="8" w:space="0" w:color="404143" w:themeColor="accent6"/>
          <w:bottom w:val="single" w:sz="8" w:space="0" w:color="404143" w:themeColor="accent6"/>
          <w:right w:val="single" w:sz="8" w:space="0" w:color="404143" w:themeColor="accent6"/>
        </w:tcBorders>
      </w:tcPr>
    </w:tblStylePr>
    <w:tblStylePr w:type="firstCol">
      <w:rPr>
        <w:b/>
        <w:bCs/>
      </w:rPr>
    </w:tblStylePr>
    <w:tblStylePr w:type="lastCol">
      <w:rPr>
        <w:b/>
        <w:bCs/>
      </w:rPr>
    </w:tblStylePr>
    <w:tblStylePr w:type="band1Vert">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tcPr>
    </w:tblStylePr>
    <w:tblStylePr w:type="band1Horz">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tcPr>
    </w:tblStylePr>
  </w:style>
  <w:style w:type="table" w:styleId="LightShading">
    <w:name w:val="Light Shading"/>
    <w:basedOn w:val="TableNormal"/>
    <w:uiPriority w:val="60"/>
    <w:semiHidden/>
    <w:unhideWhenUsed/>
    <w:rsid w:val="00F3012E"/>
    <w:rPr>
      <w:rFonts w:asciiTheme="minorHAnsi" w:hAnsiTheme="minorHAnsi" w:cstheme="minorBidi"/>
      <w:color w:val="303032" w:themeColor="text1" w:themeShade="BF"/>
      <w:sz w:val="22"/>
      <w:szCs w:val="22"/>
      <w:lang w:eastAsia="zh-CN"/>
    </w:rPr>
    <w:tblPr>
      <w:tblStyleRowBandSize w:val="1"/>
      <w:tblStyleColBandSize w:val="1"/>
      <w:tblBorders>
        <w:top w:val="single" w:sz="8" w:space="0" w:color="404143" w:themeColor="text1"/>
        <w:bottom w:val="single" w:sz="8" w:space="0" w:color="404143" w:themeColor="text1"/>
      </w:tblBorders>
    </w:tblPr>
    <w:tblStylePr w:type="firstRow">
      <w:pPr>
        <w:spacing w:before="0" w:after="0" w:line="240" w:lineRule="auto"/>
      </w:pPr>
      <w:rPr>
        <w:b/>
        <w:bCs/>
      </w:rPr>
      <w:tblPr/>
      <w:tcPr>
        <w:tcBorders>
          <w:top w:val="single" w:sz="8" w:space="0" w:color="404143" w:themeColor="text1"/>
          <w:left w:val="nil"/>
          <w:bottom w:val="single" w:sz="8" w:space="0" w:color="404143" w:themeColor="text1"/>
          <w:right w:val="nil"/>
          <w:insideH w:val="nil"/>
          <w:insideV w:val="nil"/>
        </w:tcBorders>
      </w:tcPr>
    </w:tblStylePr>
    <w:tblStylePr w:type="lastRow">
      <w:pPr>
        <w:spacing w:before="0" w:after="0" w:line="240" w:lineRule="auto"/>
      </w:pPr>
      <w:rPr>
        <w:b/>
        <w:bCs/>
      </w:rPr>
      <w:tblPr/>
      <w:tcPr>
        <w:tcBorders>
          <w:top w:val="single" w:sz="8" w:space="0" w:color="404143" w:themeColor="text1"/>
          <w:left w:val="nil"/>
          <w:bottom w:val="single" w:sz="8" w:space="0" w:color="40414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1" w:themeFill="text1" w:themeFillTint="3F"/>
      </w:tcPr>
    </w:tblStylePr>
    <w:tblStylePr w:type="band1Horz">
      <w:tblPr/>
      <w:tcPr>
        <w:tcBorders>
          <w:left w:val="nil"/>
          <w:right w:val="nil"/>
          <w:insideH w:val="nil"/>
          <w:insideV w:val="nil"/>
        </w:tcBorders>
        <w:shd w:val="clear" w:color="auto" w:fill="CFCFD1" w:themeFill="text1" w:themeFillTint="3F"/>
      </w:tcPr>
    </w:tblStylePr>
  </w:style>
  <w:style w:type="table" w:styleId="LightShading-Accent1">
    <w:name w:val="Light Shading Accent 1"/>
    <w:basedOn w:val="TableNormal"/>
    <w:uiPriority w:val="60"/>
    <w:semiHidden/>
    <w:unhideWhenUsed/>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8" w:space="0" w:color="A71930" w:themeColor="accent1"/>
        <w:bottom w:val="single" w:sz="8" w:space="0" w:color="A71930" w:themeColor="accent1"/>
      </w:tblBorders>
    </w:tblPr>
    <w:tblStylePr w:type="firstRow">
      <w:pPr>
        <w:spacing w:before="0" w:after="0" w:line="240" w:lineRule="auto"/>
      </w:pPr>
      <w:rPr>
        <w:b/>
        <w:bCs/>
      </w:rPr>
      <w:tblPr/>
      <w:tcPr>
        <w:tcBorders>
          <w:top w:val="single" w:sz="8" w:space="0" w:color="A71930" w:themeColor="accent1"/>
          <w:left w:val="nil"/>
          <w:bottom w:val="single" w:sz="8" w:space="0" w:color="A71930" w:themeColor="accent1"/>
          <w:right w:val="nil"/>
          <w:insideH w:val="nil"/>
          <w:insideV w:val="nil"/>
        </w:tcBorders>
      </w:tcPr>
    </w:tblStylePr>
    <w:tblStylePr w:type="lastRow">
      <w:pPr>
        <w:spacing w:before="0" w:after="0" w:line="240" w:lineRule="auto"/>
      </w:pPr>
      <w:rPr>
        <w:b/>
        <w:bCs/>
      </w:rPr>
      <w:tblPr/>
      <w:tcPr>
        <w:tcBorders>
          <w:top w:val="single" w:sz="8" w:space="0" w:color="A71930" w:themeColor="accent1"/>
          <w:left w:val="nil"/>
          <w:bottom w:val="single" w:sz="8" w:space="0" w:color="A7193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AC3" w:themeFill="accent1" w:themeFillTint="3F"/>
      </w:tcPr>
    </w:tblStylePr>
    <w:tblStylePr w:type="band1Horz">
      <w:tblPr/>
      <w:tcPr>
        <w:tcBorders>
          <w:left w:val="nil"/>
          <w:right w:val="nil"/>
          <w:insideH w:val="nil"/>
          <w:insideV w:val="nil"/>
        </w:tcBorders>
        <w:shd w:val="clear" w:color="auto" w:fill="F4BAC3" w:themeFill="accent1" w:themeFillTint="3F"/>
      </w:tcPr>
    </w:tblStylePr>
  </w:style>
  <w:style w:type="table" w:styleId="LightShading-Accent2">
    <w:name w:val="Light Shading Accent 2"/>
    <w:basedOn w:val="TableNormal"/>
    <w:uiPriority w:val="60"/>
    <w:semiHidden/>
    <w:unhideWhenUsed/>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8" w:space="0" w:color="EBB700" w:themeColor="accent2"/>
        <w:bottom w:val="single" w:sz="8" w:space="0" w:color="EBB700" w:themeColor="accent2"/>
      </w:tblBorders>
    </w:tblPr>
    <w:tblStylePr w:type="firstRow">
      <w:pPr>
        <w:spacing w:before="0" w:after="0" w:line="240" w:lineRule="auto"/>
      </w:pPr>
      <w:rPr>
        <w:b/>
        <w:bCs/>
      </w:rPr>
      <w:tblPr/>
      <w:tcPr>
        <w:tcBorders>
          <w:top w:val="single" w:sz="8" w:space="0" w:color="EBB700" w:themeColor="accent2"/>
          <w:left w:val="nil"/>
          <w:bottom w:val="single" w:sz="8" w:space="0" w:color="EBB700" w:themeColor="accent2"/>
          <w:right w:val="nil"/>
          <w:insideH w:val="nil"/>
          <w:insideV w:val="nil"/>
        </w:tcBorders>
      </w:tcPr>
    </w:tblStylePr>
    <w:tblStylePr w:type="lastRow">
      <w:pPr>
        <w:spacing w:before="0" w:after="0" w:line="240" w:lineRule="auto"/>
      </w:pPr>
      <w:rPr>
        <w:b/>
        <w:bCs/>
      </w:rPr>
      <w:tblPr/>
      <w:tcPr>
        <w:tcBorders>
          <w:top w:val="single" w:sz="8" w:space="0" w:color="EBB700" w:themeColor="accent2"/>
          <w:left w:val="nil"/>
          <w:bottom w:val="single" w:sz="8" w:space="0" w:color="EBB7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B" w:themeFill="accent2" w:themeFillTint="3F"/>
      </w:tcPr>
    </w:tblStylePr>
    <w:tblStylePr w:type="band1Horz">
      <w:tblPr/>
      <w:tcPr>
        <w:tcBorders>
          <w:left w:val="nil"/>
          <w:right w:val="nil"/>
          <w:insideH w:val="nil"/>
          <w:insideV w:val="nil"/>
        </w:tcBorders>
        <w:shd w:val="clear" w:color="auto" w:fill="FFEFBB" w:themeFill="accent2" w:themeFillTint="3F"/>
      </w:tcPr>
    </w:tblStylePr>
  </w:style>
  <w:style w:type="table" w:styleId="LightShading-Accent3">
    <w:name w:val="Light Shading Accent 3"/>
    <w:basedOn w:val="TableNormal"/>
    <w:uiPriority w:val="60"/>
    <w:semiHidden/>
    <w:unhideWhenUsed/>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8" w:space="0" w:color="6773B6" w:themeColor="accent3"/>
        <w:bottom w:val="single" w:sz="8" w:space="0" w:color="6773B6" w:themeColor="accent3"/>
      </w:tblBorders>
    </w:tblPr>
    <w:tblStylePr w:type="firstRow">
      <w:pPr>
        <w:spacing w:before="0" w:after="0" w:line="240" w:lineRule="auto"/>
      </w:pPr>
      <w:rPr>
        <w:b/>
        <w:bCs/>
      </w:rPr>
      <w:tblPr/>
      <w:tcPr>
        <w:tcBorders>
          <w:top w:val="single" w:sz="8" w:space="0" w:color="6773B6" w:themeColor="accent3"/>
          <w:left w:val="nil"/>
          <w:bottom w:val="single" w:sz="8" w:space="0" w:color="6773B6" w:themeColor="accent3"/>
          <w:right w:val="nil"/>
          <w:insideH w:val="nil"/>
          <w:insideV w:val="nil"/>
        </w:tcBorders>
      </w:tcPr>
    </w:tblStylePr>
    <w:tblStylePr w:type="lastRow">
      <w:pPr>
        <w:spacing w:before="0" w:after="0" w:line="240" w:lineRule="auto"/>
      </w:pPr>
      <w:rPr>
        <w:b/>
        <w:bCs/>
      </w:rPr>
      <w:tblPr/>
      <w:tcPr>
        <w:tcBorders>
          <w:top w:val="single" w:sz="8" w:space="0" w:color="6773B6" w:themeColor="accent3"/>
          <w:left w:val="nil"/>
          <w:bottom w:val="single" w:sz="8" w:space="0" w:color="6773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CED" w:themeFill="accent3" w:themeFillTint="3F"/>
      </w:tcPr>
    </w:tblStylePr>
    <w:tblStylePr w:type="band1Horz">
      <w:tblPr/>
      <w:tcPr>
        <w:tcBorders>
          <w:left w:val="nil"/>
          <w:right w:val="nil"/>
          <w:insideH w:val="nil"/>
          <w:insideV w:val="nil"/>
        </w:tcBorders>
        <w:shd w:val="clear" w:color="auto" w:fill="D9DCED" w:themeFill="accent3" w:themeFillTint="3F"/>
      </w:tcPr>
    </w:tblStylePr>
  </w:style>
  <w:style w:type="table" w:styleId="LightShading-Accent4">
    <w:name w:val="Light Shading Accent 4"/>
    <w:basedOn w:val="TableNormal"/>
    <w:uiPriority w:val="60"/>
    <w:semiHidden/>
    <w:unhideWhenUsed/>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8" w:space="0" w:color="A2AD00" w:themeColor="accent4"/>
        <w:bottom w:val="single" w:sz="8" w:space="0" w:color="A2AD00" w:themeColor="accent4"/>
      </w:tblBorders>
    </w:tblPr>
    <w:tblStylePr w:type="firstRow">
      <w:pPr>
        <w:spacing w:before="0" w:after="0" w:line="240" w:lineRule="auto"/>
      </w:pPr>
      <w:rPr>
        <w:b/>
        <w:bCs/>
      </w:rPr>
      <w:tblPr/>
      <w:tcPr>
        <w:tcBorders>
          <w:top w:val="single" w:sz="8" w:space="0" w:color="A2AD00" w:themeColor="accent4"/>
          <w:left w:val="nil"/>
          <w:bottom w:val="single" w:sz="8" w:space="0" w:color="A2AD00" w:themeColor="accent4"/>
          <w:right w:val="nil"/>
          <w:insideH w:val="nil"/>
          <w:insideV w:val="nil"/>
        </w:tcBorders>
      </w:tcPr>
    </w:tblStylePr>
    <w:tblStylePr w:type="lastRow">
      <w:pPr>
        <w:spacing w:before="0" w:after="0" w:line="240" w:lineRule="auto"/>
      </w:pPr>
      <w:rPr>
        <w:b/>
        <w:bCs/>
      </w:rPr>
      <w:tblPr/>
      <w:tcPr>
        <w:tcBorders>
          <w:top w:val="single" w:sz="8" w:space="0" w:color="A2AD00" w:themeColor="accent4"/>
          <w:left w:val="nil"/>
          <w:bottom w:val="single" w:sz="8" w:space="0" w:color="A2AD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FAB" w:themeFill="accent4" w:themeFillTint="3F"/>
      </w:tcPr>
    </w:tblStylePr>
    <w:tblStylePr w:type="band1Horz">
      <w:tblPr/>
      <w:tcPr>
        <w:tcBorders>
          <w:left w:val="nil"/>
          <w:right w:val="nil"/>
          <w:insideH w:val="nil"/>
          <w:insideV w:val="nil"/>
        </w:tcBorders>
        <w:shd w:val="clear" w:color="auto" w:fill="F9FFAB" w:themeFill="accent4" w:themeFillTint="3F"/>
      </w:tcPr>
    </w:tblStylePr>
  </w:style>
  <w:style w:type="table" w:styleId="LightShading-Accent5">
    <w:name w:val="Light Shading Accent 5"/>
    <w:basedOn w:val="TableNormal"/>
    <w:uiPriority w:val="60"/>
    <w:semiHidden/>
    <w:unhideWhenUsed/>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8" w:space="0" w:color="8B8D8E" w:themeColor="accent5"/>
        <w:bottom w:val="single" w:sz="8" w:space="0" w:color="8B8D8E" w:themeColor="accent5"/>
      </w:tblBorders>
    </w:tblPr>
    <w:tblStylePr w:type="firstRow">
      <w:pPr>
        <w:spacing w:before="0" w:after="0" w:line="240" w:lineRule="auto"/>
      </w:pPr>
      <w:rPr>
        <w:b/>
        <w:bCs/>
      </w:rPr>
      <w:tblPr/>
      <w:tcPr>
        <w:tcBorders>
          <w:top w:val="single" w:sz="8" w:space="0" w:color="8B8D8E" w:themeColor="accent5"/>
          <w:left w:val="nil"/>
          <w:bottom w:val="single" w:sz="8" w:space="0" w:color="8B8D8E" w:themeColor="accent5"/>
          <w:right w:val="nil"/>
          <w:insideH w:val="nil"/>
          <w:insideV w:val="nil"/>
        </w:tcBorders>
      </w:tcPr>
    </w:tblStylePr>
    <w:tblStylePr w:type="lastRow">
      <w:pPr>
        <w:spacing w:before="0" w:after="0" w:line="240" w:lineRule="auto"/>
      </w:pPr>
      <w:rPr>
        <w:b/>
        <w:bCs/>
      </w:rPr>
      <w:tblPr/>
      <w:tcPr>
        <w:tcBorders>
          <w:top w:val="single" w:sz="8" w:space="0" w:color="8B8D8E" w:themeColor="accent5"/>
          <w:left w:val="nil"/>
          <w:bottom w:val="single" w:sz="8" w:space="0" w:color="8B8D8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2E3" w:themeFill="accent5" w:themeFillTint="3F"/>
      </w:tcPr>
    </w:tblStylePr>
    <w:tblStylePr w:type="band1Horz">
      <w:tblPr/>
      <w:tcPr>
        <w:tcBorders>
          <w:left w:val="nil"/>
          <w:right w:val="nil"/>
          <w:insideH w:val="nil"/>
          <w:insideV w:val="nil"/>
        </w:tcBorders>
        <w:shd w:val="clear" w:color="auto" w:fill="E2E2E3" w:themeFill="accent5" w:themeFillTint="3F"/>
      </w:tcPr>
    </w:tblStylePr>
  </w:style>
  <w:style w:type="table" w:styleId="LightShading-Accent6">
    <w:name w:val="Light Shading Accent 6"/>
    <w:basedOn w:val="TableNormal"/>
    <w:uiPriority w:val="60"/>
    <w:semiHidden/>
    <w:unhideWhenUsed/>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8" w:space="0" w:color="404143" w:themeColor="accent6"/>
        <w:bottom w:val="single" w:sz="8" w:space="0" w:color="404143" w:themeColor="accent6"/>
      </w:tblBorders>
    </w:tblPr>
    <w:tblStylePr w:type="firstRow">
      <w:pPr>
        <w:spacing w:before="0" w:after="0" w:line="240" w:lineRule="auto"/>
      </w:pPr>
      <w:rPr>
        <w:b/>
        <w:bCs/>
      </w:rPr>
      <w:tblPr/>
      <w:tcPr>
        <w:tcBorders>
          <w:top w:val="single" w:sz="8" w:space="0" w:color="404143" w:themeColor="accent6"/>
          <w:left w:val="nil"/>
          <w:bottom w:val="single" w:sz="8" w:space="0" w:color="404143" w:themeColor="accent6"/>
          <w:right w:val="nil"/>
          <w:insideH w:val="nil"/>
          <w:insideV w:val="nil"/>
        </w:tcBorders>
      </w:tcPr>
    </w:tblStylePr>
    <w:tblStylePr w:type="lastRow">
      <w:pPr>
        <w:spacing w:before="0" w:after="0" w:line="240" w:lineRule="auto"/>
      </w:pPr>
      <w:rPr>
        <w:b/>
        <w:bCs/>
      </w:rPr>
      <w:tblPr/>
      <w:tcPr>
        <w:tcBorders>
          <w:top w:val="single" w:sz="8" w:space="0" w:color="404143" w:themeColor="accent6"/>
          <w:left w:val="nil"/>
          <w:bottom w:val="single" w:sz="8" w:space="0" w:color="40414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1" w:themeFill="accent6" w:themeFillTint="3F"/>
      </w:tcPr>
    </w:tblStylePr>
    <w:tblStylePr w:type="band1Horz">
      <w:tblPr/>
      <w:tcPr>
        <w:tcBorders>
          <w:left w:val="nil"/>
          <w:right w:val="nil"/>
          <w:insideH w:val="nil"/>
          <w:insideV w:val="nil"/>
        </w:tcBorders>
        <w:shd w:val="clear" w:color="auto" w:fill="CFCFD1" w:themeFill="accent6" w:themeFillTint="3F"/>
      </w:tcPr>
    </w:tblStylePr>
  </w:style>
  <w:style w:type="table" w:styleId="ListTable1Light">
    <w:name w:val="List Table 1 Light"/>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8A8C8F" w:themeColor="text1" w:themeTint="99"/>
        </w:tcBorders>
      </w:tcPr>
    </w:tblStylePr>
    <w:tblStylePr w:type="lastRow">
      <w:rPr>
        <w:b/>
        <w:bCs/>
      </w:rPr>
      <w:tblPr/>
      <w:tcPr>
        <w:tcBorders>
          <w:top w:val="single" w:sz="4" w:space="0" w:color="8A8C8F" w:themeColor="text1" w:themeTint="99"/>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1Light-Accent1">
    <w:name w:val="List Table 1 Light Accent 1"/>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E6586F" w:themeColor="accent1" w:themeTint="99"/>
        </w:tcBorders>
      </w:tcPr>
    </w:tblStylePr>
    <w:tblStylePr w:type="lastRow">
      <w:rPr>
        <w:b/>
        <w:bCs/>
      </w:rPr>
      <w:tblPr/>
      <w:tcPr>
        <w:tcBorders>
          <w:top w:val="single" w:sz="4" w:space="0" w:color="E6586F" w:themeColor="accent1" w:themeTint="99"/>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1Light-Accent2">
    <w:name w:val="List Table 1 Light Accent 2"/>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FFDA5A" w:themeColor="accent2" w:themeTint="99"/>
        </w:tcBorders>
      </w:tcPr>
    </w:tblStylePr>
    <w:tblStylePr w:type="lastRow">
      <w:rPr>
        <w:b/>
        <w:bCs/>
      </w:rPr>
      <w:tblPr/>
      <w:tcPr>
        <w:tcBorders>
          <w:top w:val="single" w:sz="4" w:space="0" w:color="FFDA5A" w:themeColor="accent2" w:themeTint="99"/>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1Light-Accent3">
    <w:name w:val="List Table 1 Light Accent 3"/>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A3AAD3" w:themeColor="accent3" w:themeTint="99"/>
        </w:tcBorders>
      </w:tcPr>
    </w:tblStylePr>
    <w:tblStylePr w:type="lastRow">
      <w:rPr>
        <w:b/>
        <w:bCs/>
      </w:rPr>
      <w:tblPr/>
      <w:tcPr>
        <w:tcBorders>
          <w:top w:val="single" w:sz="4" w:space="0" w:color="A3AAD3" w:themeColor="accent3" w:themeTint="99"/>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1Light-Accent4">
    <w:name w:val="List Table 1 Light Accent 4"/>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F1FF34" w:themeColor="accent4" w:themeTint="99"/>
        </w:tcBorders>
      </w:tcPr>
    </w:tblStylePr>
    <w:tblStylePr w:type="lastRow">
      <w:rPr>
        <w:b/>
        <w:bCs/>
      </w:rPr>
      <w:tblPr/>
      <w:tcPr>
        <w:tcBorders>
          <w:top w:val="single" w:sz="4" w:space="0" w:color="F1FF34" w:themeColor="accent4" w:themeTint="99"/>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1Light-Accent5">
    <w:name w:val="List Table 1 Light Accent 5"/>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B9BABB" w:themeColor="accent5" w:themeTint="99"/>
        </w:tcBorders>
      </w:tcPr>
    </w:tblStylePr>
    <w:tblStylePr w:type="lastRow">
      <w:rPr>
        <w:b/>
        <w:bCs/>
      </w:rPr>
      <w:tblPr/>
      <w:tcPr>
        <w:tcBorders>
          <w:top w:val="single" w:sz="4" w:space="0" w:color="B9BABB" w:themeColor="accent5" w:themeTint="99"/>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1Light-Accent6">
    <w:name w:val="List Table 1 Light Accent 6"/>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8A8C8F" w:themeColor="accent6" w:themeTint="99"/>
        </w:tcBorders>
      </w:tcPr>
    </w:tblStylePr>
    <w:tblStylePr w:type="lastRow">
      <w:rPr>
        <w:b/>
        <w:bCs/>
      </w:rPr>
      <w:tblPr/>
      <w:tcPr>
        <w:tcBorders>
          <w:top w:val="single" w:sz="4" w:space="0" w:color="8A8C8F" w:themeColor="accent6" w:themeTint="99"/>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2">
    <w:name w:val="List Table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bottom w:val="single" w:sz="4" w:space="0" w:color="8A8C8F" w:themeColor="text1" w:themeTint="99"/>
        <w:insideH w:val="single" w:sz="4" w:space="0" w:color="8A8C8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2-Accent1">
    <w:name w:val="List Table 2 Accent 1"/>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bottom w:val="single" w:sz="4" w:space="0" w:color="E6586F" w:themeColor="accent1" w:themeTint="99"/>
        <w:insideH w:val="single" w:sz="4" w:space="0" w:color="E6586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2-Accent2">
    <w:name w:val="List Table 2 Accent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bottom w:val="single" w:sz="4" w:space="0" w:color="FFDA5A" w:themeColor="accent2" w:themeTint="99"/>
        <w:insideH w:val="single" w:sz="4" w:space="0" w:color="FFDA5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2-Accent3">
    <w:name w:val="List Table 2 Accent 3"/>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bottom w:val="single" w:sz="4" w:space="0" w:color="A3AAD3" w:themeColor="accent3" w:themeTint="99"/>
        <w:insideH w:val="single" w:sz="4" w:space="0" w:color="A3AA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2-Accent4">
    <w:name w:val="List Table 2 Accent 4"/>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bottom w:val="single" w:sz="4" w:space="0" w:color="F1FF34" w:themeColor="accent4" w:themeTint="99"/>
        <w:insideH w:val="single" w:sz="4" w:space="0" w:color="F1FF3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2-Accent5">
    <w:name w:val="List Table 2 Accent 5"/>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bottom w:val="single" w:sz="4" w:space="0" w:color="B9BABB" w:themeColor="accent5" w:themeTint="99"/>
        <w:insideH w:val="single" w:sz="4" w:space="0" w:color="B9B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2-Accent6">
    <w:name w:val="List Table 2 Accent 6"/>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bottom w:val="single" w:sz="4" w:space="0" w:color="8A8C8F" w:themeColor="accent6" w:themeTint="99"/>
        <w:insideH w:val="single" w:sz="4" w:space="0" w:color="8A8C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3">
    <w:name w:val="List Table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404143" w:themeColor="text1"/>
        <w:left w:val="single" w:sz="4" w:space="0" w:color="404143" w:themeColor="text1"/>
        <w:bottom w:val="single" w:sz="4" w:space="0" w:color="404143" w:themeColor="text1"/>
        <w:right w:val="single" w:sz="4" w:space="0" w:color="404143" w:themeColor="text1"/>
      </w:tblBorders>
    </w:tblPr>
    <w:tblStylePr w:type="firstRow">
      <w:rPr>
        <w:b/>
        <w:bCs/>
        <w:color w:val="FFFFFF" w:themeColor="background1"/>
      </w:rPr>
      <w:tblPr/>
      <w:tcPr>
        <w:shd w:val="clear" w:color="auto" w:fill="404143" w:themeFill="text1"/>
      </w:tcPr>
    </w:tblStylePr>
    <w:tblStylePr w:type="lastRow">
      <w:rPr>
        <w:b/>
        <w:bCs/>
      </w:rPr>
      <w:tblPr/>
      <w:tcPr>
        <w:tcBorders>
          <w:top w:val="double" w:sz="4" w:space="0" w:color="40414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143" w:themeColor="text1"/>
          <w:right w:val="single" w:sz="4" w:space="0" w:color="404143" w:themeColor="text1"/>
        </w:tcBorders>
      </w:tcPr>
    </w:tblStylePr>
    <w:tblStylePr w:type="band1Horz">
      <w:tblPr/>
      <w:tcPr>
        <w:tcBorders>
          <w:top w:val="single" w:sz="4" w:space="0" w:color="404143" w:themeColor="text1"/>
          <w:bottom w:val="single" w:sz="4" w:space="0" w:color="40414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143" w:themeColor="text1"/>
          <w:left w:val="nil"/>
        </w:tcBorders>
      </w:tcPr>
    </w:tblStylePr>
    <w:tblStylePr w:type="swCell">
      <w:tblPr/>
      <w:tcPr>
        <w:tcBorders>
          <w:top w:val="double" w:sz="4" w:space="0" w:color="404143" w:themeColor="text1"/>
          <w:right w:val="nil"/>
        </w:tcBorders>
      </w:tcPr>
    </w:tblStylePr>
  </w:style>
  <w:style w:type="table" w:styleId="ListTable3-Accent1">
    <w:name w:val="List Table 3 Accent 1"/>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A71930" w:themeColor="accent1"/>
        <w:left w:val="single" w:sz="4" w:space="0" w:color="A71930" w:themeColor="accent1"/>
        <w:bottom w:val="single" w:sz="4" w:space="0" w:color="A71930" w:themeColor="accent1"/>
        <w:right w:val="single" w:sz="4" w:space="0" w:color="A71930" w:themeColor="accent1"/>
      </w:tblBorders>
    </w:tblPr>
    <w:tblStylePr w:type="firstRow">
      <w:rPr>
        <w:b/>
        <w:bCs/>
        <w:color w:val="FFFFFF" w:themeColor="background1"/>
      </w:rPr>
      <w:tblPr/>
      <w:tcPr>
        <w:shd w:val="clear" w:color="auto" w:fill="A71930" w:themeFill="accent1"/>
      </w:tcPr>
    </w:tblStylePr>
    <w:tblStylePr w:type="lastRow">
      <w:rPr>
        <w:b/>
        <w:bCs/>
      </w:rPr>
      <w:tblPr/>
      <w:tcPr>
        <w:tcBorders>
          <w:top w:val="double" w:sz="4" w:space="0" w:color="A7193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1930" w:themeColor="accent1"/>
          <w:right w:val="single" w:sz="4" w:space="0" w:color="A71930" w:themeColor="accent1"/>
        </w:tcBorders>
      </w:tcPr>
    </w:tblStylePr>
    <w:tblStylePr w:type="band1Horz">
      <w:tblPr/>
      <w:tcPr>
        <w:tcBorders>
          <w:top w:val="single" w:sz="4" w:space="0" w:color="A71930" w:themeColor="accent1"/>
          <w:bottom w:val="single" w:sz="4" w:space="0" w:color="A7193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1930" w:themeColor="accent1"/>
          <w:left w:val="nil"/>
        </w:tcBorders>
      </w:tcPr>
    </w:tblStylePr>
    <w:tblStylePr w:type="swCell">
      <w:tblPr/>
      <w:tcPr>
        <w:tcBorders>
          <w:top w:val="double" w:sz="4" w:space="0" w:color="A71930" w:themeColor="accent1"/>
          <w:right w:val="nil"/>
        </w:tcBorders>
      </w:tcPr>
    </w:tblStylePr>
  </w:style>
  <w:style w:type="table" w:styleId="ListTable3-Accent2">
    <w:name w:val="List Table 3 Accent 2"/>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EBB700" w:themeColor="accent2"/>
        <w:left w:val="single" w:sz="4" w:space="0" w:color="EBB700" w:themeColor="accent2"/>
        <w:bottom w:val="single" w:sz="4" w:space="0" w:color="EBB700" w:themeColor="accent2"/>
        <w:right w:val="single" w:sz="4" w:space="0" w:color="EBB700" w:themeColor="accent2"/>
      </w:tblBorders>
    </w:tblPr>
    <w:tblStylePr w:type="firstRow">
      <w:rPr>
        <w:b/>
        <w:bCs/>
        <w:color w:val="FFFFFF" w:themeColor="background1"/>
      </w:rPr>
      <w:tblPr/>
      <w:tcPr>
        <w:shd w:val="clear" w:color="auto" w:fill="EBB700" w:themeFill="accent2"/>
      </w:tcPr>
    </w:tblStylePr>
    <w:tblStylePr w:type="lastRow">
      <w:rPr>
        <w:b/>
        <w:bCs/>
      </w:rPr>
      <w:tblPr/>
      <w:tcPr>
        <w:tcBorders>
          <w:top w:val="double" w:sz="4" w:space="0" w:color="EBB7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B700" w:themeColor="accent2"/>
          <w:right w:val="single" w:sz="4" w:space="0" w:color="EBB700" w:themeColor="accent2"/>
        </w:tcBorders>
      </w:tcPr>
    </w:tblStylePr>
    <w:tblStylePr w:type="band1Horz">
      <w:tblPr/>
      <w:tcPr>
        <w:tcBorders>
          <w:top w:val="single" w:sz="4" w:space="0" w:color="EBB700" w:themeColor="accent2"/>
          <w:bottom w:val="single" w:sz="4" w:space="0" w:color="EBB7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B700" w:themeColor="accent2"/>
          <w:left w:val="nil"/>
        </w:tcBorders>
      </w:tcPr>
    </w:tblStylePr>
    <w:tblStylePr w:type="swCell">
      <w:tblPr/>
      <w:tcPr>
        <w:tcBorders>
          <w:top w:val="double" w:sz="4" w:space="0" w:color="EBB700" w:themeColor="accent2"/>
          <w:right w:val="nil"/>
        </w:tcBorders>
      </w:tcPr>
    </w:tblStylePr>
  </w:style>
  <w:style w:type="table" w:styleId="ListTable3-Accent3">
    <w:name w:val="List Table 3 Accent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6773B6" w:themeColor="accent3"/>
        <w:left w:val="single" w:sz="4" w:space="0" w:color="6773B6" w:themeColor="accent3"/>
        <w:bottom w:val="single" w:sz="4" w:space="0" w:color="6773B6" w:themeColor="accent3"/>
        <w:right w:val="single" w:sz="4" w:space="0" w:color="6773B6" w:themeColor="accent3"/>
      </w:tblBorders>
    </w:tblPr>
    <w:tblStylePr w:type="firstRow">
      <w:rPr>
        <w:b/>
        <w:bCs/>
        <w:color w:val="FFFFFF" w:themeColor="background1"/>
      </w:rPr>
      <w:tblPr/>
      <w:tcPr>
        <w:shd w:val="clear" w:color="auto" w:fill="6773B6" w:themeFill="accent3"/>
      </w:tcPr>
    </w:tblStylePr>
    <w:tblStylePr w:type="lastRow">
      <w:rPr>
        <w:b/>
        <w:bCs/>
      </w:rPr>
      <w:tblPr/>
      <w:tcPr>
        <w:tcBorders>
          <w:top w:val="double" w:sz="4" w:space="0" w:color="6773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3B6" w:themeColor="accent3"/>
          <w:right w:val="single" w:sz="4" w:space="0" w:color="6773B6" w:themeColor="accent3"/>
        </w:tcBorders>
      </w:tcPr>
    </w:tblStylePr>
    <w:tblStylePr w:type="band1Horz">
      <w:tblPr/>
      <w:tcPr>
        <w:tcBorders>
          <w:top w:val="single" w:sz="4" w:space="0" w:color="6773B6" w:themeColor="accent3"/>
          <w:bottom w:val="single" w:sz="4" w:space="0" w:color="6773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3B6" w:themeColor="accent3"/>
          <w:left w:val="nil"/>
        </w:tcBorders>
      </w:tcPr>
    </w:tblStylePr>
    <w:tblStylePr w:type="swCell">
      <w:tblPr/>
      <w:tcPr>
        <w:tcBorders>
          <w:top w:val="double" w:sz="4" w:space="0" w:color="6773B6" w:themeColor="accent3"/>
          <w:right w:val="nil"/>
        </w:tcBorders>
      </w:tcPr>
    </w:tblStylePr>
  </w:style>
  <w:style w:type="table" w:styleId="ListTable3-Accent4">
    <w:name w:val="List Table 3 Accent 4"/>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A2AD00" w:themeColor="accent4"/>
        <w:left w:val="single" w:sz="4" w:space="0" w:color="A2AD00" w:themeColor="accent4"/>
        <w:bottom w:val="single" w:sz="4" w:space="0" w:color="A2AD00" w:themeColor="accent4"/>
        <w:right w:val="single" w:sz="4" w:space="0" w:color="A2AD00" w:themeColor="accent4"/>
      </w:tblBorders>
    </w:tblPr>
    <w:tblStylePr w:type="firstRow">
      <w:rPr>
        <w:b/>
        <w:bCs/>
        <w:color w:val="FFFFFF" w:themeColor="background1"/>
      </w:rPr>
      <w:tblPr/>
      <w:tcPr>
        <w:shd w:val="clear" w:color="auto" w:fill="A2AD00" w:themeFill="accent4"/>
      </w:tcPr>
    </w:tblStylePr>
    <w:tblStylePr w:type="lastRow">
      <w:rPr>
        <w:b/>
        <w:bCs/>
      </w:rPr>
      <w:tblPr/>
      <w:tcPr>
        <w:tcBorders>
          <w:top w:val="double" w:sz="4" w:space="0" w:color="A2AD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AD00" w:themeColor="accent4"/>
          <w:right w:val="single" w:sz="4" w:space="0" w:color="A2AD00" w:themeColor="accent4"/>
        </w:tcBorders>
      </w:tcPr>
    </w:tblStylePr>
    <w:tblStylePr w:type="band1Horz">
      <w:tblPr/>
      <w:tcPr>
        <w:tcBorders>
          <w:top w:val="single" w:sz="4" w:space="0" w:color="A2AD00" w:themeColor="accent4"/>
          <w:bottom w:val="single" w:sz="4" w:space="0" w:color="A2AD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AD00" w:themeColor="accent4"/>
          <w:left w:val="nil"/>
        </w:tcBorders>
      </w:tcPr>
    </w:tblStylePr>
    <w:tblStylePr w:type="swCell">
      <w:tblPr/>
      <w:tcPr>
        <w:tcBorders>
          <w:top w:val="double" w:sz="4" w:space="0" w:color="A2AD00" w:themeColor="accent4"/>
          <w:right w:val="nil"/>
        </w:tcBorders>
      </w:tcPr>
    </w:tblStylePr>
  </w:style>
  <w:style w:type="table" w:styleId="ListTable3-Accent5">
    <w:name w:val="List Table 3 Accent 5"/>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8B8D8E" w:themeColor="accent5"/>
        <w:left w:val="single" w:sz="4" w:space="0" w:color="8B8D8E" w:themeColor="accent5"/>
        <w:bottom w:val="single" w:sz="4" w:space="0" w:color="8B8D8E" w:themeColor="accent5"/>
        <w:right w:val="single" w:sz="4" w:space="0" w:color="8B8D8E" w:themeColor="accent5"/>
      </w:tblBorders>
    </w:tblPr>
    <w:tblStylePr w:type="firstRow">
      <w:rPr>
        <w:b/>
        <w:bCs/>
        <w:color w:val="FFFFFF" w:themeColor="background1"/>
      </w:rPr>
      <w:tblPr/>
      <w:tcPr>
        <w:shd w:val="clear" w:color="auto" w:fill="8B8D8E" w:themeFill="accent5"/>
      </w:tcPr>
    </w:tblStylePr>
    <w:tblStylePr w:type="lastRow">
      <w:rPr>
        <w:b/>
        <w:bCs/>
      </w:rPr>
      <w:tblPr/>
      <w:tcPr>
        <w:tcBorders>
          <w:top w:val="double" w:sz="4" w:space="0" w:color="8B8D8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B8D8E" w:themeColor="accent5"/>
          <w:right w:val="single" w:sz="4" w:space="0" w:color="8B8D8E" w:themeColor="accent5"/>
        </w:tcBorders>
      </w:tcPr>
    </w:tblStylePr>
    <w:tblStylePr w:type="band1Horz">
      <w:tblPr/>
      <w:tcPr>
        <w:tcBorders>
          <w:top w:val="single" w:sz="4" w:space="0" w:color="8B8D8E" w:themeColor="accent5"/>
          <w:bottom w:val="single" w:sz="4" w:space="0" w:color="8B8D8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8D8E" w:themeColor="accent5"/>
          <w:left w:val="nil"/>
        </w:tcBorders>
      </w:tcPr>
    </w:tblStylePr>
    <w:tblStylePr w:type="swCell">
      <w:tblPr/>
      <w:tcPr>
        <w:tcBorders>
          <w:top w:val="double" w:sz="4" w:space="0" w:color="8B8D8E" w:themeColor="accent5"/>
          <w:right w:val="nil"/>
        </w:tcBorders>
      </w:tcPr>
    </w:tblStylePr>
  </w:style>
  <w:style w:type="table" w:styleId="ListTable3-Accent6">
    <w:name w:val="List Table 3 Accent 6"/>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404143" w:themeColor="accent6"/>
        <w:left w:val="single" w:sz="4" w:space="0" w:color="404143" w:themeColor="accent6"/>
        <w:bottom w:val="single" w:sz="4" w:space="0" w:color="404143" w:themeColor="accent6"/>
        <w:right w:val="single" w:sz="4" w:space="0" w:color="404143" w:themeColor="accent6"/>
      </w:tblBorders>
    </w:tblPr>
    <w:tblStylePr w:type="firstRow">
      <w:rPr>
        <w:b/>
        <w:bCs/>
        <w:color w:val="FFFFFF" w:themeColor="background1"/>
      </w:rPr>
      <w:tblPr/>
      <w:tcPr>
        <w:shd w:val="clear" w:color="auto" w:fill="404143" w:themeFill="accent6"/>
      </w:tcPr>
    </w:tblStylePr>
    <w:tblStylePr w:type="lastRow">
      <w:rPr>
        <w:b/>
        <w:bCs/>
      </w:rPr>
      <w:tblPr/>
      <w:tcPr>
        <w:tcBorders>
          <w:top w:val="double" w:sz="4" w:space="0" w:color="40414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143" w:themeColor="accent6"/>
          <w:right w:val="single" w:sz="4" w:space="0" w:color="404143" w:themeColor="accent6"/>
        </w:tcBorders>
      </w:tcPr>
    </w:tblStylePr>
    <w:tblStylePr w:type="band1Horz">
      <w:tblPr/>
      <w:tcPr>
        <w:tcBorders>
          <w:top w:val="single" w:sz="4" w:space="0" w:color="404143" w:themeColor="accent6"/>
          <w:bottom w:val="single" w:sz="4" w:space="0" w:color="40414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143" w:themeColor="accent6"/>
          <w:left w:val="nil"/>
        </w:tcBorders>
      </w:tcPr>
    </w:tblStylePr>
    <w:tblStylePr w:type="swCell">
      <w:tblPr/>
      <w:tcPr>
        <w:tcBorders>
          <w:top w:val="double" w:sz="4" w:space="0" w:color="404143" w:themeColor="accent6"/>
          <w:right w:val="nil"/>
        </w:tcBorders>
      </w:tcPr>
    </w:tblStylePr>
  </w:style>
  <w:style w:type="table" w:styleId="ListTable4">
    <w:name w:val="List Table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tblBorders>
    </w:tblPr>
    <w:tblStylePr w:type="firstRow">
      <w:rPr>
        <w:b/>
        <w:bCs/>
        <w:color w:val="FFFFFF" w:themeColor="background1"/>
      </w:rPr>
      <w:tblPr/>
      <w:tcPr>
        <w:tcBorders>
          <w:top w:val="single" w:sz="4" w:space="0" w:color="404143" w:themeColor="text1"/>
          <w:left w:val="single" w:sz="4" w:space="0" w:color="404143" w:themeColor="text1"/>
          <w:bottom w:val="single" w:sz="4" w:space="0" w:color="404143" w:themeColor="text1"/>
          <w:right w:val="single" w:sz="4" w:space="0" w:color="404143" w:themeColor="text1"/>
          <w:insideH w:val="nil"/>
        </w:tcBorders>
        <w:shd w:val="clear" w:color="auto" w:fill="404143" w:themeFill="text1"/>
      </w:tcPr>
    </w:tblStylePr>
    <w:tblStylePr w:type="lastRow">
      <w:rPr>
        <w:b/>
        <w:bCs/>
      </w:rPr>
      <w:tblPr/>
      <w:tcPr>
        <w:tcBorders>
          <w:top w:val="double" w:sz="4" w:space="0" w:color="8A8C8F" w:themeColor="text1" w:themeTint="99"/>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4-Accent1">
    <w:name w:val="List Table 4 Accent 1"/>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tblBorders>
    </w:tblPr>
    <w:tblStylePr w:type="firstRow">
      <w:rPr>
        <w:b/>
        <w:bCs/>
        <w:color w:val="FFFFFF" w:themeColor="background1"/>
      </w:rPr>
      <w:tblPr/>
      <w:tcPr>
        <w:tcBorders>
          <w:top w:val="single" w:sz="4" w:space="0" w:color="A71930" w:themeColor="accent1"/>
          <w:left w:val="single" w:sz="4" w:space="0" w:color="A71930" w:themeColor="accent1"/>
          <w:bottom w:val="single" w:sz="4" w:space="0" w:color="A71930" w:themeColor="accent1"/>
          <w:right w:val="single" w:sz="4" w:space="0" w:color="A71930" w:themeColor="accent1"/>
          <w:insideH w:val="nil"/>
        </w:tcBorders>
        <w:shd w:val="clear" w:color="auto" w:fill="A71930" w:themeFill="accent1"/>
      </w:tcPr>
    </w:tblStylePr>
    <w:tblStylePr w:type="lastRow">
      <w:rPr>
        <w:b/>
        <w:bCs/>
      </w:rPr>
      <w:tblPr/>
      <w:tcPr>
        <w:tcBorders>
          <w:top w:val="double" w:sz="4" w:space="0" w:color="E6586F" w:themeColor="accent1" w:themeTint="99"/>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4-Accent2">
    <w:name w:val="List Table 4 Accent 2"/>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tblBorders>
    </w:tblPr>
    <w:tblStylePr w:type="firstRow">
      <w:rPr>
        <w:b/>
        <w:bCs/>
        <w:color w:val="FFFFFF" w:themeColor="background1"/>
      </w:rPr>
      <w:tblPr/>
      <w:tcPr>
        <w:tcBorders>
          <w:top w:val="single" w:sz="4" w:space="0" w:color="EBB700" w:themeColor="accent2"/>
          <w:left w:val="single" w:sz="4" w:space="0" w:color="EBB700" w:themeColor="accent2"/>
          <w:bottom w:val="single" w:sz="4" w:space="0" w:color="EBB700" w:themeColor="accent2"/>
          <w:right w:val="single" w:sz="4" w:space="0" w:color="EBB700" w:themeColor="accent2"/>
          <w:insideH w:val="nil"/>
        </w:tcBorders>
        <w:shd w:val="clear" w:color="auto" w:fill="EBB700" w:themeFill="accent2"/>
      </w:tcPr>
    </w:tblStylePr>
    <w:tblStylePr w:type="lastRow">
      <w:rPr>
        <w:b/>
        <w:bCs/>
      </w:rPr>
      <w:tblPr/>
      <w:tcPr>
        <w:tcBorders>
          <w:top w:val="double" w:sz="4" w:space="0" w:color="FFDA5A" w:themeColor="accent2" w:themeTint="99"/>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4-Accent3">
    <w:name w:val="List Table 4 Accent 3"/>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tblBorders>
    </w:tblPr>
    <w:tblStylePr w:type="firstRow">
      <w:rPr>
        <w:b/>
        <w:bCs/>
        <w:color w:val="FFFFFF" w:themeColor="background1"/>
      </w:rPr>
      <w:tblPr/>
      <w:tcPr>
        <w:tcBorders>
          <w:top w:val="single" w:sz="4" w:space="0" w:color="6773B6" w:themeColor="accent3"/>
          <w:left w:val="single" w:sz="4" w:space="0" w:color="6773B6" w:themeColor="accent3"/>
          <w:bottom w:val="single" w:sz="4" w:space="0" w:color="6773B6" w:themeColor="accent3"/>
          <w:right w:val="single" w:sz="4" w:space="0" w:color="6773B6" w:themeColor="accent3"/>
          <w:insideH w:val="nil"/>
        </w:tcBorders>
        <w:shd w:val="clear" w:color="auto" w:fill="6773B6" w:themeFill="accent3"/>
      </w:tcPr>
    </w:tblStylePr>
    <w:tblStylePr w:type="lastRow">
      <w:rPr>
        <w:b/>
        <w:bCs/>
      </w:rPr>
      <w:tblPr/>
      <w:tcPr>
        <w:tcBorders>
          <w:top w:val="double" w:sz="4" w:space="0" w:color="A3AAD3" w:themeColor="accent3" w:themeTint="99"/>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4-Accent4">
    <w:name w:val="List Table 4 Accent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tblBorders>
    </w:tblPr>
    <w:tblStylePr w:type="firstRow">
      <w:rPr>
        <w:b/>
        <w:bCs/>
        <w:color w:val="FFFFFF" w:themeColor="background1"/>
      </w:rPr>
      <w:tblPr/>
      <w:tcPr>
        <w:tcBorders>
          <w:top w:val="single" w:sz="4" w:space="0" w:color="A2AD00" w:themeColor="accent4"/>
          <w:left w:val="single" w:sz="4" w:space="0" w:color="A2AD00" w:themeColor="accent4"/>
          <w:bottom w:val="single" w:sz="4" w:space="0" w:color="A2AD00" w:themeColor="accent4"/>
          <w:right w:val="single" w:sz="4" w:space="0" w:color="A2AD00" w:themeColor="accent4"/>
          <w:insideH w:val="nil"/>
        </w:tcBorders>
        <w:shd w:val="clear" w:color="auto" w:fill="A2AD00" w:themeFill="accent4"/>
      </w:tcPr>
    </w:tblStylePr>
    <w:tblStylePr w:type="lastRow">
      <w:rPr>
        <w:b/>
        <w:bCs/>
      </w:rPr>
      <w:tblPr/>
      <w:tcPr>
        <w:tcBorders>
          <w:top w:val="double" w:sz="4" w:space="0" w:color="F1FF34" w:themeColor="accent4" w:themeTint="99"/>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4-Accent5">
    <w:name w:val="List Table 4 Accent 5"/>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tblBorders>
    </w:tblPr>
    <w:tblStylePr w:type="firstRow">
      <w:rPr>
        <w:b/>
        <w:bCs/>
        <w:color w:val="FFFFFF" w:themeColor="background1"/>
      </w:rPr>
      <w:tblPr/>
      <w:tcPr>
        <w:tcBorders>
          <w:top w:val="single" w:sz="4" w:space="0" w:color="8B8D8E" w:themeColor="accent5"/>
          <w:left w:val="single" w:sz="4" w:space="0" w:color="8B8D8E" w:themeColor="accent5"/>
          <w:bottom w:val="single" w:sz="4" w:space="0" w:color="8B8D8E" w:themeColor="accent5"/>
          <w:right w:val="single" w:sz="4" w:space="0" w:color="8B8D8E" w:themeColor="accent5"/>
          <w:insideH w:val="nil"/>
        </w:tcBorders>
        <w:shd w:val="clear" w:color="auto" w:fill="8B8D8E" w:themeFill="accent5"/>
      </w:tcPr>
    </w:tblStylePr>
    <w:tblStylePr w:type="lastRow">
      <w:rPr>
        <w:b/>
        <w:bCs/>
      </w:rPr>
      <w:tblPr/>
      <w:tcPr>
        <w:tcBorders>
          <w:top w:val="double" w:sz="4" w:space="0" w:color="B9BABB" w:themeColor="accent5" w:themeTint="99"/>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4-Accent6">
    <w:name w:val="List Table 4 Accent 6"/>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tblBorders>
    </w:tblPr>
    <w:tblStylePr w:type="firstRow">
      <w:rPr>
        <w:b/>
        <w:bCs/>
        <w:color w:val="FFFFFF" w:themeColor="background1"/>
      </w:rPr>
      <w:tblPr/>
      <w:tcPr>
        <w:tcBorders>
          <w:top w:val="single" w:sz="4" w:space="0" w:color="404143" w:themeColor="accent6"/>
          <w:left w:val="single" w:sz="4" w:space="0" w:color="404143" w:themeColor="accent6"/>
          <w:bottom w:val="single" w:sz="4" w:space="0" w:color="404143" w:themeColor="accent6"/>
          <w:right w:val="single" w:sz="4" w:space="0" w:color="404143" w:themeColor="accent6"/>
          <w:insideH w:val="nil"/>
        </w:tcBorders>
        <w:shd w:val="clear" w:color="auto" w:fill="404143" w:themeFill="accent6"/>
      </w:tcPr>
    </w:tblStylePr>
    <w:tblStylePr w:type="lastRow">
      <w:rPr>
        <w:b/>
        <w:bCs/>
      </w:rPr>
      <w:tblPr/>
      <w:tcPr>
        <w:tcBorders>
          <w:top w:val="double" w:sz="4" w:space="0" w:color="8A8C8F" w:themeColor="accent6" w:themeTint="99"/>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5Dark">
    <w:name w:val="List Table 5 Dark"/>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404143" w:themeColor="text1"/>
        <w:left w:val="single" w:sz="24" w:space="0" w:color="404143" w:themeColor="text1"/>
        <w:bottom w:val="single" w:sz="24" w:space="0" w:color="404143" w:themeColor="text1"/>
        <w:right w:val="single" w:sz="24" w:space="0" w:color="404143" w:themeColor="text1"/>
      </w:tblBorders>
    </w:tblPr>
    <w:tcPr>
      <w:shd w:val="clear" w:color="auto" w:fill="40414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A71930" w:themeColor="accent1"/>
        <w:left w:val="single" w:sz="24" w:space="0" w:color="A71930" w:themeColor="accent1"/>
        <w:bottom w:val="single" w:sz="24" w:space="0" w:color="A71930" w:themeColor="accent1"/>
        <w:right w:val="single" w:sz="24" w:space="0" w:color="A71930" w:themeColor="accent1"/>
      </w:tblBorders>
    </w:tblPr>
    <w:tcPr>
      <w:shd w:val="clear" w:color="auto" w:fill="A7193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EBB700" w:themeColor="accent2"/>
        <w:left w:val="single" w:sz="24" w:space="0" w:color="EBB700" w:themeColor="accent2"/>
        <w:bottom w:val="single" w:sz="24" w:space="0" w:color="EBB700" w:themeColor="accent2"/>
        <w:right w:val="single" w:sz="24" w:space="0" w:color="EBB700" w:themeColor="accent2"/>
      </w:tblBorders>
    </w:tblPr>
    <w:tcPr>
      <w:shd w:val="clear" w:color="auto" w:fill="EBB7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6773B6" w:themeColor="accent3"/>
        <w:left w:val="single" w:sz="24" w:space="0" w:color="6773B6" w:themeColor="accent3"/>
        <w:bottom w:val="single" w:sz="24" w:space="0" w:color="6773B6" w:themeColor="accent3"/>
        <w:right w:val="single" w:sz="24" w:space="0" w:color="6773B6" w:themeColor="accent3"/>
      </w:tblBorders>
    </w:tblPr>
    <w:tcPr>
      <w:shd w:val="clear" w:color="auto" w:fill="6773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A2AD00" w:themeColor="accent4"/>
        <w:left w:val="single" w:sz="24" w:space="0" w:color="A2AD00" w:themeColor="accent4"/>
        <w:bottom w:val="single" w:sz="24" w:space="0" w:color="A2AD00" w:themeColor="accent4"/>
        <w:right w:val="single" w:sz="24" w:space="0" w:color="A2AD00" w:themeColor="accent4"/>
      </w:tblBorders>
    </w:tblPr>
    <w:tcPr>
      <w:shd w:val="clear" w:color="auto" w:fill="A2AD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8B8D8E" w:themeColor="accent5"/>
        <w:left w:val="single" w:sz="24" w:space="0" w:color="8B8D8E" w:themeColor="accent5"/>
        <w:bottom w:val="single" w:sz="24" w:space="0" w:color="8B8D8E" w:themeColor="accent5"/>
        <w:right w:val="single" w:sz="24" w:space="0" w:color="8B8D8E" w:themeColor="accent5"/>
      </w:tblBorders>
    </w:tblPr>
    <w:tcPr>
      <w:shd w:val="clear" w:color="auto" w:fill="8B8D8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404143" w:themeColor="accent6"/>
        <w:left w:val="single" w:sz="24" w:space="0" w:color="404143" w:themeColor="accent6"/>
        <w:bottom w:val="single" w:sz="24" w:space="0" w:color="404143" w:themeColor="accent6"/>
        <w:right w:val="single" w:sz="24" w:space="0" w:color="404143" w:themeColor="accent6"/>
      </w:tblBorders>
    </w:tblPr>
    <w:tcPr>
      <w:shd w:val="clear" w:color="auto" w:fill="40414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012E"/>
    <w:rPr>
      <w:rFonts w:asciiTheme="minorHAnsi" w:hAnsiTheme="minorHAnsi" w:cstheme="minorBidi"/>
      <w:color w:val="404143" w:themeColor="text1"/>
      <w:sz w:val="22"/>
      <w:szCs w:val="22"/>
      <w:lang w:eastAsia="zh-CN"/>
    </w:rPr>
    <w:tblPr>
      <w:tblStyleRowBandSize w:val="1"/>
      <w:tblStyleColBandSize w:val="1"/>
      <w:tblBorders>
        <w:top w:val="single" w:sz="4" w:space="0" w:color="404143" w:themeColor="text1"/>
        <w:bottom w:val="single" w:sz="4" w:space="0" w:color="404143" w:themeColor="text1"/>
      </w:tblBorders>
    </w:tblPr>
    <w:tblStylePr w:type="firstRow">
      <w:rPr>
        <w:b/>
        <w:bCs/>
      </w:rPr>
      <w:tblPr/>
      <w:tcPr>
        <w:tcBorders>
          <w:bottom w:val="single" w:sz="4" w:space="0" w:color="404143" w:themeColor="text1"/>
        </w:tcBorders>
      </w:tcPr>
    </w:tblStylePr>
    <w:tblStylePr w:type="lastRow">
      <w:rPr>
        <w:b/>
        <w:bCs/>
      </w:rPr>
      <w:tblPr/>
      <w:tcPr>
        <w:tcBorders>
          <w:top w:val="double" w:sz="4" w:space="0" w:color="404143" w:themeColor="text1"/>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6Colorful-Accent1">
    <w:name w:val="List Table 6 Colorful Accent 1"/>
    <w:basedOn w:val="TableNormal"/>
    <w:uiPriority w:val="51"/>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4" w:space="0" w:color="A71930" w:themeColor="accent1"/>
        <w:bottom w:val="single" w:sz="4" w:space="0" w:color="A71930" w:themeColor="accent1"/>
      </w:tblBorders>
    </w:tblPr>
    <w:tblStylePr w:type="firstRow">
      <w:rPr>
        <w:b/>
        <w:bCs/>
      </w:rPr>
      <w:tblPr/>
      <w:tcPr>
        <w:tcBorders>
          <w:bottom w:val="single" w:sz="4" w:space="0" w:color="A71930" w:themeColor="accent1"/>
        </w:tcBorders>
      </w:tcPr>
    </w:tblStylePr>
    <w:tblStylePr w:type="lastRow">
      <w:rPr>
        <w:b/>
        <w:bCs/>
      </w:rPr>
      <w:tblPr/>
      <w:tcPr>
        <w:tcBorders>
          <w:top w:val="double" w:sz="4" w:space="0" w:color="A71930" w:themeColor="accent1"/>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6Colorful-Accent2">
    <w:name w:val="List Table 6 Colorful Accent 2"/>
    <w:basedOn w:val="TableNormal"/>
    <w:uiPriority w:val="51"/>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4" w:space="0" w:color="EBB700" w:themeColor="accent2"/>
        <w:bottom w:val="single" w:sz="4" w:space="0" w:color="EBB700" w:themeColor="accent2"/>
      </w:tblBorders>
    </w:tblPr>
    <w:tblStylePr w:type="firstRow">
      <w:rPr>
        <w:b/>
        <w:bCs/>
      </w:rPr>
      <w:tblPr/>
      <w:tcPr>
        <w:tcBorders>
          <w:bottom w:val="single" w:sz="4" w:space="0" w:color="EBB700" w:themeColor="accent2"/>
        </w:tcBorders>
      </w:tcPr>
    </w:tblStylePr>
    <w:tblStylePr w:type="lastRow">
      <w:rPr>
        <w:b/>
        <w:bCs/>
      </w:rPr>
      <w:tblPr/>
      <w:tcPr>
        <w:tcBorders>
          <w:top w:val="double" w:sz="4" w:space="0" w:color="EBB700" w:themeColor="accent2"/>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6Colorful-Accent3">
    <w:name w:val="List Table 6 Colorful Accent 3"/>
    <w:basedOn w:val="TableNormal"/>
    <w:uiPriority w:val="51"/>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4" w:space="0" w:color="6773B6" w:themeColor="accent3"/>
        <w:bottom w:val="single" w:sz="4" w:space="0" w:color="6773B6" w:themeColor="accent3"/>
      </w:tblBorders>
    </w:tblPr>
    <w:tblStylePr w:type="firstRow">
      <w:rPr>
        <w:b/>
        <w:bCs/>
      </w:rPr>
      <w:tblPr/>
      <w:tcPr>
        <w:tcBorders>
          <w:bottom w:val="single" w:sz="4" w:space="0" w:color="6773B6" w:themeColor="accent3"/>
        </w:tcBorders>
      </w:tcPr>
    </w:tblStylePr>
    <w:tblStylePr w:type="lastRow">
      <w:rPr>
        <w:b/>
        <w:bCs/>
      </w:rPr>
      <w:tblPr/>
      <w:tcPr>
        <w:tcBorders>
          <w:top w:val="double" w:sz="4" w:space="0" w:color="6773B6" w:themeColor="accent3"/>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6Colorful-Accent4">
    <w:name w:val="List Table 6 Colorful Accent 4"/>
    <w:basedOn w:val="TableNormal"/>
    <w:uiPriority w:val="51"/>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4" w:space="0" w:color="A2AD00" w:themeColor="accent4"/>
        <w:bottom w:val="single" w:sz="4" w:space="0" w:color="A2AD00" w:themeColor="accent4"/>
      </w:tblBorders>
    </w:tblPr>
    <w:tblStylePr w:type="firstRow">
      <w:rPr>
        <w:b/>
        <w:bCs/>
      </w:rPr>
      <w:tblPr/>
      <w:tcPr>
        <w:tcBorders>
          <w:bottom w:val="single" w:sz="4" w:space="0" w:color="A2AD00" w:themeColor="accent4"/>
        </w:tcBorders>
      </w:tcPr>
    </w:tblStylePr>
    <w:tblStylePr w:type="lastRow">
      <w:rPr>
        <w:b/>
        <w:bCs/>
      </w:rPr>
      <w:tblPr/>
      <w:tcPr>
        <w:tcBorders>
          <w:top w:val="double" w:sz="4" w:space="0" w:color="A2AD00" w:themeColor="accent4"/>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6Colorful-Accent5">
    <w:name w:val="List Table 6 Colorful Accent 5"/>
    <w:basedOn w:val="TableNormal"/>
    <w:uiPriority w:val="51"/>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4" w:space="0" w:color="8B8D8E" w:themeColor="accent5"/>
        <w:bottom w:val="single" w:sz="4" w:space="0" w:color="8B8D8E" w:themeColor="accent5"/>
      </w:tblBorders>
    </w:tblPr>
    <w:tblStylePr w:type="firstRow">
      <w:rPr>
        <w:b/>
        <w:bCs/>
      </w:rPr>
      <w:tblPr/>
      <w:tcPr>
        <w:tcBorders>
          <w:bottom w:val="single" w:sz="4" w:space="0" w:color="8B8D8E" w:themeColor="accent5"/>
        </w:tcBorders>
      </w:tcPr>
    </w:tblStylePr>
    <w:tblStylePr w:type="lastRow">
      <w:rPr>
        <w:b/>
        <w:bCs/>
      </w:rPr>
      <w:tblPr/>
      <w:tcPr>
        <w:tcBorders>
          <w:top w:val="double" w:sz="4" w:space="0" w:color="8B8D8E" w:themeColor="accent5"/>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6Colorful-Accent6">
    <w:name w:val="List Table 6 Colorful Accent 6"/>
    <w:basedOn w:val="TableNormal"/>
    <w:uiPriority w:val="51"/>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4" w:space="0" w:color="404143" w:themeColor="accent6"/>
        <w:bottom w:val="single" w:sz="4" w:space="0" w:color="404143" w:themeColor="accent6"/>
      </w:tblBorders>
    </w:tblPr>
    <w:tblStylePr w:type="firstRow">
      <w:rPr>
        <w:b/>
        <w:bCs/>
      </w:rPr>
      <w:tblPr/>
      <w:tcPr>
        <w:tcBorders>
          <w:bottom w:val="single" w:sz="4" w:space="0" w:color="404143" w:themeColor="accent6"/>
        </w:tcBorders>
      </w:tcPr>
    </w:tblStylePr>
    <w:tblStylePr w:type="lastRow">
      <w:rPr>
        <w:b/>
        <w:bCs/>
      </w:rPr>
      <w:tblPr/>
      <w:tcPr>
        <w:tcBorders>
          <w:top w:val="double" w:sz="4" w:space="0" w:color="404143" w:themeColor="accent6"/>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7Colorful">
    <w:name w:val="List Table 7 Colorful"/>
    <w:basedOn w:val="TableNormal"/>
    <w:uiPriority w:val="52"/>
    <w:rsid w:val="00F3012E"/>
    <w:rPr>
      <w:rFonts w:asciiTheme="minorHAnsi" w:hAnsiTheme="minorHAnsi" w:cstheme="minorBidi"/>
      <w:color w:val="404143" w:themeColor="text1"/>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14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14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14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143" w:themeColor="text1"/>
        </w:tcBorders>
        <w:shd w:val="clear" w:color="auto" w:fill="FFFFFF" w:themeFill="background1"/>
      </w:tcPr>
    </w:tblStylePr>
    <w:tblStylePr w:type="band1Vert">
      <w:tblPr/>
      <w:tcPr>
        <w:shd w:val="clear" w:color="auto" w:fill="D8D8DA" w:themeFill="text1" w:themeFillTint="33"/>
      </w:tcPr>
    </w:tblStylePr>
    <w:tblStylePr w:type="band1Horz">
      <w:tblPr/>
      <w:tcPr>
        <w:shd w:val="clear" w:color="auto" w:fill="D8D8DA"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012E"/>
    <w:rPr>
      <w:rFonts w:asciiTheme="minorHAnsi" w:hAnsiTheme="minorHAnsi" w:cstheme="minorBidi"/>
      <w:color w:val="7C1223" w:themeColor="accent1"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193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193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193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1930" w:themeColor="accent1"/>
        </w:tcBorders>
        <w:shd w:val="clear" w:color="auto" w:fill="FFFFFF" w:themeFill="background1"/>
      </w:tcPr>
    </w:tblStylePr>
    <w:tblStylePr w:type="band1Vert">
      <w:tblPr/>
      <w:tcPr>
        <w:shd w:val="clear" w:color="auto" w:fill="F6C7CF" w:themeFill="accent1" w:themeFillTint="33"/>
      </w:tcPr>
    </w:tblStylePr>
    <w:tblStylePr w:type="band1Horz">
      <w:tblPr/>
      <w:tcPr>
        <w:shd w:val="clear" w:color="auto" w:fill="F6C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012E"/>
    <w:rPr>
      <w:rFonts w:asciiTheme="minorHAnsi" w:hAnsiTheme="minorHAnsi" w:cstheme="minorBidi"/>
      <w:color w:val="B08800" w:themeColor="accent2"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B7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B7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B7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B700" w:themeColor="accent2"/>
        </w:tcBorders>
        <w:shd w:val="clear" w:color="auto" w:fill="FFFFFF" w:themeFill="background1"/>
      </w:tcPr>
    </w:tblStylePr>
    <w:tblStylePr w:type="band1Vert">
      <w:tblPr/>
      <w:tcPr>
        <w:shd w:val="clear" w:color="auto" w:fill="FFF2C8" w:themeFill="accent2" w:themeFillTint="33"/>
      </w:tcPr>
    </w:tblStylePr>
    <w:tblStylePr w:type="band1Horz">
      <w:tblPr/>
      <w:tcPr>
        <w:shd w:val="clear" w:color="auto" w:fill="FFF2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012E"/>
    <w:rPr>
      <w:rFonts w:asciiTheme="minorHAnsi" w:hAnsiTheme="minorHAnsi" w:cstheme="minorBidi"/>
      <w:color w:val="455090" w:themeColor="accent3"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773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773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773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773B6" w:themeColor="accent3"/>
        </w:tcBorders>
        <w:shd w:val="clear" w:color="auto" w:fill="FFFFFF" w:themeFill="background1"/>
      </w:tcPr>
    </w:tblStylePr>
    <w:tblStylePr w:type="band1Vert">
      <w:tblPr/>
      <w:tcPr>
        <w:shd w:val="clear" w:color="auto" w:fill="E0E2F0" w:themeFill="accent3" w:themeFillTint="33"/>
      </w:tcPr>
    </w:tblStylePr>
    <w:tblStylePr w:type="band1Horz">
      <w:tblPr/>
      <w:tcPr>
        <w:shd w:val="clear" w:color="auto" w:fill="E0E2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012E"/>
    <w:rPr>
      <w:rFonts w:asciiTheme="minorHAnsi" w:hAnsiTheme="minorHAnsi" w:cstheme="minorBidi"/>
      <w:color w:val="788100" w:themeColor="accent4"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2AD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2AD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2AD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2AD00" w:themeColor="accent4"/>
        </w:tcBorders>
        <w:shd w:val="clear" w:color="auto" w:fill="FFFFFF" w:themeFill="background1"/>
      </w:tcPr>
    </w:tblStylePr>
    <w:tblStylePr w:type="band1Vert">
      <w:tblPr/>
      <w:tcPr>
        <w:shd w:val="clear" w:color="auto" w:fill="FAFFBB" w:themeFill="accent4" w:themeFillTint="33"/>
      </w:tcPr>
    </w:tblStylePr>
    <w:tblStylePr w:type="band1Horz">
      <w:tblPr/>
      <w:tcPr>
        <w:shd w:val="clear" w:color="auto" w:fill="FAFFB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012E"/>
    <w:rPr>
      <w:rFonts w:asciiTheme="minorHAnsi" w:hAnsiTheme="minorHAnsi" w:cstheme="minorBidi"/>
      <w:color w:val="67696A" w:themeColor="accent5"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8D8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8D8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8D8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8D8E" w:themeColor="accent5"/>
        </w:tcBorders>
        <w:shd w:val="clear" w:color="auto" w:fill="FFFFFF" w:themeFill="background1"/>
      </w:tcPr>
    </w:tblStylePr>
    <w:tblStylePr w:type="band1Vert">
      <w:tblPr/>
      <w:tcPr>
        <w:shd w:val="clear" w:color="auto" w:fill="E7E8E8" w:themeFill="accent5" w:themeFillTint="33"/>
      </w:tcPr>
    </w:tblStylePr>
    <w:tblStylePr w:type="band1Horz">
      <w:tblPr/>
      <w:tcPr>
        <w:shd w:val="clear" w:color="auto" w:fill="E7E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012E"/>
    <w:rPr>
      <w:rFonts w:asciiTheme="minorHAnsi" w:hAnsiTheme="minorHAnsi" w:cstheme="minorBidi"/>
      <w:color w:val="303032" w:themeColor="accent6"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14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14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14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143" w:themeColor="accent6"/>
        </w:tcBorders>
        <w:shd w:val="clear" w:color="auto" w:fill="FFFFFF" w:themeFill="background1"/>
      </w:tcPr>
    </w:tblStylePr>
    <w:tblStylePr w:type="band1Vert">
      <w:tblPr/>
      <w:tcPr>
        <w:shd w:val="clear" w:color="auto" w:fill="D8D8DA" w:themeFill="accent6" w:themeFillTint="33"/>
      </w:tcPr>
    </w:tblStylePr>
    <w:tblStylePr w:type="band1Horz">
      <w:tblPr/>
      <w:tcPr>
        <w:shd w:val="clear" w:color="auto" w:fill="D8D8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single" w:sz="8" w:space="0" w:color="6E7073" w:themeColor="text1" w:themeTint="BF"/>
        <w:insideV w:val="single" w:sz="8" w:space="0" w:color="6E7073" w:themeColor="text1" w:themeTint="BF"/>
      </w:tblBorders>
    </w:tblPr>
    <w:tcPr>
      <w:shd w:val="clear" w:color="auto" w:fill="CFCFD1" w:themeFill="text1" w:themeFillTint="3F"/>
    </w:tcPr>
    <w:tblStylePr w:type="firstRow">
      <w:rPr>
        <w:b/>
        <w:bCs/>
      </w:rPr>
    </w:tblStylePr>
    <w:tblStylePr w:type="lastRow">
      <w:rPr>
        <w:b/>
        <w:bCs/>
      </w:rPr>
      <w:tblPr/>
      <w:tcPr>
        <w:tcBorders>
          <w:top w:val="single" w:sz="18" w:space="0" w:color="6E7073" w:themeColor="text1" w:themeTint="BF"/>
        </w:tcBorders>
      </w:tcPr>
    </w:tblStylePr>
    <w:tblStylePr w:type="firstCol">
      <w:rPr>
        <w:b/>
        <w:bCs/>
      </w:rPr>
    </w:tblStylePr>
    <w:tblStylePr w:type="lastCol">
      <w:rPr>
        <w:b/>
        <w:bCs/>
      </w:rPr>
    </w:tblStylePr>
    <w:tblStylePr w:type="band1Vert">
      <w:tblPr/>
      <w:tcPr>
        <w:shd w:val="clear" w:color="auto" w:fill="9E9FA2" w:themeFill="text1" w:themeFillTint="7F"/>
      </w:tcPr>
    </w:tblStylePr>
    <w:tblStylePr w:type="band1Horz">
      <w:tblPr/>
      <w:tcPr>
        <w:shd w:val="clear" w:color="auto" w:fill="9E9FA2" w:themeFill="text1" w:themeFillTint="7F"/>
      </w:tcPr>
    </w:tblStylePr>
  </w:style>
  <w:style w:type="table" w:styleId="MediumGrid1-Accent1">
    <w:name w:val="Medium Grid 1 Accent 1"/>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single" w:sz="8" w:space="0" w:color="E02F4C" w:themeColor="accent1" w:themeTint="BF"/>
        <w:insideV w:val="single" w:sz="8" w:space="0" w:color="E02F4C" w:themeColor="accent1" w:themeTint="BF"/>
      </w:tblBorders>
    </w:tblPr>
    <w:tcPr>
      <w:shd w:val="clear" w:color="auto" w:fill="F4BAC3" w:themeFill="accent1" w:themeFillTint="3F"/>
    </w:tcPr>
    <w:tblStylePr w:type="firstRow">
      <w:rPr>
        <w:b/>
        <w:bCs/>
      </w:rPr>
    </w:tblStylePr>
    <w:tblStylePr w:type="lastRow">
      <w:rPr>
        <w:b/>
        <w:bCs/>
      </w:rPr>
      <w:tblPr/>
      <w:tcPr>
        <w:tcBorders>
          <w:top w:val="single" w:sz="18" w:space="0" w:color="E02F4C" w:themeColor="accent1" w:themeTint="BF"/>
        </w:tcBorders>
      </w:tcPr>
    </w:tblStylePr>
    <w:tblStylePr w:type="firstCol">
      <w:rPr>
        <w:b/>
        <w:bCs/>
      </w:rPr>
    </w:tblStylePr>
    <w:tblStylePr w:type="lastCol">
      <w:rPr>
        <w:b/>
        <w:bCs/>
      </w:rPr>
    </w:tblStylePr>
    <w:tblStylePr w:type="band1Vert">
      <w:tblPr/>
      <w:tcPr>
        <w:shd w:val="clear" w:color="auto" w:fill="EA7587" w:themeFill="accent1" w:themeFillTint="7F"/>
      </w:tcPr>
    </w:tblStylePr>
    <w:tblStylePr w:type="band1Horz">
      <w:tblPr/>
      <w:tcPr>
        <w:shd w:val="clear" w:color="auto" w:fill="EA7587" w:themeFill="accent1" w:themeFillTint="7F"/>
      </w:tcPr>
    </w:tblStylePr>
  </w:style>
  <w:style w:type="table" w:styleId="MediumGrid1-Accent2">
    <w:name w:val="Medium Grid 1 Accent 2"/>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single" w:sz="8" w:space="0" w:color="FFD031" w:themeColor="accent2" w:themeTint="BF"/>
        <w:insideV w:val="single" w:sz="8" w:space="0" w:color="FFD031" w:themeColor="accent2" w:themeTint="BF"/>
      </w:tblBorders>
    </w:tblPr>
    <w:tcPr>
      <w:shd w:val="clear" w:color="auto" w:fill="FFEFBB" w:themeFill="accent2" w:themeFillTint="3F"/>
    </w:tcPr>
    <w:tblStylePr w:type="firstRow">
      <w:rPr>
        <w:b/>
        <w:bCs/>
      </w:rPr>
    </w:tblStylePr>
    <w:tblStylePr w:type="lastRow">
      <w:rPr>
        <w:b/>
        <w:bCs/>
      </w:rPr>
      <w:tblPr/>
      <w:tcPr>
        <w:tcBorders>
          <w:top w:val="single" w:sz="18" w:space="0" w:color="FFD031" w:themeColor="accent2" w:themeTint="BF"/>
        </w:tcBorders>
      </w:tcPr>
    </w:tblStylePr>
    <w:tblStylePr w:type="firstCol">
      <w:rPr>
        <w:b/>
        <w:bCs/>
      </w:rPr>
    </w:tblStylePr>
    <w:tblStylePr w:type="lastCol">
      <w:rPr>
        <w:b/>
        <w:bCs/>
      </w:rPr>
    </w:tblStylePr>
    <w:tblStylePr w:type="band1Vert">
      <w:tblPr/>
      <w:tcPr>
        <w:shd w:val="clear" w:color="auto" w:fill="FFE076" w:themeFill="accent2" w:themeFillTint="7F"/>
      </w:tcPr>
    </w:tblStylePr>
    <w:tblStylePr w:type="band1Horz">
      <w:tblPr/>
      <w:tcPr>
        <w:shd w:val="clear" w:color="auto" w:fill="FFE076" w:themeFill="accent2" w:themeFillTint="7F"/>
      </w:tcPr>
    </w:tblStylePr>
  </w:style>
  <w:style w:type="table" w:styleId="MediumGrid1-Accent3">
    <w:name w:val="Medium Grid 1 Accent 3"/>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single" w:sz="8" w:space="0" w:color="8D95C8" w:themeColor="accent3" w:themeTint="BF"/>
        <w:insideV w:val="single" w:sz="8" w:space="0" w:color="8D95C8" w:themeColor="accent3" w:themeTint="BF"/>
      </w:tblBorders>
    </w:tblPr>
    <w:tcPr>
      <w:shd w:val="clear" w:color="auto" w:fill="D9DCED" w:themeFill="accent3" w:themeFillTint="3F"/>
    </w:tcPr>
    <w:tblStylePr w:type="firstRow">
      <w:rPr>
        <w:b/>
        <w:bCs/>
      </w:rPr>
    </w:tblStylePr>
    <w:tblStylePr w:type="lastRow">
      <w:rPr>
        <w:b/>
        <w:bCs/>
      </w:rPr>
      <w:tblPr/>
      <w:tcPr>
        <w:tcBorders>
          <w:top w:val="single" w:sz="18" w:space="0" w:color="8D95C8" w:themeColor="accent3" w:themeTint="BF"/>
        </w:tcBorders>
      </w:tcPr>
    </w:tblStylePr>
    <w:tblStylePr w:type="firstCol">
      <w:rPr>
        <w:b/>
        <w:bCs/>
      </w:rPr>
    </w:tblStylePr>
    <w:tblStylePr w:type="lastCol">
      <w:rPr>
        <w:b/>
        <w:bCs/>
      </w:rPr>
    </w:tblStylePr>
    <w:tblStylePr w:type="band1Vert">
      <w:tblPr/>
      <w:tcPr>
        <w:shd w:val="clear" w:color="auto" w:fill="B3B8DA" w:themeFill="accent3" w:themeFillTint="7F"/>
      </w:tcPr>
    </w:tblStylePr>
    <w:tblStylePr w:type="band1Horz">
      <w:tblPr/>
      <w:tcPr>
        <w:shd w:val="clear" w:color="auto" w:fill="B3B8DA" w:themeFill="accent3" w:themeFillTint="7F"/>
      </w:tcPr>
    </w:tblStylePr>
  </w:style>
  <w:style w:type="table" w:styleId="MediumGrid1-Accent4">
    <w:name w:val="Medium Grid 1 Accent 4"/>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single" w:sz="8" w:space="0" w:color="EEFF02" w:themeColor="accent4" w:themeTint="BF"/>
        <w:insideV w:val="single" w:sz="8" w:space="0" w:color="EEFF02" w:themeColor="accent4" w:themeTint="BF"/>
      </w:tblBorders>
    </w:tblPr>
    <w:tcPr>
      <w:shd w:val="clear" w:color="auto" w:fill="F9FFAB" w:themeFill="accent4" w:themeFillTint="3F"/>
    </w:tcPr>
    <w:tblStylePr w:type="firstRow">
      <w:rPr>
        <w:b/>
        <w:bCs/>
      </w:rPr>
    </w:tblStylePr>
    <w:tblStylePr w:type="lastRow">
      <w:rPr>
        <w:b/>
        <w:bCs/>
      </w:rPr>
      <w:tblPr/>
      <w:tcPr>
        <w:tcBorders>
          <w:top w:val="single" w:sz="18" w:space="0" w:color="EEFF02" w:themeColor="accent4" w:themeTint="BF"/>
        </w:tcBorders>
      </w:tcPr>
    </w:tblStylePr>
    <w:tblStylePr w:type="firstCol">
      <w:rPr>
        <w:b/>
        <w:bCs/>
      </w:rPr>
    </w:tblStylePr>
    <w:tblStylePr w:type="lastCol">
      <w:rPr>
        <w:b/>
        <w:bCs/>
      </w:rPr>
    </w:tblStylePr>
    <w:tblStylePr w:type="band1Vert">
      <w:tblPr/>
      <w:tcPr>
        <w:shd w:val="clear" w:color="auto" w:fill="F3FF57" w:themeFill="accent4" w:themeFillTint="7F"/>
      </w:tcPr>
    </w:tblStylePr>
    <w:tblStylePr w:type="band1Horz">
      <w:tblPr/>
      <w:tcPr>
        <w:shd w:val="clear" w:color="auto" w:fill="F3FF57" w:themeFill="accent4" w:themeFillTint="7F"/>
      </w:tcPr>
    </w:tblStylePr>
  </w:style>
  <w:style w:type="table" w:styleId="MediumGrid1-Accent5">
    <w:name w:val="Medium Grid 1 Accent 5"/>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single" w:sz="8" w:space="0" w:color="A8A9AA" w:themeColor="accent5" w:themeTint="BF"/>
        <w:insideV w:val="single" w:sz="8" w:space="0" w:color="A8A9AA" w:themeColor="accent5" w:themeTint="BF"/>
      </w:tblBorders>
    </w:tblPr>
    <w:tcPr>
      <w:shd w:val="clear" w:color="auto" w:fill="E2E2E3" w:themeFill="accent5" w:themeFillTint="3F"/>
    </w:tcPr>
    <w:tblStylePr w:type="firstRow">
      <w:rPr>
        <w:b/>
        <w:bCs/>
      </w:rPr>
    </w:tblStylePr>
    <w:tblStylePr w:type="lastRow">
      <w:rPr>
        <w:b/>
        <w:bCs/>
      </w:rPr>
      <w:tblPr/>
      <w:tcPr>
        <w:tcBorders>
          <w:top w:val="single" w:sz="18" w:space="0" w:color="A8A9AA" w:themeColor="accent5" w:themeTint="BF"/>
        </w:tcBorders>
      </w:tcPr>
    </w:tblStylePr>
    <w:tblStylePr w:type="firstCol">
      <w:rPr>
        <w:b/>
        <w:bCs/>
      </w:rPr>
    </w:tblStylePr>
    <w:tblStylePr w:type="lastCol">
      <w:rPr>
        <w:b/>
        <w:bCs/>
      </w:rPr>
    </w:tblStylePr>
    <w:tblStylePr w:type="band1Vert">
      <w:tblPr/>
      <w:tcPr>
        <w:shd w:val="clear" w:color="auto" w:fill="C5C6C6" w:themeFill="accent5" w:themeFillTint="7F"/>
      </w:tcPr>
    </w:tblStylePr>
    <w:tblStylePr w:type="band1Horz">
      <w:tblPr/>
      <w:tcPr>
        <w:shd w:val="clear" w:color="auto" w:fill="C5C6C6" w:themeFill="accent5" w:themeFillTint="7F"/>
      </w:tcPr>
    </w:tblStylePr>
  </w:style>
  <w:style w:type="table" w:styleId="MediumGrid1-Accent6">
    <w:name w:val="Medium Grid 1 Accent 6"/>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single" w:sz="8" w:space="0" w:color="6E7073" w:themeColor="accent6" w:themeTint="BF"/>
        <w:insideV w:val="single" w:sz="8" w:space="0" w:color="6E7073" w:themeColor="accent6" w:themeTint="BF"/>
      </w:tblBorders>
    </w:tblPr>
    <w:tcPr>
      <w:shd w:val="clear" w:color="auto" w:fill="CFCFD1" w:themeFill="accent6" w:themeFillTint="3F"/>
    </w:tcPr>
    <w:tblStylePr w:type="firstRow">
      <w:rPr>
        <w:b/>
        <w:bCs/>
      </w:rPr>
    </w:tblStylePr>
    <w:tblStylePr w:type="lastRow">
      <w:rPr>
        <w:b/>
        <w:bCs/>
      </w:rPr>
      <w:tblPr/>
      <w:tcPr>
        <w:tcBorders>
          <w:top w:val="single" w:sz="18" w:space="0" w:color="6E7073" w:themeColor="accent6" w:themeTint="BF"/>
        </w:tcBorders>
      </w:tcPr>
    </w:tblStylePr>
    <w:tblStylePr w:type="firstCol">
      <w:rPr>
        <w:b/>
        <w:bCs/>
      </w:rPr>
    </w:tblStylePr>
    <w:tblStylePr w:type="lastCol">
      <w:rPr>
        <w:b/>
        <w:bCs/>
      </w:rPr>
    </w:tblStylePr>
    <w:tblStylePr w:type="band1Vert">
      <w:tblPr/>
      <w:tcPr>
        <w:shd w:val="clear" w:color="auto" w:fill="9E9FA2" w:themeFill="accent6" w:themeFillTint="7F"/>
      </w:tcPr>
    </w:tblStylePr>
    <w:tblStylePr w:type="band1Horz">
      <w:tblPr/>
      <w:tcPr>
        <w:shd w:val="clear" w:color="auto" w:fill="9E9FA2" w:themeFill="accent6" w:themeFillTint="7F"/>
      </w:tcPr>
    </w:tblStylePr>
  </w:style>
  <w:style w:type="table" w:styleId="MediumGrid2">
    <w:name w:val="Medium Grid 2"/>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insideH w:val="single" w:sz="8" w:space="0" w:color="404143" w:themeColor="text1"/>
        <w:insideV w:val="single" w:sz="8" w:space="0" w:color="404143" w:themeColor="text1"/>
      </w:tblBorders>
    </w:tblPr>
    <w:tcPr>
      <w:shd w:val="clear" w:color="auto" w:fill="CFCFD1" w:themeFill="text1" w:themeFillTint="3F"/>
    </w:tcPr>
    <w:tblStylePr w:type="firstRow">
      <w:rPr>
        <w:b/>
        <w:bCs/>
        <w:color w:val="404143" w:themeColor="text1"/>
      </w:rPr>
      <w:tblPr/>
      <w:tcPr>
        <w:shd w:val="clear" w:color="auto" w:fill="EBECEC" w:themeFill="text1"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D8D8DA" w:themeFill="text1" w:themeFillTint="33"/>
      </w:tcPr>
    </w:tblStylePr>
    <w:tblStylePr w:type="band1Vert">
      <w:tblPr/>
      <w:tcPr>
        <w:shd w:val="clear" w:color="auto" w:fill="9E9FA2" w:themeFill="text1" w:themeFillTint="7F"/>
      </w:tcPr>
    </w:tblStylePr>
    <w:tblStylePr w:type="band1Horz">
      <w:tblPr/>
      <w:tcPr>
        <w:tcBorders>
          <w:insideH w:val="single" w:sz="6" w:space="0" w:color="404143" w:themeColor="text1"/>
          <w:insideV w:val="single" w:sz="6" w:space="0" w:color="404143" w:themeColor="text1"/>
        </w:tcBorders>
        <w:shd w:val="clear" w:color="auto" w:fill="9E9FA2"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insideH w:val="single" w:sz="8" w:space="0" w:color="A71930" w:themeColor="accent1"/>
        <w:insideV w:val="single" w:sz="8" w:space="0" w:color="A71930" w:themeColor="accent1"/>
      </w:tblBorders>
    </w:tblPr>
    <w:tcPr>
      <w:shd w:val="clear" w:color="auto" w:fill="F4BAC3" w:themeFill="accent1" w:themeFillTint="3F"/>
    </w:tcPr>
    <w:tblStylePr w:type="firstRow">
      <w:rPr>
        <w:b/>
        <w:bCs/>
        <w:color w:val="404143" w:themeColor="text1"/>
      </w:rPr>
      <w:tblPr/>
      <w:tcPr>
        <w:shd w:val="clear" w:color="auto" w:fill="FBE3E7" w:themeFill="accent1"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F6C7CF" w:themeFill="accent1" w:themeFillTint="33"/>
      </w:tcPr>
    </w:tblStylePr>
    <w:tblStylePr w:type="band1Vert">
      <w:tblPr/>
      <w:tcPr>
        <w:shd w:val="clear" w:color="auto" w:fill="EA7587" w:themeFill="accent1" w:themeFillTint="7F"/>
      </w:tcPr>
    </w:tblStylePr>
    <w:tblStylePr w:type="band1Horz">
      <w:tblPr/>
      <w:tcPr>
        <w:tcBorders>
          <w:insideH w:val="single" w:sz="6" w:space="0" w:color="A71930" w:themeColor="accent1"/>
          <w:insideV w:val="single" w:sz="6" w:space="0" w:color="A71930" w:themeColor="accent1"/>
        </w:tcBorders>
        <w:shd w:val="clear" w:color="auto" w:fill="EA758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insideH w:val="single" w:sz="8" w:space="0" w:color="EBB700" w:themeColor="accent2"/>
        <w:insideV w:val="single" w:sz="8" w:space="0" w:color="EBB700" w:themeColor="accent2"/>
      </w:tblBorders>
    </w:tblPr>
    <w:tcPr>
      <w:shd w:val="clear" w:color="auto" w:fill="FFEFBB" w:themeFill="accent2" w:themeFillTint="3F"/>
    </w:tcPr>
    <w:tblStylePr w:type="firstRow">
      <w:rPr>
        <w:b/>
        <w:bCs/>
        <w:color w:val="404143" w:themeColor="text1"/>
      </w:rPr>
      <w:tblPr/>
      <w:tcPr>
        <w:shd w:val="clear" w:color="auto" w:fill="FFF8E4" w:themeFill="accent2"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FFF2C8" w:themeFill="accent2" w:themeFillTint="33"/>
      </w:tcPr>
    </w:tblStylePr>
    <w:tblStylePr w:type="band1Vert">
      <w:tblPr/>
      <w:tcPr>
        <w:shd w:val="clear" w:color="auto" w:fill="FFE076" w:themeFill="accent2" w:themeFillTint="7F"/>
      </w:tcPr>
    </w:tblStylePr>
    <w:tblStylePr w:type="band1Horz">
      <w:tblPr/>
      <w:tcPr>
        <w:tcBorders>
          <w:insideH w:val="single" w:sz="6" w:space="0" w:color="EBB700" w:themeColor="accent2"/>
          <w:insideV w:val="single" w:sz="6" w:space="0" w:color="EBB700" w:themeColor="accent2"/>
        </w:tcBorders>
        <w:shd w:val="clear" w:color="auto" w:fill="FFE07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insideH w:val="single" w:sz="8" w:space="0" w:color="6773B6" w:themeColor="accent3"/>
        <w:insideV w:val="single" w:sz="8" w:space="0" w:color="6773B6" w:themeColor="accent3"/>
      </w:tblBorders>
    </w:tblPr>
    <w:tcPr>
      <w:shd w:val="clear" w:color="auto" w:fill="D9DCED" w:themeFill="accent3" w:themeFillTint="3F"/>
    </w:tcPr>
    <w:tblStylePr w:type="firstRow">
      <w:rPr>
        <w:b/>
        <w:bCs/>
        <w:color w:val="404143" w:themeColor="text1"/>
      </w:rPr>
      <w:tblPr/>
      <w:tcPr>
        <w:shd w:val="clear" w:color="auto" w:fill="EFF1F7" w:themeFill="accent3"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E0E2F0" w:themeFill="accent3" w:themeFillTint="33"/>
      </w:tcPr>
    </w:tblStylePr>
    <w:tblStylePr w:type="band1Vert">
      <w:tblPr/>
      <w:tcPr>
        <w:shd w:val="clear" w:color="auto" w:fill="B3B8DA" w:themeFill="accent3" w:themeFillTint="7F"/>
      </w:tcPr>
    </w:tblStylePr>
    <w:tblStylePr w:type="band1Horz">
      <w:tblPr/>
      <w:tcPr>
        <w:tcBorders>
          <w:insideH w:val="single" w:sz="6" w:space="0" w:color="6773B6" w:themeColor="accent3"/>
          <w:insideV w:val="single" w:sz="6" w:space="0" w:color="6773B6" w:themeColor="accent3"/>
        </w:tcBorders>
        <w:shd w:val="clear" w:color="auto" w:fill="B3B8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insideH w:val="single" w:sz="8" w:space="0" w:color="A2AD00" w:themeColor="accent4"/>
        <w:insideV w:val="single" w:sz="8" w:space="0" w:color="A2AD00" w:themeColor="accent4"/>
      </w:tblBorders>
    </w:tblPr>
    <w:tcPr>
      <w:shd w:val="clear" w:color="auto" w:fill="F9FFAB" w:themeFill="accent4" w:themeFillTint="3F"/>
    </w:tcPr>
    <w:tblStylePr w:type="firstRow">
      <w:rPr>
        <w:b/>
        <w:bCs/>
        <w:color w:val="404143" w:themeColor="text1"/>
      </w:rPr>
      <w:tblPr/>
      <w:tcPr>
        <w:shd w:val="clear" w:color="auto" w:fill="FCFFDD" w:themeFill="accent4"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FAFFBB" w:themeFill="accent4" w:themeFillTint="33"/>
      </w:tcPr>
    </w:tblStylePr>
    <w:tblStylePr w:type="band1Vert">
      <w:tblPr/>
      <w:tcPr>
        <w:shd w:val="clear" w:color="auto" w:fill="F3FF57" w:themeFill="accent4" w:themeFillTint="7F"/>
      </w:tcPr>
    </w:tblStylePr>
    <w:tblStylePr w:type="band1Horz">
      <w:tblPr/>
      <w:tcPr>
        <w:tcBorders>
          <w:insideH w:val="single" w:sz="6" w:space="0" w:color="A2AD00" w:themeColor="accent4"/>
          <w:insideV w:val="single" w:sz="6" w:space="0" w:color="A2AD00" w:themeColor="accent4"/>
        </w:tcBorders>
        <w:shd w:val="clear" w:color="auto" w:fill="F3FF5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insideH w:val="single" w:sz="8" w:space="0" w:color="8B8D8E" w:themeColor="accent5"/>
        <w:insideV w:val="single" w:sz="8" w:space="0" w:color="8B8D8E" w:themeColor="accent5"/>
      </w:tblBorders>
    </w:tblPr>
    <w:tcPr>
      <w:shd w:val="clear" w:color="auto" w:fill="E2E2E3" w:themeFill="accent5" w:themeFillTint="3F"/>
    </w:tcPr>
    <w:tblStylePr w:type="firstRow">
      <w:rPr>
        <w:b/>
        <w:bCs/>
        <w:color w:val="404143" w:themeColor="text1"/>
      </w:rPr>
      <w:tblPr/>
      <w:tcPr>
        <w:shd w:val="clear" w:color="auto" w:fill="F3F3F3" w:themeFill="accent5"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E7E8E8" w:themeFill="accent5" w:themeFillTint="33"/>
      </w:tcPr>
    </w:tblStylePr>
    <w:tblStylePr w:type="band1Vert">
      <w:tblPr/>
      <w:tcPr>
        <w:shd w:val="clear" w:color="auto" w:fill="C5C6C6" w:themeFill="accent5" w:themeFillTint="7F"/>
      </w:tcPr>
    </w:tblStylePr>
    <w:tblStylePr w:type="band1Horz">
      <w:tblPr/>
      <w:tcPr>
        <w:tcBorders>
          <w:insideH w:val="single" w:sz="6" w:space="0" w:color="8B8D8E" w:themeColor="accent5"/>
          <w:insideV w:val="single" w:sz="6" w:space="0" w:color="8B8D8E" w:themeColor="accent5"/>
        </w:tcBorders>
        <w:shd w:val="clear" w:color="auto" w:fill="C5C6C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insideH w:val="single" w:sz="8" w:space="0" w:color="404143" w:themeColor="accent6"/>
        <w:insideV w:val="single" w:sz="8" w:space="0" w:color="404143" w:themeColor="accent6"/>
      </w:tblBorders>
    </w:tblPr>
    <w:tcPr>
      <w:shd w:val="clear" w:color="auto" w:fill="CFCFD1" w:themeFill="accent6" w:themeFillTint="3F"/>
    </w:tcPr>
    <w:tblStylePr w:type="firstRow">
      <w:rPr>
        <w:b/>
        <w:bCs/>
        <w:color w:val="404143" w:themeColor="text1"/>
      </w:rPr>
      <w:tblPr/>
      <w:tcPr>
        <w:shd w:val="clear" w:color="auto" w:fill="EBECEC" w:themeFill="accent6"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D8D8DA" w:themeFill="accent6" w:themeFillTint="33"/>
      </w:tcPr>
    </w:tblStylePr>
    <w:tblStylePr w:type="band1Vert">
      <w:tblPr/>
      <w:tcPr>
        <w:shd w:val="clear" w:color="auto" w:fill="9E9FA2" w:themeFill="accent6" w:themeFillTint="7F"/>
      </w:tcPr>
    </w:tblStylePr>
    <w:tblStylePr w:type="band1Horz">
      <w:tblPr/>
      <w:tcPr>
        <w:tcBorders>
          <w:insideH w:val="single" w:sz="6" w:space="0" w:color="404143" w:themeColor="accent6"/>
          <w:insideV w:val="single" w:sz="6" w:space="0" w:color="404143" w:themeColor="accent6"/>
        </w:tcBorders>
        <w:shd w:val="clear" w:color="auto" w:fill="9E9F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1"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14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14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14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14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FA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FA2" w:themeFill="text1" w:themeFillTint="7F"/>
      </w:tcPr>
    </w:tblStylePr>
  </w:style>
  <w:style w:type="table" w:styleId="MediumGrid3-Accent1">
    <w:name w:val="Medium Grid 3 Accent 1"/>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A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193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193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193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193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58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587" w:themeFill="accent1" w:themeFillTint="7F"/>
      </w:tcPr>
    </w:tblStylePr>
  </w:style>
  <w:style w:type="table" w:styleId="MediumGrid3-Accent2">
    <w:name w:val="Medium Grid 3 Accent 2"/>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B7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B7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B7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B7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07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076" w:themeFill="accent2" w:themeFillTint="7F"/>
      </w:tcPr>
    </w:tblStylePr>
  </w:style>
  <w:style w:type="table" w:styleId="MediumGrid3-Accent3">
    <w:name w:val="Medium Grid 3 Accent 3"/>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C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3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3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3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3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B8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B8DA" w:themeFill="accent3" w:themeFillTint="7F"/>
      </w:tcPr>
    </w:tblStylePr>
  </w:style>
  <w:style w:type="table" w:styleId="MediumGrid3-Accent4">
    <w:name w:val="Medium Grid 3 Accent 4"/>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FA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D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D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D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AD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F5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F57" w:themeFill="accent4" w:themeFillTint="7F"/>
      </w:tcPr>
    </w:tblStylePr>
  </w:style>
  <w:style w:type="table" w:styleId="MediumGrid3-Accent5">
    <w:name w:val="Medium Grid 3 Accent 5"/>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2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8D8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8D8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8D8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8D8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6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6C6" w:themeFill="accent5" w:themeFillTint="7F"/>
      </w:tcPr>
    </w:tblStylePr>
  </w:style>
  <w:style w:type="table" w:styleId="MediumGrid3-Accent6">
    <w:name w:val="Medium Grid 3 Accent 6"/>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14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14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14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14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F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FA2" w:themeFill="accent6" w:themeFillTint="7F"/>
      </w:tcPr>
    </w:tblStylePr>
  </w:style>
  <w:style w:type="table" w:styleId="MediumList1">
    <w:name w:val="Medium List 1"/>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404143" w:themeColor="text1"/>
        <w:bottom w:val="single" w:sz="8" w:space="0" w:color="404143" w:themeColor="text1"/>
      </w:tblBorders>
    </w:tblPr>
    <w:tblStylePr w:type="firstRow">
      <w:rPr>
        <w:rFonts w:asciiTheme="majorHAnsi" w:eastAsiaTheme="majorEastAsia" w:hAnsiTheme="majorHAnsi" w:cstheme="majorBidi"/>
      </w:rPr>
      <w:tblPr/>
      <w:tcPr>
        <w:tcBorders>
          <w:top w:val="nil"/>
          <w:bottom w:val="single" w:sz="8" w:space="0" w:color="404143" w:themeColor="text1"/>
        </w:tcBorders>
      </w:tcPr>
    </w:tblStylePr>
    <w:tblStylePr w:type="lastRow">
      <w:rPr>
        <w:b/>
        <w:bCs/>
        <w:color w:val="404144" w:themeColor="text2"/>
      </w:rPr>
      <w:tblPr/>
      <w:tcPr>
        <w:tcBorders>
          <w:top w:val="single" w:sz="8" w:space="0" w:color="404143" w:themeColor="text1"/>
          <w:bottom w:val="single" w:sz="8" w:space="0" w:color="404143" w:themeColor="text1"/>
        </w:tcBorders>
      </w:tcPr>
    </w:tblStylePr>
    <w:tblStylePr w:type="firstCol">
      <w:rPr>
        <w:b/>
        <w:bCs/>
      </w:rPr>
    </w:tblStylePr>
    <w:tblStylePr w:type="lastCol">
      <w:rPr>
        <w:b/>
        <w:bCs/>
      </w:rPr>
      <w:tblPr/>
      <w:tcPr>
        <w:tcBorders>
          <w:top w:val="single" w:sz="8" w:space="0" w:color="404143" w:themeColor="text1"/>
          <w:bottom w:val="single" w:sz="8" w:space="0" w:color="404143" w:themeColor="text1"/>
        </w:tcBorders>
      </w:tcPr>
    </w:tblStylePr>
    <w:tblStylePr w:type="band1Vert">
      <w:tblPr/>
      <w:tcPr>
        <w:shd w:val="clear" w:color="auto" w:fill="CFCFD1" w:themeFill="text1" w:themeFillTint="3F"/>
      </w:tcPr>
    </w:tblStylePr>
    <w:tblStylePr w:type="band1Horz">
      <w:tblPr/>
      <w:tcPr>
        <w:shd w:val="clear" w:color="auto" w:fill="CFCFD1" w:themeFill="text1" w:themeFillTint="3F"/>
      </w:tcPr>
    </w:tblStylePr>
  </w:style>
  <w:style w:type="table" w:styleId="MediumList1-Accent1">
    <w:name w:val="Medium List 1 Accent 1"/>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A71930" w:themeColor="accent1"/>
        <w:bottom w:val="single" w:sz="8" w:space="0" w:color="A71930" w:themeColor="accent1"/>
      </w:tblBorders>
    </w:tblPr>
    <w:tblStylePr w:type="firstRow">
      <w:rPr>
        <w:rFonts w:asciiTheme="majorHAnsi" w:eastAsiaTheme="majorEastAsia" w:hAnsiTheme="majorHAnsi" w:cstheme="majorBidi"/>
      </w:rPr>
      <w:tblPr/>
      <w:tcPr>
        <w:tcBorders>
          <w:top w:val="nil"/>
          <w:bottom w:val="single" w:sz="8" w:space="0" w:color="A71930" w:themeColor="accent1"/>
        </w:tcBorders>
      </w:tcPr>
    </w:tblStylePr>
    <w:tblStylePr w:type="lastRow">
      <w:rPr>
        <w:b/>
        <w:bCs/>
        <w:color w:val="404144" w:themeColor="text2"/>
      </w:rPr>
      <w:tblPr/>
      <w:tcPr>
        <w:tcBorders>
          <w:top w:val="single" w:sz="8" w:space="0" w:color="A71930" w:themeColor="accent1"/>
          <w:bottom w:val="single" w:sz="8" w:space="0" w:color="A71930" w:themeColor="accent1"/>
        </w:tcBorders>
      </w:tcPr>
    </w:tblStylePr>
    <w:tblStylePr w:type="firstCol">
      <w:rPr>
        <w:b/>
        <w:bCs/>
      </w:rPr>
    </w:tblStylePr>
    <w:tblStylePr w:type="lastCol">
      <w:rPr>
        <w:b/>
        <w:bCs/>
      </w:rPr>
      <w:tblPr/>
      <w:tcPr>
        <w:tcBorders>
          <w:top w:val="single" w:sz="8" w:space="0" w:color="A71930" w:themeColor="accent1"/>
          <w:bottom w:val="single" w:sz="8" w:space="0" w:color="A71930" w:themeColor="accent1"/>
        </w:tcBorders>
      </w:tcPr>
    </w:tblStylePr>
    <w:tblStylePr w:type="band1Vert">
      <w:tblPr/>
      <w:tcPr>
        <w:shd w:val="clear" w:color="auto" w:fill="F4BAC3" w:themeFill="accent1" w:themeFillTint="3F"/>
      </w:tcPr>
    </w:tblStylePr>
    <w:tblStylePr w:type="band1Horz">
      <w:tblPr/>
      <w:tcPr>
        <w:shd w:val="clear" w:color="auto" w:fill="F4BAC3" w:themeFill="accent1" w:themeFillTint="3F"/>
      </w:tcPr>
    </w:tblStylePr>
  </w:style>
  <w:style w:type="table" w:styleId="MediumList1-Accent2">
    <w:name w:val="Medium List 1 Accent 2"/>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EBB700" w:themeColor="accent2"/>
        <w:bottom w:val="single" w:sz="8" w:space="0" w:color="EBB700" w:themeColor="accent2"/>
      </w:tblBorders>
    </w:tblPr>
    <w:tblStylePr w:type="firstRow">
      <w:rPr>
        <w:rFonts w:asciiTheme="majorHAnsi" w:eastAsiaTheme="majorEastAsia" w:hAnsiTheme="majorHAnsi" w:cstheme="majorBidi"/>
      </w:rPr>
      <w:tblPr/>
      <w:tcPr>
        <w:tcBorders>
          <w:top w:val="nil"/>
          <w:bottom w:val="single" w:sz="8" w:space="0" w:color="EBB700" w:themeColor="accent2"/>
        </w:tcBorders>
      </w:tcPr>
    </w:tblStylePr>
    <w:tblStylePr w:type="lastRow">
      <w:rPr>
        <w:b/>
        <w:bCs/>
        <w:color w:val="404144" w:themeColor="text2"/>
      </w:rPr>
      <w:tblPr/>
      <w:tcPr>
        <w:tcBorders>
          <w:top w:val="single" w:sz="8" w:space="0" w:color="EBB700" w:themeColor="accent2"/>
          <w:bottom w:val="single" w:sz="8" w:space="0" w:color="EBB700" w:themeColor="accent2"/>
        </w:tcBorders>
      </w:tcPr>
    </w:tblStylePr>
    <w:tblStylePr w:type="firstCol">
      <w:rPr>
        <w:b/>
        <w:bCs/>
      </w:rPr>
    </w:tblStylePr>
    <w:tblStylePr w:type="lastCol">
      <w:rPr>
        <w:b/>
        <w:bCs/>
      </w:rPr>
      <w:tblPr/>
      <w:tcPr>
        <w:tcBorders>
          <w:top w:val="single" w:sz="8" w:space="0" w:color="EBB700" w:themeColor="accent2"/>
          <w:bottom w:val="single" w:sz="8" w:space="0" w:color="EBB700" w:themeColor="accent2"/>
        </w:tcBorders>
      </w:tcPr>
    </w:tblStylePr>
    <w:tblStylePr w:type="band1Vert">
      <w:tblPr/>
      <w:tcPr>
        <w:shd w:val="clear" w:color="auto" w:fill="FFEFBB" w:themeFill="accent2" w:themeFillTint="3F"/>
      </w:tcPr>
    </w:tblStylePr>
    <w:tblStylePr w:type="band1Horz">
      <w:tblPr/>
      <w:tcPr>
        <w:shd w:val="clear" w:color="auto" w:fill="FFEFBB" w:themeFill="accent2" w:themeFillTint="3F"/>
      </w:tcPr>
    </w:tblStylePr>
  </w:style>
  <w:style w:type="table" w:styleId="MediumList1-Accent3">
    <w:name w:val="Medium List 1 Accent 3"/>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6773B6" w:themeColor="accent3"/>
        <w:bottom w:val="single" w:sz="8" w:space="0" w:color="6773B6" w:themeColor="accent3"/>
      </w:tblBorders>
    </w:tblPr>
    <w:tblStylePr w:type="firstRow">
      <w:rPr>
        <w:rFonts w:asciiTheme="majorHAnsi" w:eastAsiaTheme="majorEastAsia" w:hAnsiTheme="majorHAnsi" w:cstheme="majorBidi"/>
      </w:rPr>
      <w:tblPr/>
      <w:tcPr>
        <w:tcBorders>
          <w:top w:val="nil"/>
          <w:bottom w:val="single" w:sz="8" w:space="0" w:color="6773B6" w:themeColor="accent3"/>
        </w:tcBorders>
      </w:tcPr>
    </w:tblStylePr>
    <w:tblStylePr w:type="lastRow">
      <w:rPr>
        <w:b/>
        <w:bCs/>
        <w:color w:val="404144" w:themeColor="text2"/>
      </w:rPr>
      <w:tblPr/>
      <w:tcPr>
        <w:tcBorders>
          <w:top w:val="single" w:sz="8" w:space="0" w:color="6773B6" w:themeColor="accent3"/>
          <w:bottom w:val="single" w:sz="8" w:space="0" w:color="6773B6" w:themeColor="accent3"/>
        </w:tcBorders>
      </w:tcPr>
    </w:tblStylePr>
    <w:tblStylePr w:type="firstCol">
      <w:rPr>
        <w:b/>
        <w:bCs/>
      </w:rPr>
    </w:tblStylePr>
    <w:tblStylePr w:type="lastCol">
      <w:rPr>
        <w:b/>
        <w:bCs/>
      </w:rPr>
      <w:tblPr/>
      <w:tcPr>
        <w:tcBorders>
          <w:top w:val="single" w:sz="8" w:space="0" w:color="6773B6" w:themeColor="accent3"/>
          <w:bottom w:val="single" w:sz="8" w:space="0" w:color="6773B6" w:themeColor="accent3"/>
        </w:tcBorders>
      </w:tcPr>
    </w:tblStylePr>
    <w:tblStylePr w:type="band1Vert">
      <w:tblPr/>
      <w:tcPr>
        <w:shd w:val="clear" w:color="auto" w:fill="D9DCED" w:themeFill="accent3" w:themeFillTint="3F"/>
      </w:tcPr>
    </w:tblStylePr>
    <w:tblStylePr w:type="band1Horz">
      <w:tblPr/>
      <w:tcPr>
        <w:shd w:val="clear" w:color="auto" w:fill="D9DCED" w:themeFill="accent3" w:themeFillTint="3F"/>
      </w:tcPr>
    </w:tblStylePr>
  </w:style>
  <w:style w:type="table" w:styleId="MediumList1-Accent4">
    <w:name w:val="Medium List 1 Accent 4"/>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A2AD00" w:themeColor="accent4"/>
        <w:bottom w:val="single" w:sz="8" w:space="0" w:color="A2AD00" w:themeColor="accent4"/>
      </w:tblBorders>
    </w:tblPr>
    <w:tblStylePr w:type="firstRow">
      <w:rPr>
        <w:rFonts w:asciiTheme="majorHAnsi" w:eastAsiaTheme="majorEastAsia" w:hAnsiTheme="majorHAnsi" w:cstheme="majorBidi"/>
      </w:rPr>
      <w:tblPr/>
      <w:tcPr>
        <w:tcBorders>
          <w:top w:val="nil"/>
          <w:bottom w:val="single" w:sz="8" w:space="0" w:color="A2AD00" w:themeColor="accent4"/>
        </w:tcBorders>
      </w:tcPr>
    </w:tblStylePr>
    <w:tblStylePr w:type="lastRow">
      <w:rPr>
        <w:b/>
        <w:bCs/>
        <w:color w:val="404144" w:themeColor="text2"/>
      </w:rPr>
      <w:tblPr/>
      <w:tcPr>
        <w:tcBorders>
          <w:top w:val="single" w:sz="8" w:space="0" w:color="A2AD00" w:themeColor="accent4"/>
          <w:bottom w:val="single" w:sz="8" w:space="0" w:color="A2AD00" w:themeColor="accent4"/>
        </w:tcBorders>
      </w:tcPr>
    </w:tblStylePr>
    <w:tblStylePr w:type="firstCol">
      <w:rPr>
        <w:b/>
        <w:bCs/>
      </w:rPr>
    </w:tblStylePr>
    <w:tblStylePr w:type="lastCol">
      <w:rPr>
        <w:b/>
        <w:bCs/>
      </w:rPr>
      <w:tblPr/>
      <w:tcPr>
        <w:tcBorders>
          <w:top w:val="single" w:sz="8" w:space="0" w:color="A2AD00" w:themeColor="accent4"/>
          <w:bottom w:val="single" w:sz="8" w:space="0" w:color="A2AD00" w:themeColor="accent4"/>
        </w:tcBorders>
      </w:tcPr>
    </w:tblStylePr>
    <w:tblStylePr w:type="band1Vert">
      <w:tblPr/>
      <w:tcPr>
        <w:shd w:val="clear" w:color="auto" w:fill="F9FFAB" w:themeFill="accent4" w:themeFillTint="3F"/>
      </w:tcPr>
    </w:tblStylePr>
    <w:tblStylePr w:type="band1Horz">
      <w:tblPr/>
      <w:tcPr>
        <w:shd w:val="clear" w:color="auto" w:fill="F9FFAB" w:themeFill="accent4" w:themeFillTint="3F"/>
      </w:tcPr>
    </w:tblStylePr>
  </w:style>
  <w:style w:type="table" w:styleId="MediumList1-Accent5">
    <w:name w:val="Medium List 1 Accent 5"/>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8B8D8E" w:themeColor="accent5"/>
        <w:bottom w:val="single" w:sz="8" w:space="0" w:color="8B8D8E" w:themeColor="accent5"/>
      </w:tblBorders>
    </w:tblPr>
    <w:tblStylePr w:type="firstRow">
      <w:rPr>
        <w:rFonts w:asciiTheme="majorHAnsi" w:eastAsiaTheme="majorEastAsia" w:hAnsiTheme="majorHAnsi" w:cstheme="majorBidi"/>
      </w:rPr>
      <w:tblPr/>
      <w:tcPr>
        <w:tcBorders>
          <w:top w:val="nil"/>
          <w:bottom w:val="single" w:sz="8" w:space="0" w:color="8B8D8E" w:themeColor="accent5"/>
        </w:tcBorders>
      </w:tcPr>
    </w:tblStylePr>
    <w:tblStylePr w:type="lastRow">
      <w:rPr>
        <w:b/>
        <w:bCs/>
        <w:color w:val="404144" w:themeColor="text2"/>
      </w:rPr>
      <w:tblPr/>
      <w:tcPr>
        <w:tcBorders>
          <w:top w:val="single" w:sz="8" w:space="0" w:color="8B8D8E" w:themeColor="accent5"/>
          <w:bottom w:val="single" w:sz="8" w:space="0" w:color="8B8D8E" w:themeColor="accent5"/>
        </w:tcBorders>
      </w:tcPr>
    </w:tblStylePr>
    <w:tblStylePr w:type="firstCol">
      <w:rPr>
        <w:b/>
        <w:bCs/>
      </w:rPr>
    </w:tblStylePr>
    <w:tblStylePr w:type="lastCol">
      <w:rPr>
        <w:b/>
        <w:bCs/>
      </w:rPr>
      <w:tblPr/>
      <w:tcPr>
        <w:tcBorders>
          <w:top w:val="single" w:sz="8" w:space="0" w:color="8B8D8E" w:themeColor="accent5"/>
          <w:bottom w:val="single" w:sz="8" w:space="0" w:color="8B8D8E" w:themeColor="accent5"/>
        </w:tcBorders>
      </w:tcPr>
    </w:tblStylePr>
    <w:tblStylePr w:type="band1Vert">
      <w:tblPr/>
      <w:tcPr>
        <w:shd w:val="clear" w:color="auto" w:fill="E2E2E3" w:themeFill="accent5" w:themeFillTint="3F"/>
      </w:tcPr>
    </w:tblStylePr>
    <w:tblStylePr w:type="band1Horz">
      <w:tblPr/>
      <w:tcPr>
        <w:shd w:val="clear" w:color="auto" w:fill="E2E2E3" w:themeFill="accent5" w:themeFillTint="3F"/>
      </w:tcPr>
    </w:tblStylePr>
  </w:style>
  <w:style w:type="table" w:styleId="MediumList1-Accent6">
    <w:name w:val="Medium List 1 Accent 6"/>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404143" w:themeColor="accent6"/>
        <w:bottom w:val="single" w:sz="8" w:space="0" w:color="404143" w:themeColor="accent6"/>
      </w:tblBorders>
    </w:tblPr>
    <w:tblStylePr w:type="firstRow">
      <w:rPr>
        <w:rFonts w:asciiTheme="majorHAnsi" w:eastAsiaTheme="majorEastAsia" w:hAnsiTheme="majorHAnsi" w:cstheme="majorBidi"/>
      </w:rPr>
      <w:tblPr/>
      <w:tcPr>
        <w:tcBorders>
          <w:top w:val="nil"/>
          <w:bottom w:val="single" w:sz="8" w:space="0" w:color="404143" w:themeColor="accent6"/>
        </w:tcBorders>
      </w:tcPr>
    </w:tblStylePr>
    <w:tblStylePr w:type="lastRow">
      <w:rPr>
        <w:b/>
        <w:bCs/>
        <w:color w:val="404144" w:themeColor="text2"/>
      </w:rPr>
      <w:tblPr/>
      <w:tcPr>
        <w:tcBorders>
          <w:top w:val="single" w:sz="8" w:space="0" w:color="404143" w:themeColor="accent6"/>
          <w:bottom w:val="single" w:sz="8" w:space="0" w:color="404143" w:themeColor="accent6"/>
        </w:tcBorders>
      </w:tcPr>
    </w:tblStylePr>
    <w:tblStylePr w:type="firstCol">
      <w:rPr>
        <w:b/>
        <w:bCs/>
      </w:rPr>
    </w:tblStylePr>
    <w:tblStylePr w:type="lastCol">
      <w:rPr>
        <w:b/>
        <w:bCs/>
      </w:rPr>
      <w:tblPr/>
      <w:tcPr>
        <w:tcBorders>
          <w:top w:val="single" w:sz="8" w:space="0" w:color="404143" w:themeColor="accent6"/>
          <w:bottom w:val="single" w:sz="8" w:space="0" w:color="404143" w:themeColor="accent6"/>
        </w:tcBorders>
      </w:tcPr>
    </w:tblStylePr>
    <w:tblStylePr w:type="band1Vert">
      <w:tblPr/>
      <w:tcPr>
        <w:shd w:val="clear" w:color="auto" w:fill="CFCFD1" w:themeFill="accent6" w:themeFillTint="3F"/>
      </w:tcPr>
    </w:tblStylePr>
    <w:tblStylePr w:type="band1Horz">
      <w:tblPr/>
      <w:tcPr>
        <w:shd w:val="clear" w:color="auto" w:fill="CFCFD1" w:themeFill="accent6" w:themeFillTint="3F"/>
      </w:tcPr>
    </w:tblStylePr>
  </w:style>
  <w:style w:type="table" w:styleId="MediumList2">
    <w:name w:val="Medium List 2"/>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tblBorders>
    </w:tblPr>
    <w:tblStylePr w:type="firstRow">
      <w:rPr>
        <w:sz w:val="24"/>
        <w:szCs w:val="24"/>
      </w:rPr>
      <w:tblPr/>
      <w:tcPr>
        <w:tcBorders>
          <w:top w:val="nil"/>
          <w:left w:val="nil"/>
          <w:bottom w:val="single" w:sz="24" w:space="0" w:color="404143"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143" w:themeColor="text1"/>
          <w:insideH w:val="nil"/>
          <w:insideV w:val="nil"/>
        </w:tcBorders>
        <w:shd w:val="clear" w:color="auto" w:fill="FFFFFF" w:themeFill="background1"/>
      </w:tcPr>
    </w:tblStylePr>
    <w:tblStylePr w:type="lastCol">
      <w:tblPr/>
      <w:tcPr>
        <w:tcBorders>
          <w:top w:val="nil"/>
          <w:left w:val="single" w:sz="8" w:space="0" w:color="40414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1" w:themeFill="text1" w:themeFillTint="3F"/>
      </w:tcPr>
    </w:tblStylePr>
    <w:tblStylePr w:type="band1Horz">
      <w:tblPr/>
      <w:tcPr>
        <w:tcBorders>
          <w:top w:val="nil"/>
          <w:bottom w:val="nil"/>
          <w:insideH w:val="nil"/>
          <w:insideV w:val="nil"/>
        </w:tcBorders>
        <w:shd w:val="clear" w:color="auto" w:fill="CFCFD1"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tblBorders>
    </w:tblPr>
    <w:tblStylePr w:type="firstRow">
      <w:rPr>
        <w:sz w:val="24"/>
        <w:szCs w:val="24"/>
      </w:rPr>
      <w:tblPr/>
      <w:tcPr>
        <w:tcBorders>
          <w:top w:val="nil"/>
          <w:left w:val="nil"/>
          <w:bottom w:val="single" w:sz="24" w:space="0" w:color="A7193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1930" w:themeColor="accent1"/>
          <w:insideH w:val="nil"/>
          <w:insideV w:val="nil"/>
        </w:tcBorders>
        <w:shd w:val="clear" w:color="auto" w:fill="FFFFFF" w:themeFill="background1"/>
      </w:tcPr>
    </w:tblStylePr>
    <w:tblStylePr w:type="lastCol">
      <w:tblPr/>
      <w:tcPr>
        <w:tcBorders>
          <w:top w:val="nil"/>
          <w:left w:val="single" w:sz="8" w:space="0" w:color="A7193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AC3" w:themeFill="accent1" w:themeFillTint="3F"/>
      </w:tcPr>
    </w:tblStylePr>
    <w:tblStylePr w:type="band1Horz">
      <w:tblPr/>
      <w:tcPr>
        <w:tcBorders>
          <w:top w:val="nil"/>
          <w:bottom w:val="nil"/>
          <w:insideH w:val="nil"/>
          <w:insideV w:val="nil"/>
        </w:tcBorders>
        <w:shd w:val="clear" w:color="auto" w:fill="F4BA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tblBorders>
    </w:tblPr>
    <w:tblStylePr w:type="firstRow">
      <w:rPr>
        <w:sz w:val="24"/>
        <w:szCs w:val="24"/>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B700" w:themeColor="accent2"/>
          <w:insideH w:val="nil"/>
          <w:insideV w:val="nil"/>
        </w:tcBorders>
        <w:shd w:val="clear" w:color="auto" w:fill="FFFFFF" w:themeFill="background1"/>
      </w:tcPr>
    </w:tblStylePr>
    <w:tblStylePr w:type="lastCol">
      <w:tblPr/>
      <w:tcPr>
        <w:tcBorders>
          <w:top w:val="nil"/>
          <w:left w:val="single" w:sz="8" w:space="0" w:color="EBB7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B" w:themeFill="accent2" w:themeFillTint="3F"/>
      </w:tcPr>
    </w:tblStylePr>
    <w:tblStylePr w:type="band1Horz">
      <w:tblPr/>
      <w:tcPr>
        <w:tcBorders>
          <w:top w:val="nil"/>
          <w:bottom w:val="nil"/>
          <w:insideH w:val="nil"/>
          <w:insideV w:val="nil"/>
        </w:tcBorders>
        <w:shd w:val="clear" w:color="auto" w:fill="FFEF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tblBorders>
    </w:tblPr>
    <w:tblStylePr w:type="firstRow">
      <w:rPr>
        <w:sz w:val="24"/>
        <w:szCs w:val="24"/>
      </w:rPr>
      <w:tblPr/>
      <w:tcPr>
        <w:tcBorders>
          <w:top w:val="nil"/>
          <w:left w:val="nil"/>
          <w:bottom w:val="single" w:sz="24" w:space="0" w:color="6773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3B6" w:themeColor="accent3"/>
          <w:insideH w:val="nil"/>
          <w:insideV w:val="nil"/>
        </w:tcBorders>
        <w:shd w:val="clear" w:color="auto" w:fill="FFFFFF" w:themeFill="background1"/>
      </w:tcPr>
    </w:tblStylePr>
    <w:tblStylePr w:type="lastCol">
      <w:tblPr/>
      <w:tcPr>
        <w:tcBorders>
          <w:top w:val="nil"/>
          <w:left w:val="single" w:sz="8" w:space="0" w:color="6773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CED" w:themeFill="accent3" w:themeFillTint="3F"/>
      </w:tcPr>
    </w:tblStylePr>
    <w:tblStylePr w:type="band1Horz">
      <w:tblPr/>
      <w:tcPr>
        <w:tcBorders>
          <w:top w:val="nil"/>
          <w:bottom w:val="nil"/>
          <w:insideH w:val="nil"/>
          <w:insideV w:val="nil"/>
        </w:tcBorders>
        <w:shd w:val="clear" w:color="auto" w:fill="D9DC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tblBorders>
    </w:tblPr>
    <w:tblStylePr w:type="firstRow">
      <w:rPr>
        <w:sz w:val="24"/>
        <w:szCs w:val="24"/>
      </w:rPr>
      <w:tblPr/>
      <w:tcPr>
        <w:tcBorders>
          <w:top w:val="nil"/>
          <w:left w:val="nil"/>
          <w:bottom w:val="single" w:sz="24" w:space="0" w:color="A2AD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AD00" w:themeColor="accent4"/>
          <w:insideH w:val="nil"/>
          <w:insideV w:val="nil"/>
        </w:tcBorders>
        <w:shd w:val="clear" w:color="auto" w:fill="FFFFFF" w:themeFill="background1"/>
      </w:tcPr>
    </w:tblStylePr>
    <w:tblStylePr w:type="lastCol">
      <w:tblPr/>
      <w:tcPr>
        <w:tcBorders>
          <w:top w:val="nil"/>
          <w:left w:val="single" w:sz="8" w:space="0" w:color="A2AD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FAB" w:themeFill="accent4" w:themeFillTint="3F"/>
      </w:tcPr>
    </w:tblStylePr>
    <w:tblStylePr w:type="band1Horz">
      <w:tblPr/>
      <w:tcPr>
        <w:tcBorders>
          <w:top w:val="nil"/>
          <w:bottom w:val="nil"/>
          <w:insideH w:val="nil"/>
          <w:insideV w:val="nil"/>
        </w:tcBorders>
        <w:shd w:val="clear" w:color="auto" w:fill="F9FFA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tblBorders>
    </w:tblPr>
    <w:tblStylePr w:type="firstRow">
      <w:rPr>
        <w:sz w:val="24"/>
        <w:szCs w:val="24"/>
      </w:rPr>
      <w:tblPr/>
      <w:tcPr>
        <w:tcBorders>
          <w:top w:val="nil"/>
          <w:left w:val="nil"/>
          <w:bottom w:val="single" w:sz="24" w:space="0" w:color="8B8D8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8D8E" w:themeColor="accent5"/>
          <w:insideH w:val="nil"/>
          <w:insideV w:val="nil"/>
        </w:tcBorders>
        <w:shd w:val="clear" w:color="auto" w:fill="FFFFFF" w:themeFill="background1"/>
      </w:tcPr>
    </w:tblStylePr>
    <w:tblStylePr w:type="lastCol">
      <w:tblPr/>
      <w:tcPr>
        <w:tcBorders>
          <w:top w:val="nil"/>
          <w:left w:val="single" w:sz="8" w:space="0" w:color="8B8D8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2E3" w:themeFill="accent5" w:themeFillTint="3F"/>
      </w:tcPr>
    </w:tblStylePr>
    <w:tblStylePr w:type="band1Horz">
      <w:tblPr/>
      <w:tcPr>
        <w:tcBorders>
          <w:top w:val="nil"/>
          <w:bottom w:val="nil"/>
          <w:insideH w:val="nil"/>
          <w:insideV w:val="nil"/>
        </w:tcBorders>
        <w:shd w:val="clear" w:color="auto" w:fill="E2E2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tblBorders>
    </w:tblPr>
    <w:tblStylePr w:type="firstRow">
      <w:rPr>
        <w:sz w:val="24"/>
        <w:szCs w:val="24"/>
      </w:rPr>
      <w:tblPr/>
      <w:tcPr>
        <w:tcBorders>
          <w:top w:val="nil"/>
          <w:left w:val="nil"/>
          <w:bottom w:val="single" w:sz="24" w:space="0" w:color="40414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143" w:themeColor="accent6"/>
          <w:insideH w:val="nil"/>
          <w:insideV w:val="nil"/>
        </w:tcBorders>
        <w:shd w:val="clear" w:color="auto" w:fill="FFFFFF" w:themeFill="background1"/>
      </w:tcPr>
    </w:tblStylePr>
    <w:tblStylePr w:type="lastCol">
      <w:tblPr/>
      <w:tcPr>
        <w:tcBorders>
          <w:top w:val="nil"/>
          <w:left w:val="single" w:sz="8" w:space="0" w:color="40414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1" w:themeFill="accent6" w:themeFillTint="3F"/>
      </w:tcPr>
    </w:tblStylePr>
    <w:tblStylePr w:type="band1Horz">
      <w:tblPr/>
      <w:tcPr>
        <w:tcBorders>
          <w:top w:val="nil"/>
          <w:bottom w:val="nil"/>
          <w:insideH w:val="nil"/>
          <w:insideV w:val="nil"/>
        </w:tcBorders>
        <w:shd w:val="clear" w:color="auto" w:fill="CFCF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single" w:sz="8" w:space="0" w:color="6E7073" w:themeColor="text1" w:themeTint="BF"/>
      </w:tblBorders>
    </w:tblPr>
    <w:tblStylePr w:type="firstRow">
      <w:pPr>
        <w:spacing w:before="0" w:after="0" w:line="240" w:lineRule="auto"/>
      </w:pPr>
      <w:rPr>
        <w:b/>
        <w:bCs/>
        <w:color w:val="FFFFFF" w:themeColor="background1"/>
      </w:rPr>
      <w:tblPr/>
      <w:tcPr>
        <w:tcBorders>
          <w:top w:val="single" w:sz="8"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nil"/>
          <w:insideV w:val="nil"/>
        </w:tcBorders>
        <w:shd w:val="clear" w:color="auto" w:fill="404143" w:themeFill="text1"/>
      </w:tcPr>
    </w:tblStylePr>
    <w:tblStylePr w:type="lastRow">
      <w:pPr>
        <w:spacing w:before="0" w:after="0" w:line="240" w:lineRule="auto"/>
      </w:pPr>
      <w:rPr>
        <w:b/>
        <w:bCs/>
      </w:rPr>
      <w:tblPr/>
      <w:tcPr>
        <w:tcBorders>
          <w:top w:val="double" w:sz="6"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1" w:themeFill="text1" w:themeFillTint="3F"/>
      </w:tcPr>
    </w:tblStylePr>
    <w:tblStylePr w:type="band1Horz">
      <w:tblPr/>
      <w:tcPr>
        <w:tcBorders>
          <w:insideH w:val="nil"/>
          <w:insideV w:val="nil"/>
        </w:tcBorders>
        <w:shd w:val="clear" w:color="auto" w:fill="CFCFD1"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single" w:sz="8" w:space="0" w:color="E02F4C" w:themeColor="accent1" w:themeTint="BF"/>
      </w:tblBorders>
    </w:tblPr>
    <w:tblStylePr w:type="firstRow">
      <w:pPr>
        <w:spacing w:before="0" w:after="0" w:line="240" w:lineRule="auto"/>
      </w:pPr>
      <w:rPr>
        <w:b/>
        <w:bCs/>
        <w:color w:val="FFFFFF" w:themeColor="background1"/>
      </w:rPr>
      <w:tblPr/>
      <w:tcPr>
        <w:tcBorders>
          <w:top w:val="single" w:sz="8"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nil"/>
          <w:insideV w:val="nil"/>
        </w:tcBorders>
        <w:shd w:val="clear" w:color="auto" w:fill="A71930" w:themeFill="accent1"/>
      </w:tcPr>
    </w:tblStylePr>
    <w:tblStylePr w:type="lastRow">
      <w:pPr>
        <w:spacing w:before="0" w:after="0" w:line="240" w:lineRule="auto"/>
      </w:pPr>
      <w:rPr>
        <w:b/>
        <w:bCs/>
      </w:rPr>
      <w:tblPr/>
      <w:tcPr>
        <w:tcBorders>
          <w:top w:val="double" w:sz="6"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BAC3" w:themeFill="accent1" w:themeFillTint="3F"/>
      </w:tcPr>
    </w:tblStylePr>
    <w:tblStylePr w:type="band1Horz">
      <w:tblPr/>
      <w:tcPr>
        <w:tcBorders>
          <w:insideH w:val="nil"/>
          <w:insideV w:val="nil"/>
        </w:tcBorders>
        <w:shd w:val="clear" w:color="auto" w:fill="F4BAC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single" w:sz="8" w:space="0" w:color="FFD031" w:themeColor="accent2" w:themeTint="BF"/>
      </w:tblBorders>
    </w:tblPr>
    <w:tblStylePr w:type="firstRow">
      <w:pPr>
        <w:spacing w:before="0" w:after="0" w:line="240" w:lineRule="auto"/>
      </w:pPr>
      <w:rPr>
        <w:b/>
        <w:bCs/>
        <w:color w:val="FFFFFF" w:themeColor="background1"/>
      </w:rPr>
      <w:tblPr/>
      <w:tcPr>
        <w:tcBorders>
          <w:top w:val="single" w:sz="8"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nil"/>
          <w:insideV w:val="nil"/>
        </w:tcBorders>
        <w:shd w:val="clear" w:color="auto" w:fill="EBB700" w:themeFill="accent2"/>
      </w:tcPr>
    </w:tblStylePr>
    <w:tblStylePr w:type="lastRow">
      <w:pPr>
        <w:spacing w:before="0" w:after="0" w:line="240" w:lineRule="auto"/>
      </w:pPr>
      <w:rPr>
        <w:b/>
        <w:bCs/>
      </w:rPr>
      <w:tblPr/>
      <w:tcPr>
        <w:tcBorders>
          <w:top w:val="double" w:sz="6"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FBB" w:themeFill="accent2" w:themeFillTint="3F"/>
      </w:tcPr>
    </w:tblStylePr>
    <w:tblStylePr w:type="band1Horz">
      <w:tblPr/>
      <w:tcPr>
        <w:tcBorders>
          <w:insideH w:val="nil"/>
          <w:insideV w:val="nil"/>
        </w:tcBorders>
        <w:shd w:val="clear" w:color="auto" w:fill="FFEF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single" w:sz="8" w:space="0" w:color="8D95C8" w:themeColor="accent3" w:themeTint="BF"/>
      </w:tblBorders>
    </w:tblPr>
    <w:tblStylePr w:type="firstRow">
      <w:pPr>
        <w:spacing w:before="0" w:after="0" w:line="240" w:lineRule="auto"/>
      </w:pPr>
      <w:rPr>
        <w:b/>
        <w:bCs/>
        <w:color w:val="FFFFFF" w:themeColor="background1"/>
      </w:rPr>
      <w:tblPr/>
      <w:tcPr>
        <w:tcBorders>
          <w:top w:val="single" w:sz="8"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nil"/>
          <w:insideV w:val="nil"/>
        </w:tcBorders>
        <w:shd w:val="clear" w:color="auto" w:fill="6773B6" w:themeFill="accent3"/>
      </w:tcPr>
    </w:tblStylePr>
    <w:tblStylePr w:type="lastRow">
      <w:pPr>
        <w:spacing w:before="0" w:after="0" w:line="240" w:lineRule="auto"/>
      </w:pPr>
      <w:rPr>
        <w:b/>
        <w:bCs/>
      </w:rPr>
      <w:tblPr/>
      <w:tcPr>
        <w:tcBorders>
          <w:top w:val="double" w:sz="6"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9DCED" w:themeFill="accent3" w:themeFillTint="3F"/>
      </w:tcPr>
    </w:tblStylePr>
    <w:tblStylePr w:type="band1Horz">
      <w:tblPr/>
      <w:tcPr>
        <w:tcBorders>
          <w:insideH w:val="nil"/>
          <w:insideV w:val="nil"/>
        </w:tcBorders>
        <w:shd w:val="clear" w:color="auto" w:fill="D9DC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single" w:sz="8" w:space="0" w:color="EEFF02" w:themeColor="accent4" w:themeTint="BF"/>
      </w:tblBorders>
    </w:tblPr>
    <w:tblStylePr w:type="firstRow">
      <w:pPr>
        <w:spacing w:before="0" w:after="0" w:line="240" w:lineRule="auto"/>
      </w:pPr>
      <w:rPr>
        <w:b/>
        <w:bCs/>
        <w:color w:val="FFFFFF" w:themeColor="background1"/>
      </w:rPr>
      <w:tblPr/>
      <w:tcPr>
        <w:tcBorders>
          <w:top w:val="single" w:sz="8"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nil"/>
          <w:insideV w:val="nil"/>
        </w:tcBorders>
        <w:shd w:val="clear" w:color="auto" w:fill="A2AD00" w:themeFill="accent4"/>
      </w:tcPr>
    </w:tblStylePr>
    <w:tblStylePr w:type="lastRow">
      <w:pPr>
        <w:spacing w:before="0" w:after="0" w:line="240" w:lineRule="auto"/>
      </w:pPr>
      <w:rPr>
        <w:b/>
        <w:bCs/>
      </w:rPr>
      <w:tblPr/>
      <w:tcPr>
        <w:tcBorders>
          <w:top w:val="double" w:sz="6"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FAB" w:themeFill="accent4" w:themeFillTint="3F"/>
      </w:tcPr>
    </w:tblStylePr>
    <w:tblStylePr w:type="band1Horz">
      <w:tblPr/>
      <w:tcPr>
        <w:tcBorders>
          <w:insideH w:val="nil"/>
          <w:insideV w:val="nil"/>
        </w:tcBorders>
        <w:shd w:val="clear" w:color="auto" w:fill="F9FFA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single" w:sz="8" w:space="0" w:color="A8A9AA" w:themeColor="accent5" w:themeTint="BF"/>
      </w:tblBorders>
    </w:tblPr>
    <w:tblStylePr w:type="firstRow">
      <w:pPr>
        <w:spacing w:before="0" w:after="0" w:line="240" w:lineRule="auto"/>
      </w:pPr>
      <w:rPr>
        <w:b/>
        <w:bCs/>
        <w:color w:val="FFFFFF" w:themeColor="background1"/>
      </w:rPr>
      <w:tblPr/>
      <w:tcPr>
        <w:tcBorders>
          <w:top w:val="single" w:sz="8"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nil"/>
          <w:insideV w:val="nil"/>
        </w:tcBorders>
        <w:shd w:val="clear" w:color="auto" w:fill="8B8D8E" w:themeFill="accent5"/>
      </w:tcPr>
    </w:tblStylePr>
    <w:tblStylePr w:type="lastRow">
      <w:pPr>
        <w:spacing w:before="0" w:after="0" w:line="240" w:lineRule="auto"/>
      </w:pPr>
      <w:rPr>
        <w:b/>
        <w:bCs/>
      </w:rPr>
      <w:tblPr/>
      <w:tcPr>
        <w:tcBorders>
          <w:top w:val="double" w:sz="6"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E2E3" w:themeFill="accent5" w:themeFillTint="3F"/>
      </w:tcPr>
    </w:tblStylePr>
    <w:tblStylePr w:type="band1Horz">
      <w:tblPr/>
      <w:tcPr>
        <w:tcBorders>
          <w:insideH w:val="nil"/>
          <w:insideV w:val="nil"/>
        </w:tcBorders>
        <w:shd w:val="clear" w:color="auto" w:fill="E2E2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single" w:sz="8" w:space="0" w:color="6E7073" w:themeColor="accent6" w:themeTint="BF"/>
      </w:tblBorders>
    </w:tblPr>
    <w:tblStylePr w:type="firstRow">
      <w:pPr>
        <w:spacing w:before="0" w:after="0" w:line="240" w:lineRule="auto"/>
      </w:pPr>
      <w:rPr>
        <w:b/>
        <w:bCs/>
        <w:color w:val="FFFFFF" w:themeColor="background1"/>
      </w:rPr>
      <w:tblPr/>
      <w:tcPr>
        <w:tcBorders>
          <w:top w:val="single" w:sz="8"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nil"/>
          <w:insideV w:val="nil"/>
        </w:tcBorders>
        <w:shd w:val="clear" w:color="auto" w:fill="404143" w:themeFill="accent6"/>
      </w:tcPr>
    </w:tblStylePr>
    <w:tblStylePr w:type="lastRow">
      <w:pPr>
        <w:spacing w:before="0" w:after="0" w:line="240" w:lineRule="auto"/>
      </w:pPr>
      <w:rPr>
        <w:b/>
        <w:bCs/>
      </w:rPr>
      <w:tblPr/>
      <w:tcPr>
        <w:tcBorders>
          <w:top w:val="double" w:sz="6"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CFD1" w:themeFill="accent6" w:themeFillTint="3F"/>
      </w:tcPr>
    </w:tblStylePr>
    <w:tblStylePr w:type="band1Horz">
      <w:tblPr/>
      <w:tcPr>
        <w:tcBorders>
          <w:insideH w:val="nil"/>
          <w:insideV w:val="nil"/>
        </w:tcBorders>
        <w:shd w:val="clear" w:color="auto" w:fill="CFCF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14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143" w:themeFill="text1"/>
      </w:tcPr>
    </w:tblStylePr>
    <w:tblStylePr w:type="lastCol">
      <w:rPr>
        <w:b/>
        <w:bCs/>
        <w:color w:val="FFFFFF" w:themeColor="background1"/>
      </w:rPr>
      <w:tblPr/>
      <w:tcPr>
        <w:tcBorders>
          <w:left w:val="nil"/>
          <w:right w:val="nil"/>
          <w:insideH w:val="nil"/>
          <w:insideV w:val="nil"/>
        </w:tcBorders>
        <w:shd w:val="clear" w:color="auto" w:fill="40414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193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1930" w:themeFill="accent1"/>
      </w:tcPr>
    </w:tblStylePr>
    <w:tblStylePr w:type="lastCol">
      <w:rPr>
        <w:b/>
        <w:bCs/>
        <w:color w:val="FFFFFF" w:themeColor="background1"/>
      </w:rPr>
      <w:tblPr/>
      <w:tcPr>
        <w:tcBorders>
          <w:left w:val="nil"/>
          <w:right w:val="nil"/>
          <w:insideH w:val="nil"/>
          <w:insideV w:val="nil"/>
        </w:tcBorders>
        <w:shd w:val="clear" w:color="auto" w:fill="A7193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B7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B700" w:themeFill="accent2"/>
      </w:tcPr>
    </w:tblStylePr>
    <w:tblStylePr w:type="lastCol">
      <w:rPr>
        <w:b/>
        <w:bCs/>
        <w:color w:val="FFFFFF" w:themeColor="background1"/>
      </w:rPr>
      <w:tblPr/>
      <w:tcPr>
        <w:tcBorders>
          <w:left w:val="nil"/>
          <w:right w:val="nil"/>
          <w:insideH w:val="nil"/>
          <w:insideV w:val="nil"/>
        </w:tcBorders>
        <w:shd w:val="clear" w:color="auto" w:fill="EBB7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3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773B6" w:themeFill="accent3"/>
      </w:tcPr>
    </w:tblStylePr>
    <w:tblStylePr w:type="lastCol">
      <w:rPr>
        <w:b/>
        <w:bCs/>
        <w:color w:val="FFFFFF" w:themeColor="background1"/>
      </w:rPr>
      <w:tblPr/>
      <w:tcPr>
        <w:tcBorders>
          <w:left w:val="nil"/>
          <w:right w:val="nil"/>
          <w:insideH w:val="nil"/>
          <w:insideV w:val="nil"/>
        </w:tcBorders>
        <w:shd w:val="clear" w:color="auto" w:fill="6773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AD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2AD00" w:themeFill="accent4"/>
      </w:tcPr>
    </w:tblStylePr>
    <w:tblStylePr w:type="lastCol">
      <w:rPr>
        <w:b/>
        <w:bCs/>
        <w:color w:val="FFFFFF" w:themeColor="background1"/>
      </w:rPr>
      <w:tblPr/>
      <w:tcPr>
        <w:tcBorders>
          <w:left w:val="nil"/>
          <w:right w:val="nil"/>
          <w:insideH w:val="nil"/>
          <w:insideV w:val="nil"/>
        </w:tcBorders>
        <w:shd w:val="clear" w:color="auto" w:fill="A2AD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8D8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B8D8E" w:themeFill="accent5"/>
      </w:tcPr>
    </w:tblStylePr>
    <w:tblStylePr w:type="lastCol">
      <w:rPr>
        <w:b/>
        <w:bCs/>
        <w:color w:val="FFFFFF" w:themeColor="background1"/>
      </w:rPr>
      <w:tblPr/>
      <w:tcPr>
        <w:tcBorders>
          <w:left w:val="nil"/>
          <w:right w:val="nil"/>
          <w:insideH w:val="nil"/>
          <w:insideV w:val="nil"/>
        </w:tcBorders>
        <w:shd w:val="clear" w:color="auto" w:fill="8B8D8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14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143" w:themeFill="accent6"/>
      </w:tcPr>
    </w:tblStylePr>
    <w:tblStylePr w:type="lastCol">
      <w:rPr>
        <w:b/>
        <w:bCs/>
        <w:color w:val="FFFFFF" w:themeColor="background1"/>
      </w:rPr>
      <w:tblPr/>
      <w:tcPr>
        <w:tcBorders>
          <w:left w:val="nil"/>
          <w:right w:val="nil"/>
          <w:insideH w:val="nil"/>
          <w:insideV w:val="nil"/>
        </w:tcBorders>
        <w:shd w:val="clear" w:color="auto" w:fill="40414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rsid w:val="00F3012E"/>
    <w:rPr>
      <w:rFonts w:asciiTheme="minorHAnsi" w:hAnsiTheme="minorHAnsi" w:cstheme="minorBidi"/>
      <w:sz w:val="22"/>
      <w:szCs w:val="22"/>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012E"/>
    <w:rPr>
      <w:rFonts w:asciiTheme="minorHAnsi" w:hAnsiTheme="minorHAnsi" w:cstheme="minorBidi"/>
      <w:sz w:val="22"/>
      <w:szCs w:val="22"/>
      <w:lang w:eastAsia="zh-CN"/>
    </w:rPr>
    <w:tblPr>
      <w:tblStyleRowBandSize w:val="1"/>
      <w:tblStyleColBandSize w:val="1"/>
      <w:tblBorders>
        <w:top w:val="single" w:sz="4" w:space="0" w:color="9D9FA2" w:themeColor="text1" w:themeTint="80"/>
        <w:bottom w:val="single" w:sz="4" w:space="0" w:color="9D9FA2" w:themeColor="text1" w:themeTint="80"/>
      </w:tblBorders>
    </w:tblPr>
    <w:tblStylePr w:type="firstRow">
      <w:rPr>
        <w:b/>
        <w:bCs/>
      </w:rPr>
      <w:tblPr/>
      <w:tcPr>
        <w:tcBorders>
          <w:bottom w:val="single" w:sz="4" w:space="0" w:color="9D9FA2" w:themeColor="text1" w:themeTint="80"/>
        </w:tcBorders>
      </w:tcPr>
    </w:tblStylePr>
    <w:tblStylePr w:type="lastRow">
      <w:rPr>
        <w:b/>
        <w:bCs/>
      </w:rPr>
      <w:tblPr/>
      <w:tcPr>
        <w:tcBorders>
          <w:top w:val="single" w:sz="4" w:space="0" w:color="9D9FA2" w:themeColor="text1" w:themeTint="80"/>
        </w:tcBorders>
      </w:tcPr>
    </w:tblStylePr>
    <w:tblStylePr w:type="firstCol">
      <w:rPr>
        <w:b/>
        <w:bCs/>
      </w:rPr>
    </w:tblStylePr>
    <w:tblStylePr w:type="lastCol">
      <w:rPr>
        <w:b/>
        <w:bCs/>
      </w:rPr>
    </w:tblStylePr>
    <w:tblStylePr w:type="band1Vert">
      <w:tblPr/>
      <w:tcPr>
        <w:tcBorders>
          <w:left w:val="single" w:sz="4" w:space="0" w:color="9D9FA2" w:themeColor="text1" w:themeTint="80"/>
          <w:right w:val="single" w:sz="4" w:space="0" w:color="9D9FA2" w:themeColor="text1" w:themeTint="80"/>
        </w:tcBorders>
      </w:tcPr>
    </w:tblStylePr>
    <w:tblStylePr w:type="band2Vert">
      <w:tblPr/>
      <w:tcPr>
        <w:tcBorders>
          <w:left w:val="single" w:sz="4" w:space="0" w:color="9D9FA2" w:themeColor="text1" w:themeTint="80"/>
          <w:right w:val="single" w:sz="4" w:space="0" w:color="9D9FA2" w:themeColor="text1" w:themeTint="80"/>
        </w:tcBorders>
      </w:tcPr>
    </w:tblStylePr>
    <w:tblStylePr w:type="band1Horz">
      <w:tblPr/>
      <w:tcPr>
        <w:tcBorders>
          <w:top w:val="single" w:sz="4" w:space="0" w:color="9D9FA2" w:themeColor="text1" w:themeTint="80"/>
          <w:bottom w:val="single" w:sz="4" w:space="0" w:color="9D9FA2" w:themeColor="text1" w:themeTint="80"/>
        </w:tcBorders>
      </w:tcPr>
    </w:tblStylePr>
  </w:style>
  <w:style w:type="table" w:styleId="PlainTable3">
    <w:name w:val="Plain Table 3"/>
    <w:basedOn w:val="TableNormal"/>
    <w:uiPriority w:val="43"/>
    <w:rsid w:val="00F3012E"/>
    <w:rPr>
      <w:rFonts w:asciiTheme="minorHAnsi" w:hAnsiTheme="minorHAnsi" w:cstheme="minorBidi"/>
      <w:sz w:val="22"/>
      <w:szCs w:val="22"/>
      <w:lang w:eastAsia="zh-CN"/>
    </w:rPr>
    <w:tblPr>
      <w:tblStyleRowBandSize w:val="1"/>
      <w:tblStyleColBandSize w:val="1"/>
    </w:tblPr>
    <w:tblStylePr w:type="firstRow">
      <w:rPr>
        <w:b/>
        <w:bCs/>
        <w:caps/>
      </w:rPr>
      <w:tblPr/>
      <w:tcPr>
        <w:tcBorders>
          <w:bottom w:val="single" w:sz="4" w:space="0" w:color="9D9FA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FA2"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012E"/>
    <w:rPr>
      <w:rFonts w:asciiTheme="minorHAnsi"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012E"/>
    <w:rPr>
      <w:rFonts w:asciiTheme="minorHAnsi" w:hAnsiTheme="minorHAnsi" w:cstheme="minorBidi"/>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FA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FA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FA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FA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3012E"/>
    <w:rPr>
      <w:rFonts w:asciiTheme="minorHAnsi"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MPlaceholder">
    <w:name w:val="BM Placeholder"/>
    <w:basedOn w:val="TableNormal"/>
    <w:uiPriority w:val="99"/>
    <w:rsid w:val="00F3012E"/>
    <w:rPr>
      <w:sz w:val="22"/>
      <w:lang w:eastAsia="zh-CN"/>
    </w:rPr>
    <w:tblPr>
      <w:tblCellMar>
        <w:left w:w="0" w:type="dxa"/>
        <w:right w:w="0" w:type="dxa"/>
      </w:tblCellMar>
    </w:tblPr>
  </w:style>
  <w:style w:type="character" w:customStyle="1" w:styleId="HighlightBlack">
    <w:name w:val="Highlight Black"/>
    <w:basedOn w:val="DefaultParagraphFont"/>
    <w:uiPriority w:val="1"/>
    <w:semiHidden/>
    <w:rsid w:val="00F3012E"/>
    <w:rPr>
      <w:color w:val="404143" w:themeColor="text1"/>
      <w:lang w:val="en-US"/>
    </w:rPr>
  </w:style>
  <w:style w:type="character" w:customStyle="1" w:styleId="HighlightGrey">
    <w:name w:val="Highlight Grey"/>
    <w:basedOn w:val="DefaultParagraphFont"/>
    <w:uiPriority w:val="1"/>
    <w:semiHidden/>
    <w:rsid w:val="00F3012E"/>
    <w:rPr>
      <w:color w:val="5F635F"/>
      <w:lang w:val="en-US"/>
    </w:rPr>
  </w:style>
  <w:style w:type="paragraph" w:customStyle="1" w:styleId="OfficeList-City">
    <w:name w:val="Office List - City"/>
    <w:semiHidden/>
    <w:rsid w:val="00F3012E"/>
    <w:pPr>
      <w:spacing w:before="10"/>
    </w:pPr>
    <w:rPr>
      <w:rFonts w:ascii="Arial" w:hAnsi="Arial"/>
      <w:noProof/>
      <w:spacing w:val="2"/>
      <w:sz w:val="11"/>
      <w:szCs w:val="11"/>
      <w:lang w:eastAsia="en-US"/>
    </w:rPr>
  </w:style>
  <w:style w:type="paragraph" w:customStyle="1" w:styleId="OfficeList-Region">
    <w:name w:val="Office List - Region"/>
    <w:basedOn w:val="OfficeList-City"/>
    <w:next w:val="OfficeList-City"/>
    <w:semiHidden/>
    <w:rsid w:val="00F3012E"/>
    <w:pPr>
      <w:spacing w:line="192" w:lineRule="auto"/>
    </w:pPr>
    <w:rPr>
      <w:rFonts w:ascii="Arial Black" w:hAnsi="Arial Black"/>
      <w:szCs w:val="24"/>
    </w:rPr>
  </w:style>
  <w:style w:type="paragraph" w:customStyle="1" w:styleId="OfficeList-Space">
    <w:name w:val="Office List - Space"/>
    <w:basedOn w:val="OfficeList-City"/>
    <w:semiHidden/>
    <w:rsid w:val="00F3012E"/>
    <w:pPr>
      <w:widowControl w:val="0"/>
      <w:spacing w:before="0"/>
    </w:pPr>
    <w:rPr>
      <w:spacing w:val="0"/>
      <w:sz w:val="8"/>
    </w:rPr>
  </w:style>
  <w:style w:type="paragraph" w:customStyle="1" w:styleId="OfficeMultipleListAddress">
    <w:name w:val="Office Multiple List Address"/>
    <w:basedOn w:val="Normal"/>
    <w:uiPriority w:val="11"/>
    <w:semiHidden/>
    <w:rsid w:val="00F3012E"/>
    <w:pPr>
      <w:spacing w:before="10"/>
    </w:pPr>
    <w:rPr>
      <w:rFonts w:ascii="Arial" w:eastAsiaTheme="minorEastAsia" w:hAnsi="Arial" w:cstheme="minorBidi"/>
      <w:bCs/>
      <w:spacing w:val="2"/>
      <w:sz w:val="11"/>
      <w:szCs w:val="28"/>
      <w:lang w:val="en-GB" w:eastAsia="zh-CN"/>
    </w:rPr>
  </w:style>
  <w:style w:type="paragraph" w:customStyle="1" w:styleId="OfficeMultipleListHeading">
    <w:name w:val="Office Multiple List Heading"/>
    <w:basedOn w:val="Normal"/>
    <w:next w:val="Normal"/>
    <w:uiPriority w:val="11"/>
    <w:semiHidden/>
    <w:rsid w:val="00F3012E"/>
    <w:rPr>
      <w:rFonts w:ascii="Arial Black" w:eastAsiaTheme="minorEastAsia" w:hAnsi="Arial Black" w:cstheme="minorBidi"/>
      <w:bCs/>
      <w:spacing w:val="2"/>
      <w:sz w:val="11"/>
      <w:szCs w:val="28"/>
      <w:lang w:val="en-GB" w:eastAsia="zh-CN"/>
    </w:rPr>
  </w:style>
  <w:style w:type="character" w:customStyle="1" w:styleId="Quotation">
    <w:name w:val="Quotation"/>
    <w:basedOn w:val="DefaultParagraphFont"/>
    <w:uiPriority w:val="1"/>
    <w:rsid w:val="00F3012E"/>
    <w:rPr>
      <w:i/>
      <w:caps w:val="0"/>
      <w:smallCaps w:val="0"/>
      <w:strike w:val="0"/>
      <w:dstrike w:val="0"/>
      <w:vanish w:val="0"/>
      <w:vertAlign w:val="baseline"/>
    </w:rPr>
  </w:style>
  <w:style w:type="paragraph" w:customStyle="1" w:styleId="CoverDate">
    <w:name w:val="Cover Date"/>
    <w:basedOn w:val="Normal"/>
    <w:next w:val="Normal"/>
    <w:semiHidden/>
    <w:rsid w:val="00F3012E"/>
    <w:pPr>
      <w:spacing w:before="240" w:line="480" w:lineRule="auto"/>
    </w:pPr>
    <w:rPr>
      <w:bCs/>
      <w:color w:val="6773B6" w:themeColor="accent3"/>
      <w:szCs w:val="22"/>
      <w:lang w:val="en-GB" w:eastAsia="zh-CN"/>
    </w:rPr>
  </w:style>
  <w:style w:type="paragraph" w:customStyle="1" w:styleId="TitleHeading">
    <w:name w:val="Title Heading"/>
    <w:basedOn w:val="Normal"/>
    <w:semiHidden/>
    <w:rsid w:val="00F3012E"/>
    <w:pPr>
      <w:pBdr>
        <w:top w:val="single" w:sz="8" w:space="12" w:color="auto"/>
        <w:bottom w:val="single" w:sz="8" w:space="12" w:color="auto"/>
      </w:pBdr>
      <w:spacing w:line="260" w:lineRule="atLeast"/>
      <w:ind w:left="1152" w:right="1152"/>
      <w:jc w:val="center"/>
    </w:pPr>
    <w:rPr>
      <w:rFonts w:cs="Arial"/>
      <w:b/>
      <w:caps/>
      <w:szCs w:val="22"/>
      <w:lang w:val="en-GB" w:eastAsia="zh-CN"/>
    </w:rPr>
  </w:style>
  <w:style w:type="paragraph" w:customStyle="1" w:styleId="FooterAddress">
    <w:name w:val="FooterAddress"/>
    <w:basedOn w:val="Normal"/>
    <w:semiHidden/>
    <w:rsid w:val="00F3012E"/>
    <w:pPr>
      <w:tabs>
        <w:tab w:val="left" w:pos="1430"/>
      </w:tabs>
      <w:jc w:val="right"/>
    </w:pPr>
    <w:rPr>
      <w:bCs/>
      <w:sz w:val="14"/>
      <w:szCs w:val="20"/>
      <w:lang w:val="en-GB" w:eastAsia="zh-CN"/>
    </w:rPr>
  </w:style>
  <w:style w:type="paragraph" w:customStyle="1" w:styleId="NormalAtt">
    <w:name w:val="Normal Att"/>
    <w:basedOn w:val="Normal"/>
    <w:semiHidden/>
    <w:rsid w:val="00F3012E"/>
    <w:pPr>
      <w:keepNext/>
      <w:jc w:val="both"/>
    </w:pPr>
    <w:rPr>
      <w:bCs/>
      <w:szCs w:val="22"/>
      <w:lang w:val="en-GB" w:eastAsia="zh-CN"/>
    </w:rPr>
  </w:style>
  <w:style w:type="paragraph" w:customStyle="1" w:styleId="FooterCompany">
    <w:name w:val="FooterCompany"/>
    <w:basedOn w:val="Normal"/>
    <w:semiHidden/>
    <w:rsid w:val="00F3012E"/>
    <w:pPr>
      <w:tabs>
        <w:tab w:val="left" w:pos="1430"/>
      </w:tabs>
      <w:jc w:val="right"/>
    </w:pPr>
    <w:rPr>
      <w:b/>
      <w:szCs w:val="22"/>
      <w:lang w:val="en-GB" w:eastAsia="zh-CN"/>
    </w:rPr>
  </w:style>
  <w:style w:type="paragraph" w:customStyle="1" w:styleId="FooterExecution">
    <w:name w:val="FooterExecution"/>
    <w:basedOn w:val="Normal"/>
    <w:semiHidden/>
    <w:rsid w:val="00F3012E"/>
    <w:pPr>
      <w:tabs>
        <w:tab w:val="left" w:pos="1430"/>
      </w:tabs>
      <w:jc w:val="right"/>
    </w:pPr>
    <w:rPr>
      <w:b/>
      <w:i/>
      <w:iCs/>
      <w:sz w:val="20"/>
      <w:szCs w:val="22"/>
      <w:lang w:val="en-GB" w:eastAsia="zh-CN"/>
    </w:rPr>
  </w:style>
  <w:style w:type="paragraph" w:customStyle="1" w:styleId="FooterRef">
    <w:name w:val="FooterRef"/>
    <w:basedOn w:val="Normal"/>
    <w:semiHidden/>
    <w:rsid w:val="00F3012E"/>
    <w:pPr>
      <w:tabs>
        <w:tab w:val="left" w:pos="1430"/>
      </w:tabs>
      <w:spacing w:line="240" w:lineRule="atLeast"/>
      <w:jc w:val="right"/>
    </w:pPr>
    <w:rPr>
      <w:bCs/>
      <w:sz w:val="14"/>
      <w:szCs w:val="20"/>
      <w:lang w:val="en-GB" w:eastAsia="zh-CN"/>
    </w:rPr>
  </w:style>
  <w:style w:type="paragraph" w:customStyle="1" w:styleId="TitleTopLine">
    <w:name w:val="TitleTopLine"/>
    <w:basedOn w:val="Normal"/>
    <w:semiHidden/>
    <w:rsid w:val="00F3012E"/>
    <w:pPr>
      <w:keepNext/>
      <w:keepLines/>
      <w:pBdr>
        <w:bottom w:val="single" w:sz="4" w:space="1" w:color="auto"/>
      </w:pBdr>
      <w:spacing w:after="220" w:line="260" w:lineRule="atLeast"/>
      <w:jc w:val="both"/>
    </w:pPr>
    <w:rPr>
      <w:bCs/>
      <w:szCs w:val="22"/>
      <w:lang w:val="en-GB" w:eastAsia="zh-CN"/>
    </w:rPr>
  </w:style>
  <w:style w:type="paragraph" w:customStyle="1" w:styleId="Executed">
    <w:name w:val="Executed"/>
    <w:basedOn w:val="Normal"/>
    <w:semiHidden/>
    <w:rsid w:val="00F3012E"/>
    <w:pPr>
      <w:spacing w:before="180" w:after="400" w:line="260" w:lineRule="atLeast"/>
      <w:jc w:val="both"/>
    </w:pPr>
    <w:rPr>
      <w:szCs w:val="22"/>
      <w:lang w:val="en-GB" w:eastAsia="zh-CN"/>
    </w:rPr>
  </w:style>
  <w:style w:type="paragraph" w:customStyle="1" w:styleId="FooterTitle">
    <w:name w:val="FooterTitle"/>
    <w:basedOn w:val="Footer"/>
    <w:semiHidden/>
    <w:rsid w:val="00F3012E"/>
    <w:pPr>
      <w:jc w:val="right"/>
    </w:pPr>
    <w:rPr>
      <w:rFonts w:asciiTheme="majorHAnsi" w:eastAsia="Times New Roman" w:hAnsiTheme="majorHAnsi" w:cs="Arial"/>
      <w:szCs w:val="22"/>
      <w:lang w:eastAsia="zh-CN"/>
    </w:rPr>
  </w:style>
  <w:style w:type="paragraph" w:customStyle="1" w:styleId="FooterExecution2">
    <w:name w:val="FooterExecution2"/>
    <w:basedOn w:val="Footer"/>
    <w:semiHidden/>
    <w:rsid w:val="00F3012E"/>
    <w:pPr>
      <w:jc w:val="both"/>
    </w:pPr>
    <w:rPr>
      <w:rFonts w:asciiTheme="minorHAnsi" w:eastAsia="Times New Roman" w:hAnsiTheme="minorHAnsi" w:cs="Arial"/>
      <w:bCs/>
      <w:szCs w:val="22"/>
      <w:lang w:eastAsia="zh-CN"/>
    </w:rPr>
  </w:style>
  <w:style w:type="paragraph" w:customStyle="1" w:styleId="TitleDescription">
    <w:name w:val="Title Description"/>
    <w:basedOn w:val="Normal"/>
    <w:uiPriority w:val="8"/>
    <w:semiHidden/>
    <w:qFormat/>
    <w:rsid w:val="00F3012E"/>
    <w:pPr>
      <w:pBdr>
        <w:bottom w:val="single" w:sz="8" w:space="12" w:color="auto"/>
      </w:pBdr>
      <w:ind w:left="1152" w:right="1152"/>
      <w:jc w:val="center"/>
    </w:pPr>
    <w:rPr>
      <w:b/>
      <w:bCs/>
      <w:szCs w:val="22"/>
      <w:lang w:val="en-GB" w:eastAsia="zh-CN"/>
    </w:rPr>
  </w:style>
  <w:style w:type="paragraph" w:customStyle="1" w:styleId="URL">
    <w:name w:val="URL"/>
    <w:basedOn w:val="Normal"/>
    <w:link w:val="URLChar"/>
    <w:semiHidden/>
    <w:rsid w:val="00F3012E"/>
    <w:pPr>
      <w:spacing w:before="360" w:after="360" w:line="240" w:lineRule="atLeast"/>
      <w:jc w:val="both"/>
    </w:pPr>
    <w:rPr>
      <w:rFonts w:ascii="Arial" w:hAnsi="Arial"/>
      <w:bCs/>
      <w:color w:val="5F5F5F"/>
      <w:sz w:val="28"/>
      <w:szCs w:val="20"/>
      <w:lang w:val="en-GB" w:eastAsia="zh-CN"/>
    </w:rPr>
  </w:style>
  <w:style w:type="character" w:customStyle="1" w:styleId="URLChar">
    <w:name w:val="URL Char"/>
    <w:basedOn w:val="DefaultParagraphFont"/>
    <w:link w:val="URL"/>
    <w:semiHidden/>
    <w:rsid w:val="00F3012E"/>
    <w:rPr>
      <w:rFonts w:ascii="Arial" w:hAnsi="Arial"/>
      <w:bCs/>
      <w:color w:val="5F5F5F"/>
      <w:sz w:val="28"/>
      <w:lang w:val="en-GB" w:eastAsia="zh-CN"/>
    </w:rPr>
  </w:style>
  <w:style w:type="paragraph" w:customStyle="1" w:styleId="Boilerplate3">
    <w:name w:val="Boilerplate 3"/>
    <w:basedOn w:val="Normal"/>
    <w:uiPriority w:val="4"/>
    <w:semiHidden/>
    <w:qFormat/>
    <w:rsid w:val="00F3012E"/>
    <w:pPr>
      <w:jc w:val="both"/>
    </w:pPr>
    <w:rPr>
      <w:bCs/>
      <w:color w:val="5F5F5F"/>
      <w:sz w:val="16"/>
      <w:szCs w:val="22"/>
      <w:lang w:val="en-GB" w:eastAsia="zh-CN"/>
    </w:rPr>
  </w:style>
  <w:style w:type="paragraph" w:customStyle="1" w:styleId="ExecutionSignoff">
    <w:name w:val="Execution Signoff"/>
    <w:basedOn w:val="Normal"/>
    <w:semiHidden/>
    <w:rsid w:val="00F3012E"/>
    <w:pPr>
      <w:spacing w:before="120" w:after="120"/>
    </w:pPr>
    <w:rPr>
      <w:rFonts w:eastAsia="Times New Roman"/>
      <w:bCs/>
      <w:szCs w:val="28"/>
      <w:lang w:val="en-GB" w:eastAsia="zh-CN"/>
    </w:rPr>
  </w:style>
  <w:style w:type="paragraph" w:customStyle="1" w:styleId="FooterExecution20">
    <w:name w:val="Footer Execution 2"/>
    <w:basedOn w:val="Footer"/>
    <w:semiHidden/>
    <w:rsid w:val="00F3012E"/>
    <w:rPr>
      <w:rFonts w:asciiTheme="majorHAnsi" w:eastAsia="Times New Roman" w:hAnsiTheme="majorHAnsi"/>
      <w:szCs w:val="20"/>
      <w:lang w:eastAsia="zh-CN"/>
    </w:rPr>
  </w:style>
  <w:style w:type="paragraph" w:customStyle="1" w:styleId="Section">
    <w:name w:val="Section"/>
    <w:basedOn w:val="Normal"/>
    <w:next w:val="BodyText"/>
    <w:link w:val="SectionChar"/>
    <w:uiPriority w:val="7"/>
    <w:rsid w:val="00F3012E"/>
    <w:pPr>
      <w:keepNext/>
      <w:numPr>
        <w:numId w:val="45"/>
      </w:numPr>
    </w:pPr>
    <w:rPr>
      <w:rFonts w:eastAsia="Times New Roman"/>
      <w:b/>
      <w:bCs/>
      <w:szCs w:val="28"/>
      <w:lang w:val="en-GB" w:eastAsia="zh-CN"/>
    </w:rPr>
  </w:style>
  <w:style w:type="paragraph" w:customStyle="1" w:styleId="TOCSubHeading">
    <w:name w:val="TOCSubHeading"/>
    <w:basedOn w:val="Normal"/>
    <w:semiHidden/>
    <w:rsid w:val="00F3012E"/>
    <w:rPr>
      <w:rFonts w:eastAsia="Times New Roman"/>
      <w:b/>
      <w:bCs/>
      <w:szCs w:val="28"/>
      <w:lang w:val="en-GB" w:eastAsia="zh-CN"/>
    </w:rPr>
  </w:style>
  <w:style w:type="paragraph" w:customStyle="1" w:styleId="AgreementTitle">
    <w:name w:val="Agreement Title"/>
    <w:basedOn w:val="Normal"/>
    <w:next w:val="BodyText"/>
    <w:uiPriority w:val="9"/>
    <w:semiHidden/>
    <w:qFormat/>
    <w:rsid w:val="00F3012E"/>
    <w:pPr>
      <w:jc w:val="both"/>
    </w:pPr>
    <w:rPr>
      <w:b/>
      <w:bCs/>
      <w:szCs w:val="22"/>
      <w:lang w:val="en-GB" w:eastAsia="zh-CN"/>
    </w:rPr>
  </w:style>
  <w:style w:type="paragraph" w:customStyle="1" w:styleId="Annexure1">
    <w:name w:val="Annexure 1"/>
    <w:basedOn w:val="Normal"/>
    <w:next w:val="Annexure3"/>
    <w:link w:val="Annexure1Char"/>
    <w:uiPriority w:val="9"/>
    <w:qFormat/>
    <w:rsid w:val="00F3012E"/>
    <w:pPr>
      <w:keepNext/>
      <w:pageBreakBefore/>
      <w:numPr>
        <w:numId w:val="49"/>
      </w:numPr>
      <w:jc w:val="both"/>
      <w:outlineLvl w:val="0"/>
    </w:pPr>
    <w:rPr>
      <w:rFonts w:asciiTheme="minorHAnsi" w:eastAsiaTheme="minorEastAsia"/>
      <w:b/>
      <w:szCs w:val="22"/>
      <w:lang w:val="en-GB" w:eastAsia="zh-CN"/>
    </w:rPr>
  </w:style>
  <w:style w:type="paragraph" w:customStyle="1" w:styleId="Annexure2">
    <w:name w:val="Annexure 2"/>
    <w:basedOn w:val="Normal"/>
    <w:next w:val="Annexure3"/>
    <w:link w:val="Annexure2Char"/>
    <w:uiPriority w:val="9"/>
    <w:semiHidden/>
    <w:qFormat/>
    <w:rsid w:val="00F3012E"/>
    <w:pPr>
      <w:keepNext/>
      <w:numPr>
        <w:ilvl w:val="1"/>
        <w:numId w:val="49"/>
      </w:numPr>
      <w:jc w:val="both"/>
      <w:outlineLvl w:val="1"/>
    </w:pPr>
    <w:rPr>
      <w:rFonts w:asciiTheme="minorHAnsi" w:eastAsiaTheme="minorEastAsia"/>
      <w:b/>
      <w:szCs w:val="22"/>
      <w:lang w:val="en-GB" w:eastAsia="zh-CN"/>
    </w:rPr>
  </w:style>
  <w:style w:type="paragraph" w:customStyle="1" w:styleId="Annexure3">
    <w:name w:val="Annexure 3"/>
    <w:basedOn w:val="Normal"/>
    <w:next w:val="BodyText2"/>
    <w:link w:val="Annexure3Char"/>
    <w:uiPriority w:val="9"/>
    <w:semiHidden/>
    <w:qFormat/>
    <w:rsid w:val="00F3012E"/>
    <w:pPr>
      <w:numPr>
        <w:ilvl w:val="2"/>
        <w:numId w:val="49"/>
      </w:numPr>
      <w:jc w:val="both"/>
      <w:outlineLvl w:val="2"/>
    </w:pPr>
    <w:rPr>
      <w:rFonts w:asciiTheme="minorHAnsi" w:eastAsiaTheme="minorEastAsia"/>
      <w:b/>
      <w:szCs w:val="22"/>
      <w:lang w:val="en-GB" w:eastAsia="zh-CN"/>
    </w:rPr>
  </w:style>
  <w:style w:type="paragraph" w:customStyle="1" w:styleId="Annexure4">
    <w:name w:val="Annexure 4"/>
    <w:basedOn w:val="Normal"/>
    <w:link w:val="Annexure4Char"/>
    <w:uiPriority w:val="98"/>
    <w:semiHidden/>
    <w:rsid w:val="00F3012E"/>
    <w:pPr>
      <w:numPr>
        <w:ilvl w:val="3"/>
        <w:numId w:val="49"/>
      </w:numPr>
      <w:jc w:val="both"/>
      <w:outlineLvl w:val="3"/>
    </w:pPr>
    <w:rPr>
      <w:rFonts w:asciiTheme="minorHAnsi" w:eastAsiaTheme="minorEastAsia"/>
      <w:b/>
      <w:szCs w:val="22"/>
      <w:lang w:val="en-GB" w:eastAsia="zh-CN"/>
    </w:rPr>
  </w:style>
  <w:style w:type="paragraph" w:customStyle="1" w:styleId="Annexure5">
    <w:name w:val="Annexure 5"/>
    <w:basedOn w:val="Normal"/>
    <w:link w:val="Annexure5Char"/>
    <w:uiPriority w:val="98"/>
    <w:semiHidden/>
    <w:rsid w:val="00F3012E"/>
    <w:pPr>
      <w:numPr>
        <w:ilvl w:val="4"/>
        <w:numId w:val="49"/>
      </w:numPr>
      <w:jc w:val="both"/>
      <w:outlineLvl w:val="4"/>
    </w:pPr>
    <w:rPr>
      <w:rFonts w:asciiTheme="minorHAnsi" w:eastAsiaTheme="minorEastAsia"/>
      <w:szCs w:val="22"/>
      <w:lang w:val="en-GB" w:eastAsia="zh-CN"/>
    </w:rPr>
  </w:style>
  <w:style w:type="paragraph" w:customStyle="1" w:styleId="Annexure6">
    <w:name w:val="Annexure 6"/>
    <w:basedOn w:val="Normal"/>
    <w:link w:val="Annexure6Char"/>
    <w:uiPriority w:val="98"/>
    <w:semiHidden/>
    <w:rsid w:val="00F3012E"/>
    <w:pPr>
      <w:numPr>
        <w:ilvl w:val="5"/>
        <w:numId w:val="49"/>
      </w:numPr>
      <w:jc w:val="both"/>
      <w:outlineLvl w:val="5"/>
    </w:pPr>
    <w:rPr>
      <w:rFonts w:asciiTheme="minorHAnsi" w:eastAsiaTheme="minorEastAsia"/>
      <w:szCs w:val="22"/>
      <w:lang w:val="en-GB" w:eastAsia="zh-CN"/>
    </w:rPr>
  </w:style>
  <w:style w:type="paragraph" w:customStyle="1" w:styleId="Annexure7">
    <w:name w:val="Annexure 7"/>
    <w:basedOn w:val="Normal"/>
    <w:link w:val="Annexure7Char"/>
    <w:uiPriority w:val="98"/>
    <w:semiHidden/>
    <w:rsid w:val="00F3012E"/>
    <w:pPr>
      <w:numPr>
        <w:ilvl w:val="6"/>
        <w:numId w:val="49"/>
      </w:numPr>
      <w:jc w:val="both"/>
      <w:outlineLvl w:val="6"/>
    </w:pPr>
    <w:rPr>
      <w:rFonts w:asciiTheme="minorHAnsi" w:eastAsiaTheme="minorEastAsia"/>
      <w:szCs w:val="22"/>
      <w:lang w:val="en-GB" w:eastAsia="zh-CN"/>
    </w:rPr>
  </w:style>
  <w:style w:type="paragraph" w:customStyle="1" w:styleId="Annexure8">
    <w:name w:val="Annexure 8"/>
    <w:basedOn w:val="Normal"/>
    <w:link w:val="Annexure8Char"/>
    <w:uiPriority w:val="98"/>
    <w:semiHidden/>
    <w:rsid w:val="00F3012E"/>
    <w:pPr>
      <w:numPr>
        <w:ilvl w:val="7"/>
        <w:numId w:val="49"/>
      </w:numPr>
      <w:jc w:val="both"/>
      <w:outlineLvl w:val="7"/>
    </w:pPr>
    <w:rPr>
      <w:rFonts w:asciiTheme="minorHAnsi" w:eastAsiaTheme="minorEastAsia"/>
      <w:szCs w:val="22"/>
      <w:lang w:val="en-GB" w:eastAsia="zh-CN"/>
    </w:rPr>
  </w:style>
  <w:style w:type="paragraph" w:customStyle="1" w:styleId="Annexure9">
    <w:name w:val="Annexure 9"/>
    <w:basedOn w:val="Normal"/>
    <w:link w:val="Annexure9Char"/>
    <w:uiPriority w:val="98"/>
    <w:semiHidden/>
    <w:rsid w:val="00F3012E"/>
    <w:pPr>
      <w:numPr>
        <w:ilvl w:val="8"/>
        <w:numId w:val="49"/>
      </w:numPr>
      <w:jc w:val="both"/>
      <w:outlineLvl w:val="8"/>
    </w:pPr>
    <w:rPr>
      <w:rFonts w:asciiTheme="minorHAnsi" w:eastAsiaTheme="minorEastAsia"/>
      <w:szCs w:val="22"/>
      <w:lang w:val="en-GB" w:eastAsia="zh-CN"/>
    </w:rPr>
  </w:style>
  <w:style w:type="paragraph" w:customStyle="1" w:styleId="Exhibit1">
    <w:name w:val="Exhibit 1"/>
    <w:basedOn w:val="Normal"/>
    <w:next w:val="Exhibit3"/>
    <w:link w:val="Exhibit1Char"/>
    <w:uiPriority w:val="9"/>
    <w:qFormat/>
    <w:rsid w:val="00F3012E"/>
    <w:pPr>
      <w:keepNext/>
      <w:pageBreakBefore/>
      <w:numPr>
        <w:numId w:val="48"/>
      </w:numPr>
      <w:jc w:val="both"/>
      <w:outlineLvl w:val="0"/>
    </w:pPr>
    <w:rPr>
      <w:rFonts w:asciiTheme="minorHAnsi" w:eastAsiaTheme="minorEastAsia"/>
      <w:b/>
      <w:szCs w:val="22"/>
      <w:lang w:val="en-GB" w:eastAsia="zh-CN"/>
    </w:rPr>
  </w:style>
  <w:style w:type="paragraph" w:customStyle="1" w:styleId="Exhibit2">
    <w:name w:val="Exhibit 2"/>
    <w:basedOn w:val="Normal"/>
    <w:next w:val="Exhibit3"/>
    <w:link w:val="Exhibit2Char"/>
    <w:uiPriority w:val="9"/>
    <w:semiHidden/>
    <w:qFormat/>
    <w:rsid w:val="00F3012E"/>
    <w:pPr>
      <w:keepNext/>
      <w:numPr>
        <w:ilvl w:val="1"/>
        <w:numId w:val="48"/>
      </w:numPr>
      <w:jc w:val="both"/>
      <w:outlineLvl w:val="1"/>
    </w:pPr>
    <w:rPr>
      <w:rFonts w:asciiTheme="minorHAnsi" w:eastAsiaTheme="minorEastAsia"/>
      <w:b/>
      <w:szCs w:val="22"/>
      <w:lang w:val="en-GB" w:eastAsia="zh-CN"/>
    </w:rPr>
  </w:style>
  <w:style w:type="paragraph" w:customStyle="1" w:styleId="Exhibit3">
    <w:name w:val="Exhibit 3"/>
    <w:basedOn w:val="Normal"/>
    <w:next w:val="BodyText2"/>
    <w:link w:val="Exhibit3Char"/>
    <w:uiPriority w:val="9"/>
    <w:semiHidden/>
    <w:qFormat/>
    <w:rsid w:val="00F3012E"/>
    <w:pPr>
      <w:numPr>
        <w:ilvl w:val="2"/>
        <w:numId w:val="48"/>
      </w:numPr>
      <w:jc w:val="both"/>
      <w:outlineLvl w:val="2"/>
    </w:pPr>
    <w:rPr>
      <w:rFonts w:asciiTheme="minorHAnsi" w:eastAsiaTheme="minorEastAsia"/>
      <w:b/>
      <w:szCs w:val="22"/>
      <w:lang w:val="en-GB" w:eastAsia="zh-CN"/>
    </w:rPr>
  </w:style>
  <w:style w:type="paragraph" w:customStyle="1" w:styleId="Exhibit4">
    <w:name w:val="Exhibit 4"/>
    <w:basedOn w:val="Normal"/>
    <w:next w:val="Exhibit5"/>
    <w:link w:val="Exhibit4Char"/>
    <w:uiPriority w:val="98"/>
    <w:semiHidden/>
    <w:rsid w:val="00F3012E"/>
    <w:pPr>
      <w:numPr>
        <w:ilvl w:val="3"/>
        <w:numId w:val="48"/>
      </w:numPr>
      <w:jc w:val="both"/>
      <w:outlineLvl w:val="3"/>
    </w:pPr>
    <w:rPr>
      <w:rFonts w:asciiTheme="minorHAnsi" w:eastAsiaTheme="minorEastAsia"/>
      <w:b/>
      <w:szCs w:val="22"/>
      <w:lang w:val="en-GB" w:eastAsia="zh-CN"/>
    </w:rPr>
  </w:style>
  <w:style w:type="paragraph" w:customStyle="1" w:styleId="Exhibit5">
    <w:name w:val="Exhibit 5"/>
    <w:basedOn w:val="Normal"/>
    <w:link w:val="Exhibit5Char"/>
    <w:uiPriority w:val="98"/>
    <w:semiHidden/>
    <w:rsid w:val="00F3012E"/>
    <w:pPr>
      <w:numPr>
        <w:ilvl w:val="4"/>
        <w:numId w:val="48"/>
      </w:numPr>
      <w:jc w:val="both"/>
      <w:outlineLvl w:val="4"/>
    </w:pPr>
    <w:rPr>
      <w:rFonts w:asciiTheme="minorHAnsi" w:eastAsiaTheme="minorEastAsia"/>
      <w:szCs w:val="22"/>
      <w:lang w:val="en-GB" w:eastAsia="zh-CN"/>
    </w:rPr>
  </w:style>
  <w:style w:type="paragraph" w:customStyle="1" w:styleId="Exhibit6">
    <w:name w:val="Exhibit 6"/>
    <w:basedOn w:val="Normal"/>
    <w:link w:val="Exhibit6Char"/>
    <w:uiPriority w:val="98"/>
    <w:semiHidden/>
    <w:rsid w:val="00F3012E"/>
    <w:pPr>
      <w:numPr>
        <w:ilvl w:val="5"/>
        <w:numId w:val="48"/>
      </w:numPr>
      <w:jc w:val="both"/>
      <w:outlineLvl w:val="5"/>
    </w:pPr>
    <w:rPr>
      <w:rFonts w:asciiTheme="minorHAnsi" w:eastAsiaTheme="minorEastAsia"/>
      <w:szCs w:val="22"/>
      <w:lang w:val="en-GB" w:eastAsia="zh-CN"/>
    </w:rPr>
  </w:style>
  <w:style w:type="paragraph" w:customStyle="1" w:styleId="CoverDocumentDescription">
    <w:name w:val="Cover Document Description"/>
    <w:basedOn w:val="Normal"/>
    <w:next w:val="CoverText0"/>
    <w:uiPriority w:val="8"/>
    <w:semiHidden/>
    <w:qFormat/>
    <w:rsid w:val="00F3012E"/>
    <w:rPr>
      <w:bCs/>
      <w:szCs w:val="22"/>
      <w:lang w:val="en-GB" w:eastAsia="zh-CN"/>
    </w:rPr>
  </w:style>
  <w:style w:type="paragraph" w:customStyle="1" w:styleId="CoverPartyRole">
    <w:name w:val="Cover Party Role"/>
    <w:basedOn w:val="Normal"/>
    <w:next w:val="CoverDocumentDescription"/>
    <w:uiPriority w:val="8"/>
    <w:semiHidden/>
    <w:qFormat/>
    <w:rsid w:val="00F3012E"/>
    <w:rPr>
      <w:b/>
      <w:szCs w:val="22"/>
      <w:lang w:val="en-GB" w:eastAsia="zh-CN"/>
    </w:rPr>
  </w:style>
  <w:style w:type="paragraph" w:customStyle="1" w:styleId="CoverText0">
    <w:name w:val="Cover Text"/>
    <w:basedOn w:val="Normal"/>
    <w:semiHidden/>
    <w:rsid w:val="00F3012E"/>
    <w:pPr>
      <w:spacing w:before="240"/>
    </w:pPr>
    <w:rPr>
      <w:bCs/>
      <w:szCs w:val="22"/>
      <w:lang w:val="en-GB" w:eastAsia="zh-CN"/>
    </w:rPr>
  </w:style>
  <w:style w:type="paragraph" w:customStyle="1" w:styleId="PartiesRecitals1">
    <w:name w:val="Parties/Recitals 1"/>
    <w:basedOn w:val="Normal"/>
    <w:link w:val="PartiesRecitals1Char"/>
    <w:uiPriority w:val="98"/>
    <w:rsid w:val="00F3012E"/>
    <w:pPr>
      <w:numPr>
        <w:numId w:val="47"/>
      </w:numPr>
      <w:jc w:val="both"/>
      <w:outlineLvl w:val="0"/>
    </w:pPr>
    <w:rPr>
      <w:rFonts w:asciiTheme="minorHAnsi" w:eastAsia="Times New Roman"/>
      <w:bCs/>
      <w:szCs w:val="28"/>
      <w:lang w:val="en-GB" w:eastAsia="zh-CN"/>
    </w:rPr>
  </w:style>
  <w:style w:type="paragraph" w:customStyle="1" w:styleId="PartiesRecitals2">
    <w:name w:val="Parties/Recitals 2"/>
    <w:basedOn w:val="Normal"/>
    <w:link w:val="PartiesRecitals2Char"/>
    <w:uiPriority w:val="98"/>
    <w:rsid w:val="00F3012E"/>
    <w:pPr>
      <w:numPr>
        <w:ilvl w:val="1"/>
        <w:numId w:val="47"/>
      </w:numPr>
      <w:jc w:val="both"/>
      <w:outlineLvl w:val="1"/>
    </w:pPr>
    <w:rPr>
      <w:rFonts w:asciiTheme="minorHAnsi" w:eastAsia="Times New Roman"/>
      <w:bCs/>
      <w:szCs w:val="28"/>
      <w:lang w:val="en-GB" w:eastAsia="zh-CN"/>
    </w:rPr>
  </w:style>
  <w:style w:type="paragraph" w:customStyle="1" w:styleId="PartiesRecitals3">
    <w:name w:val="Parties/Recitals 3"/>
    <w:basedOn w:val="Normal"/>
    <w:uiPriority w:val="98"/>
    <w:semiHidden/>
    <w:rsid w:val="00F3012E"/>
    <w:pPr>
      <w:numPr>
        <w:ilvl w:val="2"/>
        <w:numId w:val="47"/>
      </w:numPr>
      <w:jc w:val="both"/>
      <w:outlineLvl w:val="2"/>
    </w:pPr>
    <w:rPr>
      <w:rFonts w:asciiTheme="minorHAnsi" w:eastAsia="Times New Roman"/>
      <w:bCs/>
      <w:szCs w:val="28"/>
      <w:lang w:val="en-GB" w:eastAsia="zh-CN"/>
    </w:rPr>
  </w:style>
  <w:style w:type="paragraph" w:customStyle="1" w:styleId="PartiesRecitals4">
    <w:name w:val="Parties/Recitals 4"/>
    <w:basedOn w:val="Normal"/>
    <w:next w:val="BodyText"/>
    <w:uiPriority w:val="98"/>
    <w:semiHidden/>
    <w:rsid w:val="00F3012E"/>
    <w:pPr>
      <w:numPr>
        <w:ilvl w:val="3"/>
        <w:numId w:val="47"/>
      </w:numPr>
      <w:jc w:val="both"/>
      <w:outlineLvl w:val="3"/>
    </w:pPr>
    <w:rPr>
      <w:rFonts w:asciiTheme="minorHAnsi" w:eastAsia="Times New Roman"/>
      <w:bCs/>
      <w:szCs w:val="28"/>
      <w:lang w:val="en-GB" w:eastAsia="zh-CN"/>
    </w:rPr>
  </w:style>
  <w:style w:type="paragraph" w:customStyle="1" w:styleId="PartiesRecitals5">
    <w:name w:val="Parties/Recitals 5"/>
    <w:basedOn w:val="Normal"/>
    <w:next w:val="BodyText"/>
    <w:uiPriority w:val="98"/>
    <w:semiHidden/>
    <w:rsid w:val="00F3012E"/>
    <w:pPr>
      <w:numPr>
        <w:ilvl w:val="4"/>
        <w:numId w:val="47"/>
      </w:numPr>
      <w:jc w:val="both"/>
      <w:outlineLvl w:val="4"/>
    </w:pPr>
    <w:rPr>
      <w:rFonts w:asciiTheme="minorHAnsi" w:eastAsia="Times New Roman"/>
      <w:bCs/>
      <w:szCs w:val="28"/>
      <w:lang w:val="en-GB" w:eastAsia="zh-CN"/>
    </w:rPr>
  </w:style>
  <w:style w:type="paragraph" w:customStyle="1" w:styleId="PartiesRecitals6">
    <w:name w:val="Parties/Recitals 6"/>
    <w:basedOn w:val="Normal"/>
    <w:next w:val="BodyText"/>
    <w:uiPriority w:val="98"/>
    <w:semiHidden/>
    <w:rsid w:val="00F3012E"/>
    <w:pPr>
      <w:numPr>
        <w:ilvl w:val="5"/>
        <w:numId w:val="47"/>
      </w:numPr>
      <w:jc w:val="both"/>
      <w:outlineLvl w:val="5"/>
    </w:pPr>
    <w:rPr>
      <w:rFonts w:asciiTheme="minorHAnsi" w:eastAsia="Times New Roman"/>
      <w:bCs/>
      <w:szCs w:val="28"/>
      <w:lang w:val="en-GB" w:eastAsia="zh-CN"/>
    </w:rPr>
  </w:style>
  <w:style w:type="paragraph" w:customStyle="1" w:styleId="PartiesRecitals7">
    <w:name w:val="Parties/Recitals 7"/>
    <w:basedOn w:val="Normal"/>
    <w:next w:val="BodyText"/>
    <w:uiPriority w:val="98"/>
    <w:semiHidden/>
    <w:rsid w:val="00F3012E"/>
    <w:pPr>
      <w:numPr>
        <w:ilvl w:val="6"/>
        <w:numId w:val="47"/>
      </w:numPr>
      <w:jc w:val="both"/>
      <w:outlineLvl w:val="6"/>
    </w:pPr>
    <w:rPr>
      <w:rFonts w:asciiTheme="minorHAnsi" w:eastAsia="Times New Roman"/>
      <w:bCs/>
      <w:szCs w:val="28"/>
      <w:lang w:val="en-GB" w:eastAsia="zh-CN"/>
    </w:rPr>
  </w:style>
  <w:style w:type="paragraph" w:customStyle="1" w:styleId="PartiesRecitals8">
    <w:name w:val="Parties/Recitals 8"/>
    <w:basedOn w:val="Normal"/>
    <w:next w:val="BodyText"/>
    <w:uiPriority w:val="98"/>
    <w:semiHidden/>
    <w:rsid w:val="00F3012E"/>
    <w:pPr>
      <w:numPr>
        <w:ilvl w:val="7"/>
        <w:numId w:val="47"/>
      </w:numPr>
      <w:jc w:val="both"/>
      <w:outlineLvl w:val="7"/>
    </w:pPr>
    <w:rPr>
      <w:rFonts w:asciiTheme="minorHAnsi" w:eastAsia="Times New Roman"/>
      <w:bCs/>
      <w:szCs w:val="28"/>
      <w:lang w:val="en-GB" w:eastAsia="zh-CN"/>
    </w:rPr>
  </w:style>
  <w:style w:type="paragraph" w:customStyle="1" w:styleId="PartiesRecitals9">
    <w:name w:val="Parties/Recitals 9"/>
    <w:basedOn w:val="Normal"/>
    <w:next w:val="BodyText"/>
    <w:uiPriority w:val="98"/>
    <w:semiHidden/>
    <w:rsid w:val="00F3012E"/>
    <w:pPr>
      <w:numPr>
        <w:ilvl w:val="8"/>
        <w:numId w:val="47"/>
      </w:numPr>
      <w:jc w:val="both"/>
      <w:outlineLvl w:val="8"/>
    </w:pPr>
    <w:rPr>
      <w:rFonts w:asciiTheme="minorHAnsi" w:eastAsia="Times New Roman"/>
      <w:bCs/>
      <w:szCs w:val="28"/>
      <w:lang w:val="en-GB" w:eastAsia="zh-CN"/>
    </w:rPr>
  </w:style>
  <w:style w:type="paragraph" w:customStyle="1" w:styleId="SchH1">
    <w:name w:val="SchH 1"/>
    <w:basedOn w:val="Normal"/>
    <w:next w:val="SchH3"/>
    <w:link w:val="SchH1Char"/>
    <w:uiPriority w:val="98"/>
    <w:qFormat/>
    <w:rsid w:val="00F3012E"/>
    <w:pPr>
      <w:keepNext/>
      <w:pageBreakBefore/>
      <w:numPr>
        <w:numId w:val="50"/>
      </w:numPr>
      <w:jc w:val="both"/>
      <w:outlineLvl w:val="0"/>
    </w:pPr>
    <w:rPr>
      <w:rFonts w:asciiTheme="minorHAnsi" w:eastAsia="Times New Roman"/>
      <w:b/>
      <w:bCs/>
      <w:szCs w:val="28"/>
      <w:lang w:val="en-GB" w:eastAsia="zh-CN"/>
    </w:rPr>
  </w:style>
  <w:style w:type="paragraph" w:customStyle="1" w:styleId="SchH2">
    <w:name w:val="SchH 2"/>
    <w:basedOn w:val="Normal"/>
    <w:next w:val="SchH3"/>
    <w:link w:val="SchH2Char"/>
    <w:uiPriority w:val="98"/>
    <w:qFormat/>
    <w:rsid w:val="00F3012E"/>
    <w:pPr>
      <w:keepNext/>
      <w:numPr>
        <w:ilvl w:val="1"/>
        <w:numId w:val="50"/>
      </w:numPr>
      <w:jc w:val="both"/>
      <w:outlineLvl w:val="1"/>
    </w:pPr>
    <w:rPr>
      <w:rFonts w:asciiTheme="minorHAnsi" w:eastAsia="Times New Roman"/>
      <w:b/>
      <w:bCs/>
      <w:szCs w:val="28"/>
      <w:lang w:val="en-GB" w:eastAsia="zh-CN"/>
    </w:rPr>
  </w:style>
  <w:style w:type="paragraph" w:customStyle="1" w:styleId="SchH3">
    <w:name w:val="SchH 3"/>
    <w:basedOn w:val="Normal"/>
    <w:next w:val="BodyText2"/>
    <w:link w:val="SchH3Char"/>
    <w:uiPriority w:val="98"/>
    <w:qFormat/>
    <w:rsid w:val="00F3012E"/>
    <w:pPr>
      <w:numPr>
        <w:ilvl w:val="2"/>
        <w:numId w:val="50"/>
      </w:numPr>
      <w:jc w:val="both"/>
      <w:outlineLvl w:val="2"/>
    </w:pPr>
    <w:rPr>
      <w:rFonts w:asciiTheme="minorHAnsi" w:eastAsia="Times New Roman"/>
      <w:b/>
      <w:bCs/>
      <w:szCs w:val="28"/>
      <w:lang w:val="en-GB" w:eastAsia="zh-CN"/>
    </w:rPr>
  </w:style>
  <w:style w:type="paragraph" w:customStyle="1" w:styleId="SchH4">
    <w:name w:val="SchH 4"/>
    <w:basedOn w:val="Normal"/>
    <w:link w:val="SchH4Char"/>
    <w:uiPriority w:val="98"/>
    <w:qFormat/>
    <w:rsid w:val="00F3012E"/>
    <w:pPr>
      <w:numPr>
        <w:ilvl w:val="3"/>
        <w:numId w:val="50"/>
      </w:numPr>
      <w:jc w:val="both"/>
      <w:outlineLvl w:val="3"/>
    </w:pPr>
    <w:rPr>
      <w:rFonts w:asciiTheme="minorHAnsi" w:eastAsia="Times New Roman"/>
      <w:b/>
      <w:bCs/>
      <w:szCs w:val="28"/>
      <w:lang w:val="en-GB" w:eastAsia="zh-CN"/>
    </w:rPr>
  </w:style>
  <w:style w:type="paragraph" w:customStyle="1" w:styleId="SchH5">
    <w:name w:val="SchH 5"/>
    <w:basedOn w:val="Normal"/>
    <w:link w:val="SchH5Char"/>
    <w:uiPriority w:val="98"/>
    <w:qFormat/>
    <w:rsid w:val="00F3012E"/>
    <w:pPr>
      <w:numPr>
        <w:ilvl w:val="4"/>
        <w:numId w:val="50"/>
      </w:numPr>
      <w:jc w:val="both"/>
      <w:outlineLvl w:val="4"/>
    </w:pPr>
    <w:rPr>
      <w:rFonts w:asciiTheme="minorHAnsi" w:eastAsia="Times New Roman"/>
      <w:bCs/>
      <w:szCs w:val="28"/>
      <w:lang w:val="en-GB" w:eastAsia="zh-CN"/>
    </w:rPr>
  </w:style>
  <w:style w:type="paragraph" w:customStyle="1" w:styleId="SchH6">
    <w:name w:val="SchH 6"/>
    <w:basedOn w:val="Normal"/>
    <w:link w:val="SchH6Char"/>
    <w:uiPriority w:val="98"/>
    <w:qFormat/>
    <w:rsid w:val="00F3012E"/>
    <w:pPr>
      <w:numPr>
        <w:ilvl w:val="5"/>
        <w:numId w:val="50"/>
      </w:numPr>
      <w:jc w:val="both"/>
      <w:outlineLvl w:val="5"/>
    </w:pPr>
    <w:rPr>
      <w:rFonts w:asciiTheme="minorHAnsi" w:eastAsia="Times New Roman"/>
      <w:bCs/>
      <w:szCs w:val="28"/>
      <w:lang w:val="en-GB" w:eastAsia="zh-CN"/>
    </w:rPr>
  </w:style>
  <w:style w:type="paragraph" w:customStyle="1" w:styleId="SchH7">
    <w:name w:val="SchH 7"/>
    <w:basedOn w:val="Normal"/>
    <w:link w:val="SchH7Char"/>
    <w:uiPriority w:val="98"/>
    <w:qFormat/>
    <w:rsid w:val="00F3012E"/>
    <w:pPr>
      <w:numPr>
        <w:ilvl w:val="6"/>
        <w:numId w:val="50"/>
      </w:numPr>
      <w:jc w:val="both"/>
      <w:outlineLvl w:val="6"/>
    </w:pPr>
    <w:rPr>
      <w:rFonts w:asciiTheme="minorHAnsi" w:eastAsia="Times New Roman"/>
      <w:bCs/>
      <w:szCs w:val="28"/>
      <w:lang w:val="en-GB" w:eastAsia="zh-CN"/>
    </w:rPr>
  </w:style>
  <w:style w:type="paragraph" w:customStyle="1" w:styleId="SchH8">
    <w:name w:val="SchH 8"/>
    <w:basedOn w:val="Normal"/>
    <w:link w:val="SchH8Char"/>
    <w:uiPriority w:val="98"/>
    <w:rsid w:val="00F3012E"/>
    <w:pPr>
      <w:numPr>
        <w:ilvl w:val="7"/>
        <w:numId w:val="50"/>
      </w:numPr>
      <w:jc w:val="both"/>
      <w:outlineLvl w:val="7"/>
    </w:pPr>
    <w:rPr>
      <w:rFonts w:asciiTheme="minorHAnsi" w:eastAsia="Times New Roman"/>
      <w:bCs/>
      <w:szCs w:val="28"/>
      <w:lang w:val="en-GB" w:eastAsia="zh-CN"/>
    </w:rPr>
  </w:style>
  <w:style w:type="paragraph" w:customStyle="1" w:styleId="SchH9">
    <w:name w:val="SchH 9"/>
    <w:basedOn w:val="Normal"/>
    <w:link w:val="SchH9Char"/>
    <w:uiPriority w:val="98"/>
    <w:rsid w:val="00F3012E"/>
    <w:pPr>
      <w:numPr>
        <w:ilvl w:val="8"/>
        <w:numId w:val="50"/>
      </w:numPr>
      <w:jc w:val="both"/>
      <w:outlineLvl w:val="8"/>
    </w:pPr>
    <w:rPr>
      <w:rFonts w:asciiTheme="minorHAnsi" w:eastAsia="Times New Roman"/>
      <w:bCs/>
      <w:szCs w:val="28"/>
      <w:lang w:val="en-GB" w:eastAsia="zh-CN"/>
    </w:rPr>
  </w:style>
  <w:style w:type="paragraph" w:customStyle="1" w:styleId="CoverAddress">
    <w:name w:val="Cover Address"/>
    <w:basedOn w:val="Normal"/>
    <w:uiPriority w:val="8"/>
    <w:semiHidden/>
    <w:rsid w:val="00F3012E"/>
    <w:pPr>
      <w:ind w:left="-115"/>
    </w:pPr>
    <w:rPr>
      <w:rFonts w:eastAsia="Times New Roman"/>
      <w:bCs/>
      <w:color w:val="404144" w:themeColor="text2"/>
      <w:sz w:val="16"/>
      <w:szCs w:val="22"/>
      <w:lang w:val="en-GB" w:eastAsia="zh-CN"/>
    </w:rPr>
  </w:style>
  <w:style w:type="paragraph" w:customStyle="1" w:styleId="CoverDraft">
    <w:name w:val="Cover Draft"/>
    <w:basedOn w:val="Normal"/>
    <w:next w:val="Header"/>
    <w:uiPriority w:val="8"/>
    <w:semiHidden/>
    <w:qFormat/>
    <w:rsid w:val="00F3012E"/>
    <w:pPr>
      <w:jc w:val="right"/>
    </w:pPr>
    <w:rPr>
      <w:rFonts w:eastAsia="Times New Roman"/>
      <w:b/>
      <w:bCs/>
      <w:i/>
      <w:color w:val="404143" w:themeColor="text1"/>
      <w:sz w:val="20"/>
      <w:szCs w:val="28"/>
      <w:lang w:val="en-GB" w:eastAsia="zh-CN"/>
    </w:rPr>
  </w:style>
  <w:style w:type="paragraph" w:customStyle="1" w:styleId="Exhibit7">
    <w:name w:val="Exhibit 7"/>
    <w:basedOn w:val="Normal"/>
    <w:link w:val="Exhibit7Char"/>
    <w:uiPriority w:val="98"/>
    <w:semiHidden/>
    <w:rsid w:val="00F3012E"/>
    <w:pPr>
      <w:numPr>
        <w:ilvl w:val="6"/>
        <w:numId w:val="48"/>
      </w:numPr>
      <w:jc w:val="both"/>
      <w:outlineLvl w:val="6"/>
    </w:pPr>
    <w:rPr>
      <w:rFonts w:asciiTheme="minorHAnsi" w:eastAsiaTheme="minorEastAsia"/>
      <w:szCs w:val="22"/>
      <w:lang w:val="en-GB" w:eastAsia="zh-CN"/>
    </w:rPr>
  </w:style>
  <w:style w:type="paragraph" w:customStyle="1" w:styleId="Exhibit8">
    <w:name w:val="Exhibit 8"/>
    <w:basedOn w:val="Normal"/>
    <w:link w:val="Exhibit8Char"/>
    <w:uiPriority w:val="98"/>
    <w:semiHidden/>
    <w:rsid w:val="00F3012E"/>
    <w:pPr>
      <w:numPr>
        <w:ilvl w:val="7"/>
        <w:numId w:val="48"/>
      </w:numPr>
      <w:jc w:val="both"/>
      <w:outlineLvl w:val="7"/>
    </w:pPr>
    <w:rPr>
      <w:rFonts w:asciiTheme="minorHAnsi" w:eastAsiaTheme="minorEastAsia"/>
      <w:szCs w:val="22"/>
      <w:lang w:val="en-GB" w:eastAsia="zh-CN"/>
    </w:rPr>
  </w:style>
  <w:style w:type="paragraph" w:customStyle="1" w:styleId="Exhibit9">
    <w:name w:val="Exhibit 9"/>
    <w:basedOn w:val="Normal"/>
    <w:link w:val="Exhibit9Char"/>
    <w:uiPriority w:val="98"/>
    <w:semiHidden/>
    <w:rsid w:val="00F3012E"/>
    <w:pPr>
      <w:numPr>
        <w:ilvl w:val="8"/>
        <w:numId w:val="48"/>
      </w:numPr>
      <w:jc w:val="both"/>
      <w:outlineLvl w:val="8"/>
    </w:pPr>
    <w:rPr>
      <w:rFonts w:asciiTheme="minorHAnsi" w:eastAsiaTheme="minorEastAsia"/>
      <w:szCs w:val="22"/>
      <w:lang w:val="en-GB" w:eastAsia="zh-CN"/>
    </w:rPr>
  </w:style>
  <w:style w:type="character" w:customStyle="1" w:styleId="Definition1Char">
    <w:name w:val="Definition 1 Char"/>
    <w:basedOn w:val="DefaultParagraphFont"/>
    <w:link w:val="Definition1"/>
    <w:rsid w:val="00F3012E"/>
    <w:rPr>
      <w:rFonts w:eastAsia="Times New Roman"/>
      <w:lang w:val="en-GB"/>
    </w:rPr>
  </w:style>
  <w:style w:type="character" w:customStyle="1" w:styleId="Definition2Char">
    <w:name w:val="Definition 2 Char"/>
    <w:basedOn w:val="DefaultParagraphFont"/>
    <w:link w:val="Definition2"/>
    <w:rsid w:val="00F3012E"/>
    <w:rPr>
      <w:rFonts w:eastAsia="Times New Roman"/>
      <w:lang w:val="en-GB"/>
    </w:rPr>
  </w:style>
  <w:style w:type="paragraph" w:customStyle="1" w:styleId="Definition1">
    <w:name w:val="Definition 1"/>
    <w:basedOn w:val="Normal"/>
    <w:link w:val="Definition1Char"/>
    <w:qFormat/>
    <w:rsid w:val="00F3012E"/>
    <w:pPr>
      <w:numPr>
        <w:numId w:val="46"/>
      </w:numPr>
      <w:jc w:val="both"/>
      <w:outlineLvl w:val="0"/>
    </w:pPr>
    <w:rPr>
      <w:rFonts w:eastAsia="Times New Roman"/>
      <w:sz w:val="20"/>
      <w:szCs w:val="20"/>
      <w:lang w:val="en-GB" w:eastAsia="en-AU"/>
    </w:rPr>
  </w:style>
  <w:style w:type="paragraph" w:customStyle="1" w:styleId="Definition2">
    <w:name w:val="Definition 2"/>
    <w:basedOn w:val="Normal"/>
    <w:link w:val="Definition2Char"/>
    <w:qFormat/>
    <w:rsid w:val="00F3012E"/>
    <w:pPr>
      <w:numPr>
        <w:ilvl w:val="1"/>
        <w:numId w:val="46"/>
      </w:numPr>
      <w:jc w:val="both"/>
      <w:outlineLvl w:val="1"/>
    </w:pPr>
    <w:rPr>
      <w:rFonts w:eastAsia="Times New Roman"/>
      <w:sz w:val="20"/>
      <w:szCs w:val="20"/>
      <w:lang w:val="en-GB" w:eastAsia="en-AU"/>
    </w:rPr>
  </w:style>
  <w:style w:type="paragraph" w:customStyle="1" w:styleId="Definition3">
    <w:name w:val="Definition 3"/>
    <w:basedOn w:val="Normal"/>
    <w:link w:val="Definition3Char"/>
    <w:qFormat/>
    <w:rsid w:val="00F3012E"/>
    <w:pPr>
      <w:numPr>
        <w:ilvl w:val="2"/>
        <w:numId w:val="46"/>
      </w:numPr>
      <w:jc w:val="both"/>
      <w:outlineLvl w:val="2"/>
    </w:pPr>
    <w:rPr>
      <w:rFonts w:asciiTheme="minorHAnsi" w:eastAsia="Times New Roman"/>
      <w:bCs/>
      <w:szCs w:val="22"/>
      <w:lang w:val="en-GB" w:eastAsia="zh-CN"/>
    </w:rPr>
  </w:style>
  <w:style w:type="paragraph" w:customStyle="1" w:styleId="Definition4">
    <w:name w:val="Definition 4"/>
    <w:basedOn w:val="Normal"/>
    <w:link w:val="Definition4Char"/>
    <w:qFormat/>
    <w:rsid w:val="00F3012E"/>
    <w:pPr>
      <w:numPr>
        <w:ilvl w:val="3"/>
        <w:numId w:val="46"/>
      </w:numPr>
      <w:jc w:val="both"/>
      <w:outlineLvl w:val="3"/>
    </w:pPr>
    <w:rPr>
      <w:rFonts w:asciiTheme="minorHAnsi" w:eastAsia="Times New Roman"/>
      <w:bCs/>
      <w:szCs w:val="22"/>
      <w:lang w:val="en-GB" w:eastAsia="zh-CN"/>
    </w:rPr>
  </w:style>
  <w:style w:type="paragraph" w:customStyle="1" w:styleId="Definition5">
    <w:name w:val="Definition 5"/>
    <w:basedOn w:val="Normal"/>
    <w:next w:val="BodyText"/>
    <w:link w:val="Definition5Char"/>
    <w:semiHidden/>
    <w:rsid w:val="00F3012E"/>
    <w:pPr>
      <w:numPr>
        <w:ilvl w:val="4"/>
        <w:numId w:val="46"/>
      </w:numPr>
      <w:jc w:val="both"/>
    </w:pPr>
    <w:rPr>
      <w:rFonts w:asciiTheme="minorHAnsi" w:eastAsia="Times New Roman"/>
      <w:bCs/>
      <w:szCs w:val="22"/>
      <w:lang w:val="en-GB" w:eastAsia="zh-CN"/>
    </w:rPr>
  </w:style>
  <w:style w:type="character" w:customStyle="1" w:styleId="Definition5Char">
    <w:name w:val="Definition 5 Char"/>
    <w:basedOn w:val="DefaultParagraphFont"/>
    <w:link w:val="Definition5"/>
    <w:semiHidden/>
    <w:rsid w:val="00F3012E"/>
    <w:rPr>
      <w:rFonts w:asciiTheme="minorHAnsi" w:eastAsia="Times New Roman"/>
      <w:bCs/>
      <w:sz w:val="22"/>
      <w:szCs w:val="22"/>
      <w:lang w:val="en-GB" w:eastAsia="zh-CN"/>
    </w:rPr>
  </w:style>
  <w:style w:type="paragraph" w:customStyle="1" w:styleId="Definition6">
    <w:name w:val="Definition 6"/>
    <w:basedOn w:val="Normal"/>
    <w:next w:val="BodyText"/>
    <w:link w:val="Definition6Char"/>
    <w:semiHidden/>
    <w:rsid w:val="00F3012E"/>
    <w:pPr>
      <w:numPr>
        <w:ilvl w:val="5"/>
        <w:numId w:val="46"/>
      </w:numPr>
      <w:jc w:val="both"/>
    </w:pPr>
    <w:rPr>
      <w:rFonts w:asciiTheme="minorHAnsi" w:eastAsia="Times New Roman"/>
      <w:bCs/>
      <w:szCs w:val="22"/>
      <w:lang w:val="en-GB" w:eastAsia="zh-CN"/>
    </w:rPr>
  </w:style>
  <w:style w:type="character" w:customStyle="1" w:styleId="Definition6Char">
    <w:name w:val="Definition 6 Char"/>
    <w:basedOn w:val="DefaultParagraphFont"/>
    <w:link w:val="Definition6"/>
    <w:semiHidden/>
    <w:rsid w:val="00F3012E"/>
    <w:rPr>
      <w:rFonts w:asciiTheme="minorHAnsi" w:eastAsia="Times New Roman"/>
      <w:bCs/>
      <w:sz w:val="22"/>
      <w:szCs w:val="22"/>
      <w:lang w:val="en-GB" w:eastAsia="zh-CN"/>
    </w:rPr>
  </w:style>
  <w:style w:type="paragraph" w:customStyle="1" w:styleId="Definition7">
    <w:name w:val="Definition 7"/>
    <w:basedOn w:val="Normal"/>
    <w:next w:val="BodyText"/>
    <w:link w:val="Definition7Char"/>
    <w:semiHidden/>
    <w:rsid w:val="00F3012E"/>
    <w:pPr>
      <w:numPr>
        <w:ilvl w:val="6"/>
        <w:numId w:val="46"/>
      </w:numPr>
      <w:jc w:val="both"/>
    </w:pPr>
    <w:rPr>
      <w:rFonts w:asciiTheme="minorHAnsi" w:eastAsia="Times New Roman"/>
      <w:bCs/>
      <w:szCs w:val="22"/>
      <w:lang w:val="en-GB" w:eastAsia="zh-CN"/>
    </w:rPr>
  </w:style>
  <w:style w:type="character" w:customStyle="1" w:styleId="Definition7Char">
    <w:name w:val="Definition 7 Char"/>
    <w:basedOn w:val="DefaultParagraphFont"/>
    <w:link w:val="Definition7"/>
    <w:semiHidden/>
    <w:rsid w:val="00F3012E"/>
    <w:rPr>
      <w:rFonts w:asciiTheme="minorHAnsi" w:eastAsia="Times New Roman"/>
      <w:bCs/>
      <w:sz w:val="22"/>
      <w:szCs w:val="22"/>
      <w:lang w:val="en-GB" w:eastAsia="zh-CN"/>
    </w:rPr>
  </w:style>
  <w:style w:type="paragraph" w:customStyle="1" w:styleId="Definition8">
    <w:name w:val="Definition 8"/>
    <w:basedOn w:val="Normal"/>
    <w:next w:val="BodyText"/>
    <w:link w:val="Definition8Char"/>
    <w:semiHidden/>
    <w:rsid w:val="00F3012E"/>
    <w:pPr>
      <w:numPr>
        <w:ilvl w:val="7"/>
        <w:numId w:val="46"/>
      </w:numPr>
      <w:jc w:val="both"/>
    </w:pPr>
    <w:rPr>
      <w:rFonts w:asciiTheme="minorHAnsi" w:eastAsia="Times New Roman"/>
      <w:bCs/>
      <w:szCs w:val="22"/>
      <w:lang w:val="en-GB" w:eastAsia="zh-CN"/>
    </w:rPr>
  </w:style>
  <w:style w:type="character" w:customStyle="1" w:styleId="Definition8Char">
    <w:name w:val="Definition 8 Char"/>
    <w:basedOn w:val="DefaultParagraphFont"/>
    <w:link w:val="Definition8"/>
    <w:semiHidden/>
    <w:rsid w:val="00F3012E"/>
    <w:rPr>
      <w:rFonts w:asciiTheme="minorHAnsi" w:eastAsia="Times New Roman"/>
      <w:bCs/>
      <w:sz w:val="22"/>
      <w:szCs w:val="22"/>
      <w:lang w:val="en-GB" w:eastAsia="zh-CN"/>
    </w:rPr>
  </w:style>
  <w:style w:type="paragraph" w:customStyle="1" w:styleId="Definition9">
    <w:name w:val="Definition 9"/>
    <w:basedOn w:val="Normal"/>
    <w:next w:val="BodyText"/>
    <w:link w:val="Definition9Char"/>
    <w:semiHidden/>
    <w:rsid w:val="00F3012E"/>
    <w:pPr>
      <w:numPr>
        <w:ilvl w:val="8"/>
        <w:numId w:val="46"/>
      </w:numPr>
      <w:jc w:val="both"/>
    </w:pPr>
    <w:rPr>
      <w:rFonts w:asciiTheme="minorHAnsi" w:eastAsia="Times New Roman"/>
      <w:bCs/>
      <w:szCs w:val="22"/>
      <w:lang w:val="en-GB" w:eastAsia="zh-CN"/>
    </w:rPr>
  </w:style>
  <w:style w:type="character" w:customStyle="1" w:styleId="Definition9Char">
    <w:name w:val="Definition 9 Char"/>
    <w:basedOn w:val="DefaultParagraphFont"/>
    <w:link w:val="Definition9"/>
    <w:semiHidden/>
    <w:rsid w:val="00F3012E"/>
    <w:rPr>
      <w:rFonts w:asciiTheme="minorHAnsi" w:eastAsia="Times New Roman"/>
      <w:bCs/>
      <w:sz w:val="22"/>
      <w:szCs w:val="22"/>
      <w:lang w:val="en-GB" w:eastAsia="zh-CN"/>
    </w:rPr>
  </w:style>
  <w:style w:type="character" w:customStyle="1" w:styleId="Definition3Char">
    <w:name w:val="Definition 3 Char"/>
    <w:basedOn w:val="DefaultParagraphFont"/>
    <w:link w:val="Definition3"/>
    <w:rsid w:val="00F3012E"/>
    <w:rPr>
      <w:rFonts w:asciiTheme="minorHAnsi" w:eastAsia="Times New Roman"/>
      <w:bCs/>
      <w:sz w:val="22"/>
      <w:szCs w:val="22"/>
      <w:lang w:val="en-GB" w:eastAsia="zh-CN"/>
    </w:rPr>
  </w:style>
  <w:style w:type="character" w:customStyle="1" w:styleId="Definition4Char">
    <w:name w:val="Definition 4 Char"/>
    <w:basedOn w:val="DefaultParagraphFont"/>
    <w:link w:val="Definition4"/>
    <w:rsid w:val="00F3012E"/>
    <w:rPr>
      <w:rFonts w:asciiTheme="minorHAnsi" w:eastAsia="Times New Roman"/>
      <w:bCs/>
      <w:sz w:val="22"/>
      <w:szCs w:val="22"/>
      <w:lang w:val="en-GB" w:eastAsia="zh-CN"/>
    </w:rPr>
  </w:style>
  <w:style w:type="character" w:customStyle="1" w:styleId="Exhibit1Char">
    <w:name w:val="Exhibit 1 Char"/>
    <w:basedOn w:val="DefaultParagraphFont"/>
    <w:link w:val="Exhibit1"/>
    <w:uiPriority w:val="9"/>
    <w:rsid w:val="00F3012E"/>
    <w:rPr>
      <w:rFonts w:asciiTheme="minorHAnsi" w:eastAsiaTheme="minorEastAsia"/>
      <w:b/>
      <w:sz w:val="22"/>
      <w:szCs w:val="22"/>
      <w:lang w:val="en-GB" w:eastAsia="zh-CN"/>
    </w:rPr>
  </w:style>
  <w:style w:type="character" w:customStyle="1" w:styleId="Exhibit2Char">
    <w:name w:val="Exhibit 2 Char"/>
    <w:basedOn w:val="DefaultParagraphFont"/>
    <w:link w:val="Exhibit2"/>
    <w:uiPriority w:val="9"/>
    <w:semiHidden/>
    <w:rsid w:val="00F3012E"/>
    <w:rPr>
      <w:rFonts w:asciiTheme="minorHAnsi" w:eastAsiaTheme="minorEastAsia"/>
      <w:b/>
      <w:sz w:val="22"/>
      <w:szCs w:val="22"/>
      <w:lang w:val="en-GB" w:eastAsia="zh-CN"/>
    </w:rPr>
  </w:style>
  <w:style w:type="character" w:customStyle="1" w:styleId="Exhibit3Char">
    <w:name w:val="Exhibit 3 Char"/>
    <w:basedOn w:val="DefaultParagraphFont"/>
    <w:link w:val="Exhibit3"/>
    <w:uiPriority w:val="9"/>
    <w:semiHidden/>
    <w:rsid w:val="00F3012E"/>
    <w:rPr>
      <w:rFonts w:asciiTheme="minorHAnsi" w:eastAsiaTheme="minorEastAsia"/>
      <w:b/>
      <w:sz w:val="22"/>
      <w:szCs w:val="22"/>
      <w:lang w:val="en-GB" w:eastAsia="zh-CN"/>
    </w:rPr>
  </w:style>
  <w:style w:type="character" w:customStyle="1" w:styleId="Exhibit4Char">
    <w:name w:val="Exhibit 4 Char"/>
    <w:basedOn w:val="DefaultParagraphFont"/>
    <w:link w:val="Exhibit4"/>
    <w:uiPriority w:val="98"/>
    <w:semiHidden/>
    <w:rsid w:val="00F3012E"/>
    <w:rPr>
      <w:rFonts w:asciiTheme="minorHAnsi" w:eastAsiaTheme="minorEastAsia"/>
      <w:b/>
      <w:sz w:val="22"/>
      <w:szCs w:val="22"/>
      <w:lang w:val="en-GB" w:eastAsia="zh-CN"/>
    </w:rPr>
  </w:style>
  <w:style w:type="character" w:customStyle="1" w:styleId="Exhibit5Char">
    <w:name w:val="Exhibit 5 Char"/>
    <w:basedOn w:val="DefaultParagraphFont"/>
    <w:link w:val="Exhibit5"/>
    <w:uiPriority w:val="98"/>
    <w:semiHidden/>
    <w:rsid w:val="00F3012E"/>
    <w:rPr>
      <w:rFonts w:asciiTheme="minorHAnsi" w:eastAsiaTheme="minorEastAsia"/>
      <w:sz w:val="22"/>
      <w:szCs w:val="22"/>
      <w:lang w:val="en-GB" w:eastAsia="zh-CN"/>
    </w:rPr>
  </w:style>
  <w:style w:type="character" w:customStyle="1" w:styleId="Exhibit6Char">
    <w:name w:val="Exhibit 6 Char"/>
    <w:basedOn w:val="DefaultParagraphFont"/>
    <w:link w:val="Exhibit6"/>
    <w:uiPriority w:val="98"/>
    <w:semiHidden/>
    <w:rsid w:val="00F3012E"/>
    <w:rPr>
      <w:rFonts w:asciiTheme="minorHAnsi" w:eastAsiaTheme="minorEastAsia"/>
      <w:sz w:val="22"/>
      <w:szCs w:val="22"/>
      <w:lang w:val="en-GB" w:eastAsia="zh-CN"/>
    </w:rPr>
  </w:style>
  <w:style w:type="character" w:customStyle="1" w:styleId="Exhibit7Char">
    <w:name w:val="Exhibit 7 Char"/>
    <w:basedOn w:val="DefaultParagraphFont"/>
    <w:link w:val="Exhibit7"/>
    <w:uiPriority w:val="98"/>
    <w:semiHidden/>
    <w:rsid w:val="00F3012E"/>
    <w:rPr>
      <w:rFonts w:asciiTheme="minorHAnsi" w:eastAsiaTheme="minorEastAsia"/>
      <w:sz w:val="22"/>
      <w:szCs w:val="22"/>
      <w:lang w:val="en-GB" w:eastAsia="zh-CN"/>
    </w:rPr>
  </w:style>
  <w:style w:type="character" w:customStyle="1" w:styleId="Exhibit8Char">
    <w:name w:val="Exhibit 8 Char"/>
    <w:basedOn w:val="DefaultParagraphFont"/>
    <w:link w:val="Exhibit8"/>
    <w:uiPriority w:val="98"/>
    <w:semiHidden/>
    <w:rsid w:val="00F3012E"/>
    <w:rPr>
      <w:rFonts w:asciiTheme="minorHAnsi" w:eastAsiaTheme="minorEastAsia"/>
      <w:sz w:val="22"/>
      <w:szCs w:val="22"/>
      <w:lang w:val="en-GB" w:eastAsia="zh-CN"/>
    </w:rPr>
  </w:style>
  <w:style w:type="character" w:customStyle="1" w:styleId="Exhibit9Char">
    <w:name w:val="Exhibit 9 Char"/>
    <w:basedOn w:val="DefaultParagraphFont"/>
    <w:link w:val="Exhibit9"/>
    <w:uiPriority w:val="98"/>
    <w:semiHidden/>
    <w:rsid w:val="00F3012E"/>
    <w:rPr>
      <w:rFonts w:asciiTheme="minorHAnsi" w:eastAsiaTheme="minorEastAsia"/>
      <w:sz w:val="22"/>
      <w:szCs w:val="22"/>
      <w:lang w:val="en-GB" w:eastAsia="zh-CN"/>
    </w:rPr>
  </w:style>
  <w:style w:type="character" w:customStyle="1" w:styleId="Annexure1Char">
    <w:name w:val="Annexure 1 Char"/>
    <w:basedOn w:val="DefaultParagraphFont"/>
    <w:link w:val="Annexure1"/>
    <w:uiPriority w:val="9"/>
    <w:rsid w:val="00F3012E"/>
    <w:rPr>
      <w:rFonts w:asciiTheme="minorHAnsi" w:eastAsiaTheme="minorEastAsia"/>
      <w:b/>
      <w:sz w:val="22"/>
      <w:szCs w:val="22"/>
      <w:lang w:val="en-GB" w:eastAsia="zh-CN"/>
    </w:rPr>
  </w:style>
  <w:style w:type="character" w:customStyle="1" w:styleId="Annexure2Char">
    <w:name w:val="Annexure 2 Char"/>
    <w:basedOn w:val="DefaultParagraphFont"/>
    <w:link w:val="Annexure2"/>
    <w:uiPriority w:val="9"/>
    <w:semiHidden/>
    <w:rsid w:val="00F3012E"/>
    <w:rPr>
      <w:rFonts w:asciiTheme="minorHAnsi" w:eastAsiaTheme="minorEastAsia"/>
      <w:b/>
      <w:sz w:val="22"/>
      <w:szCs w:val="22"/>
      <w:lang w:val="en-GB" w:eastAsia="zh-CN"/>
    </w:rPr>
  </w:style>
  <w:style w:type="character" w:customStyle="1" w:styleId="Annexure3Char">
    <w:name w:val="Annexure 3 Char"/>
    <w:basedOn w:val="DefaultParagraphFont"/>
    <w:link w:val="Annexure3"/>
    <w:uiPriority w:val="9"/>
    <w:semiHidden/>
    <w:rsid w:val="00F3012E"/>
    <w:rPr>
      <w:rFonts w:asciiTheme="minorHAnsi" w:eastAsiaTheme="minorEastAsia"/>
      <w:b/>
      <w:sz w:val="22"/>
      <w:szCs w:val="22"/>
      <w:lang w:val="en-GB" w:eastAsia="zh-CN"/>
    </w:rPr>
  </w:style>
  <w:style w:type="character" w:customStyle="1" w:styleId="Annexure4Char">
    <w:name w:val="Annexure 4 Char"/>
    <w:basedOn w:val="DefaultParagraphFont"/>
    <w:link w:val="Annexure4"/>
    <w:uiPriority w:val="98"/>
    <w:semiHidden/>
    <w:rsid w:val="00F3012E"/>
    <w:rPr>
      <w:rFonts w:asciiTheme="minorHAnsi" w:eastAsiaTheme="minorEastAsia"/>
      <w:b/>
      <w:sz w:val="22"/>
      <w:szCs w:val="22"/>
      <w:lang w:val="en-GB" w:eastAsia="zh-CN"/>
    </w:rPr>
  </w:style>
  <w:style w:type="character" w:customStyle="1" w:styleId="Annexure5Char">
    <w:name w:val="Annexure 5 Char"/>
    <w:basedOn w:val="DefaultParagraphFont"/>
    <w:link w:val="Annexure5"/>
    <w:uiPriority w:val="98"/>
    <w:semiHidden/>
    <w:rsid w:val="00F3012E"/>
    <w:rPr>
      <w:rFonts w:asciiTheme="minorHAnsi" w:eastAsiaTheme="minorEastAsia"/>
      <w:sz w:val="22"/>
      <w:szCs w:val="22"/>
      <w:lang w:val="en-GB" w:eastAsia="zh-CN"/>
    </w:rPr>
  </w:style>
  <w:style w:type="character" w:customStyle="1" w:styleId="Annexure6Char">
    <w:name w:val="Annexure 6 Char"/>
    <w:basedOn w:val="DefaultParagraphFont"/>
    <w:link w:val="Annexure6"/>
    <w:uiPriority w:val="98"/>
    <w:semiHidden/>
    <w:rsid w:val="00F3012E"/>
    <w:rPr>
      <w:rFonts w:asciiTheme="minorHAnsi" w:eastAsiaTheme="minorEastAsia"/>
      <w:sz w:val="22"/>
      <w:szCs w:val="22"/>
      <w:lang w:val="en-GB" w:eastAsia="zh-CN"/>
    </w:rPr>
  </w:style>
  <w:style w:type="character" w:customStyle="1" w:styleId="Annexure7Char">
    <w:name w:val="Annexure 7 Char"/>
    <w:basedOn w:val="DefaultParagraphFont"/>
    <w:link w:val="Annexure7"/>
    <w:uiPriority w:val="98"/>
    <w:semiHidden/>
    <w:rsid w:val="00F3012E"/>
    <w:rPr>
      <w:rFonts w:asciiTheme="minorHAnsi" w:eastAsiaTheme="minorEastAsia"/>
      <w:sz w:val="22"/>
      <w:szCs w:val="22"/>
      <w:lang w:val="en-GB" w:eastAsia="zh-CN"/>
    </w:rPr>
  </w:style>
  <w:style w:type="character" w:customStyle="1" w:styleId="Annexure8Char">
    <w:name w:val="Annexure 8 Char"/>
    <w:basedOn w:val="DefaultParagraphFont"/>
    <w:link w:val="Annexure8"/>
    <w:uiPriority w:val="98"/>
    <w:semiHidden/>
    <w:rsid w:val="00F3012E"/>
    <w:rPr>
      <w:rFonts w:asciiTheme="minorHAnsi" w:eastAsiaTheme="minorEastAsia"/>
      <w:sz w:val="22"/>
      <w:szCs w:val="22"/>
      <w:lang w:val="en-GB" w:eastAsia="zh-CN"/>
    </w:rPr>
  </w:style>
  <w:style w:type="character" w:customStyle="1" w:styleId="Annexure9Char">
    <w:name w:val="Annexure 9 Char"/>
    <w:basedOn w:val="DefaultParagraphFont"/>
    <w:link w:val="Annexure9"/>
    <w:uiPriority w:val="98"/>
    <w:semiHidden/>
    <w:rsid w:val="00F3012E"/>
    <w:rPr>
      <w:rFonts w:asciiTheme="minorHAnsi" w:eastAsiaTheme="minorEastAsia"/>
      <w:sz w:val="22"/>
      <w:szCs w:val="22"/>
      <w:lang w:val="en-GB" w:eastAsia="zh-CN"/>
    </w:rPr>
  </w:style>
  <w:style w:type="character" w:customStyle="1" w:styleId="PartiesRecitals1Char">
    <w:name w:val="Parties/Recitals 1 Char"/>
    <w:basedOn w:val="DefaultParagraphFont"/>
    <w:link w:val="PartiesRecitals1"/>
    <w:uiPriority w:val="98"/>
    <w:rsid w:val="00F3012E"/>
    <w:rPr>
      <w:rFonts w:asciiTheme="minorHAnsi" w:eastAsia="Times New Roman"/>
      <w:bCs/>
      <w:sz w:val="22"/>
      <w:szCs w:val="28"/>
      <w:lang w:val="en-GB" w:eastAsia="zh-CN"/>
    </w:rPr>
  </w:style>
  <w:style w:type="character" w:customStyle="1" w:styleId="PartiesRecitals2Char">
    <w:name w:val="Parties/Recitals 2 Char"/>
    <w:basedOn w:val="DefaultParagraphFont"/>
    <w:link w:val="PartiesRecitals2"/>
    <w:uiPriority w:val="98"/>
    <w:rsid w:val="00F3012E"/>
    <w:rPr>
      <w:rFonts w:asciiTheme="minorHAnsi" w:eastAsia="Times New Roman"/>
      <w:bCs/>
      <w:sz w:val="22"/>
      <w:szCs w:val="28"/>
      <w:lang w:val="en-GB" w:eastAsia="zh-CN"/>
    </w:rPr>
  </w:style>
  <w:style w:type="character" w:customStyle="1" w:styleId="SchH1Char">
    <w:name w:val="SchH 1 Char"/>
    <w:basedOn w:val="DefaultParagraphFont"/>
    <w:link w:val="SchH1"/>
    <w:uiPriority w:val="98"/>
    <w:rsid w:val="00F3012E"/>
    <w:rPr>
      <w:rFonts w:asciiTheme="minorHAnsi" w:eastAsia="Times New Roman"/>
      <w:b/>
      <w:bCs/>
      <w:sz w:val="22"/>
      <w:szCs w:val="28"/>
      <w:lang w:val="en-GB" w:eastAsia="zh-CN"/>
    </w:rPr>
  </w:style>
  <w:style w:type="character" w:customStyle="1" w:styleId="SchH2Char">
    <w:name w:val="SchH 2 Char"/>
    <w:basedOn w:val="DefaultParagraphFont"/>
    <w:link w:val="SchH2"/>
    <w:uiPriority w:val="98"/>
    <w:rsid w:val="00F3012E"/>
    <w:rPr>
      <w:rFonts w:asciiTheme="minorHAnsi" w:eastAsia="Times New Roman"/>
      <w:b/>
      <w:bCs/>
      <w:sz w:val="22"/>
      <w:szCs w:val="28"/>
      <w:lang w:val="en-GB" w:eastAsia="zh-CN"/>
    </w:rPr>
  </w:style>
  <w:style w:type="character" w:customStyle="1" w:styleId="SchH3Char">
    <w:name w:val="SchH 3 Char"/>
    <w:basedOn w:val="DefaultParagraphFont"/>
    <w:link w:val="SchH3"/>
    <w:uiPriority w:val="98"/>
    <w:rsid w:val="00F3012E"/>
    <w:rPr>
      <w:rFonts w:asciiTheme="minorHAnsi" w:eastAsia="Times New Roman"/>
      <w:b/>
      <w:bCs/>
      <w:sz w:val="22"/>
      <w:szCs w:val="28"/>
      <w:lang w:val="en-GB" w:eastAsia="zh-CN"/>
    </w:rPr>
  </w:style>
  <w:style w:type="character" w:customStyle="1" w:styleId="SchH4Char">
    <w:name w:val="SchH 4 Char"/>
    <w:basedOn w:val="DefaultParagraphFont"/>
    <w:link w:val="SchH4"/>
    <w:uiPriority w:val="98"/>
    <w:rsid w:val="00F3012E"/>
    <w:rPr>
      <w:rFonts w:asciiTheme="minorHAnsi" w:eastAsia="Times New Roman"/>
      <w:b/>
      <w:bCs/>
      <w:sz w:val="22"/>
      <w:szCs w:val="28"/>
      <w:lang w:val="en-GB" w:eastAsia="zh-CN"/>
    </w:rPr>
  </w:style>
  <w:style w:type="character" w:customStyle="1" w:styleId="SchH5Char">
    <w:name w:val="SchH 5 Char"/>
    <w:basedOn w:val="DefaultParagraphFont"/>
    <w:link w:val="SchH5"/>
    <w:uiPriority w:val="98"/>
    <w:rsid w:val="00F3012E"/>
    <w:rPr>
      <w:rFonts w:asciiTheme="minorHAnsi" w:eastAsia="Times New Roman"/>
      <w:bCs/>
      <w:sz w:val="22"/>
      <w:szCs w:val="28"/>
      <w:lang w:val="en-GB" w:eastAsia="zh-CN"/>
    </w:rPr>
  </w:style>
  <w:style w:type="character" w:customStyle="1" w:styleId="SchH6Char">
    <w:name w:val="SchH 6 Char"/>
    <w:basedOn w:val="DefaultParagraphFont"/>
    <w:link w:val="SchH6"/>
    <w:uiPriority w:val="98"/>
    <w:rsid w:val="00F3012E"/>
    <w:rPr>
      <w:rFonts w:asciiTheme="minorHAnsi" w:eastAsia="Times New Roman"/>
      <w:bCs/>
      <w:sz w:val="22"/>
      <w:szCs w:val="28"/>
      <w:lang w:val="en-GB" w:eastAsia="zh-CN"/>
    </w:rPr>
  </w:style>
  <w:style w:type="character" w:customStyle="1" w:styleId="SchH7Char">
    <w:name w:val="SchH 7 Char"/>
    <w:basedOn w:val="DefaultParagraphFont"/>
    <w:link w:val="SchH7"/>
    <w:uiPriority w:val="98"/>
    <w:rsid w:val="00F3012E"/>
    <w:rPr>
      <w:rFonts w:asciiTheme="minorHAnsi" w:eastAsia="Times New Roman"/>
      <w:bCs/>
      <w:sz w:val="22"/>
      <w:szCs w:val="28"/>
      <w:lang w:val="en-GB" w:eastAsia="zh-CN"/>
    </w:rPr>
  </w:style>
  <w:style w:type="character" w:customStyle="1" w:styleId="SchH8Char">
    <w:name w:val="SchH 8 Char"/>
    <w:basedOn w:val="DefaultParagraphFont"/>
    <w:link w:val="SchH8"/>
    <w:uiPriority w:val="98"/>
    <w:rsid w:val="00F3012E"/>
    <w:rPr>
      <w:rFonts w:asciiTheme="minorHAnsi" w:eastAsia="Times New Roman"/>
      <w:bCs/>
      <w:sz w:val="22"/>
      <w:szCs w:val="28"/>
      <w:lang w:val="en-GB" w:eastAsia="zh-CN"/>
    </w:rPr>
  </w:style>
  <w:style w:type="character" w:customStyle="1" w:styleId="SchH9Char">
    <w:name w:val="SchH 9 Char"/>
    <w:basedOn w:val="DefaultParagraphFont"/>
    <w:link w:val="SchH9"/>
    <w:uiPriority w:val="98"/>
    <w:rsid w:val="00F3012E"/>
    <w:rPr>
      <w:rFonts w:asciiTheme="minorHAnsi" w:eastAsia="Times New Roman"/>
      <w:bCs/>
      <w:sz w:val="22"/>
      <w:szCs w:val="28"/>
      <w:lang w:val="en-GB" w:eastAsia="zh-CN"/>
    </w:rPr>
  </w:style>
  <w:style w:type="character" w:customStyle="1" w:styleId="SectionChar">
    <w:name w:val="Section Char"/>
    <w:basedOn w:val="DefaultParagraphFont"/>
    <w:link w:val="Section"/>
    <w:uiPriority w:val="7"/>
    <w:rsid w:val="00F3012E"/>
    <w:rPr>
      <w:rFonts w:eastAsia="Times New Roman"/>
      <w:b/>
      <w:bCs/>
      <w:sz w:val="22"/>
      <w:szCs w:val="28"/>
      <w:lang w:val="en-GB" w:eastAsia="zh-CN"/>
    </w:rPr>
  </w:style>
  <w:style w:type="numbering" w:customStyle="1" w:styleId="BMSchedules0">
    <w:name w:val="BMSchedules"/>
    <w:rsid w:val="00F3012E"/>
  </w:style>
  <w:style w:type="numbering" w:customStyle="1" w:styleId="1111110">
    <w:name w:val="111111"/>
    <w:rsid w:val="00F3012E"/>
    <w:pPr>
      <w:numPr>
        <w:numId w:val="31"/>
      </w:numPr>
    </w:pPr>
  </w:style>
  <w:style w:type="numbering" w:customStyle="1" w:styleId="BMIndents">
    <w:name w:val="BMIndents"/>
    <w:rsid w:val="00F3012E"/>
    <w:pPr>
      <w:numPr>
        <w:numId w:val="32"/>
      </w:numPr>
    </w:pPr>
  </w:style>
  <w:style w:type="numbering" w:customStyle="1" w:styleId="BMHeadings0">
    <w:name w:val="BMHeadings"/>
    <w:rsid w:val="00F3012E"/>
  </w:style>
  <w:style w:type="numbering" w:customStyle="1" w:styleId="BMListNumbers0">
    <w:name w:val="BMListNumbers"/>
    <w:rsid w:val="00F3012E"/>
  </w:style>
  <w:style w:type="numbering" w:customStyle="1" w:styleId="BMDefinitions0">
    <w:name w:val="BMDefinitions"/>
    <w:rsid w:val="00F3012E"/>
  </w:style>
  <w:style w:type="numbering" w:customStyle="1" w:styleId="1ai">
    <w:name w:val="1ai"/>
    <w:rsid w:val="00F3012E"/>
    <w:pPr>
      <w:numPr>
        <w:numId w:val="29"/>
      </w:numPr>
    </w:pPr>
  </w:style>
  <w:style w:type="numbering" w:customStyle="1" w:styleId="ArticleSection">
    <w:name w:val="ArticleSection"/>
    <w:rsid w:val="00F3012E"/>
    <w:pPr>
      <w:numPr>
        <w:numId w:val="30"/>
      </w:numPr>
    </w:pPr>
  </w:style>
  <w:style w:type="table" w:customStyle="1" w:styleId="TableHorizontalShaded">
    <w:name w:val="Table Horizontal Shaded"/>
    <w:basedOn w:val="TableNormal"/>
    <w:rsid w:val="00F3012E"/>
    <w:rPr>
      <w:rFonts w:ascii="Arial" w:eastAsia="Times New Roman" w:hAnsi="Arial"/>
      <w:lang w:eastAsia="zh-CN"/>
    </w:rPr>
    <w:tblPr>
      <w:tblInd w:w="113" w:type="dxa"/>
      <w:tblBorders>
        <w:top w:val="single" w:sz="4" w:space="0" w:color="A2AD00" w:themeColor="accent4"/>
        <w:bottom w:val="single" w:sz="4" w:space="0" w:color="A2AD00" w:themeColor="accent4"/>
        <w:insideH w:val="single" w:sz="4" w:space="0" w:color="A2AD00" w:themeColor="accent4"/>
        <w:insideV w:val="single" w:sz="4" w:space="0" w:color="A2AD00"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A2AD00" w:themeFill="accent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881">
      <w:bodyDiv w:val="1"/>
      <w:marLeft w:val="0"/>
      <w:marRight w:val="0"/>
      <w:marTop w:val="0"/>
      <w:marBottom w:val="0"/>
      <w:divBdr>
        <w:top w:val="none" w:sz="0" w:space="0" w:color="auto"/>
        <w:left w:val="none" w:sz="0" w:space="0" w:color="auto"/>
        <w:bottom w:val="none" w:sz="0" w:space="0" w:color="auto"/>
        <w:right w:val="none" w:sz="0" w:space="0" w:color="auto"/>
      </w:divBdr>
    </w:div>
    <w:div w:id="44646110">
      <w:bodyDiv w:val="1"/>
      <w:marLeft w:val="0"/>
      <w:marRight w:val="0"/>
      <w:marTop w:val="0"/>
      <w:marBottom w:val="0"/>
      <w:divBdr>
        <w:top w:val="none" w:sz="0" w:space="0" w:color="auto"/>
        <w:left w:val="none" w:sz="0" w:space="0" w:color="auto"/>
        <w:bottom w:val="none" w:sz="0" w:space="0" w:color="auto"/>
        <w:right w:val="none" w:sz="0" w:space="0" w:color="auto"/>
      </w:divBdr>
    </w:div>
    <w:div w:id="58863517">
      <w:bodyDiv w:val="1"/>
      <w:marLeft w:val="0"/>
      <w:marRight w:val="0"/>
      <w:marTop w:val="0"/>
      <w:marBottom w:val="0"/>
      <w:divBdr>
        <w:top w:val="none" w:sz="0" w:space="0" w:color="auto"/>
        <w:left w:val="none" w:sz="0" w:space="0" w:color="auto"/>
        <w:bottom w:val="none" w:sz="0" w:space="0" w:color="auto"/>
        <w:right w:val="none" w:sz="0" w:space="0" w:color="auto"/>
      </w:divBdr>
    </w:div>
    <w:div w:id="107282580">
      <w:bodyDiv w:val="1"/>
      <w:marLeft w:val="0"/>
      <w:marRight w:val="0"/>
      <w:marTop w:val="0"/>
      <w:marBottom w:val="0"/>
      <w:divBdr>
        <w:top w:val="none" w:sz="0" w:space="0" w:color="auto"/>
        <w:left w:val="none" w:sz="0" w:space="0" w:color="auto"/>
        <w:bottom w:val="none" w:sz="0" w:space="0" w:color="auto"/>
        <w:right w:val="none" w:sz="0" w:space="0" w:color="auto"/>
      </w:divBdr>
    </w:div>
    <w:div w:id="115762459">
      <w:bodyDiv w:val="1"/>
      <w:marLeft w:val="0"/>
      <w:marRight w:val="0"/>
      <w:marTop w:val="0"/>
      <w:marBottom w:val="0"/>
      <w:divBdr>
        <w:top w:val="none" w:sz="0" w:space="0" w:color="auto"/>
        <w:left w:val="none" w:sz="0" w:space="0" w:color="auto"/>
        <w:bottom w:val="none" w:sz="0" w:space="0" w:color="auto"/>
        <w:right w:val="none" w:sz="0" w:space="0" w:color="auto"/>
      </w:divBdr>
    </w:div>
    <w:div w:id="126438430">
      <w:bodyDiv w:val="1"/>
      <w:marLeft w:val="0"/>
      <w:marRight w:val="0"/>
      <w:marTop w:val="0"/>
      <w:marBottom w:val="0"/>
      <w:divBdr>
        <w:top w:val="none" w:sz="0" w:space="0" w:color="auto"/>
        <w:left w:val="none" w:sz="0" w:space="0" w:color="auto"/>
        <w:bottom w:val="none" w:sz="0" w:space="0" w:color="auto"/>
        <w:right w:val="none" w:sz="0" w:space="0" w:color="auto"/>
      </w:divBdr>
    </w:div>
    <w:div w:id="167989781">
      <w:bodyDiv w:val="1"/>
      <w:marLeft w:val="0"/>
      <w:marRight w:val="0"/>
      <w:marTop w:val="0"/>
      <w:marBottom w:val="0"/>
      <w:divBdr>
        <w:top w:val="none" w:sz="0" w:space="0" w:color="auto"/>
        <w:left w:val="none" w:sz="0" w:space="0" w:color="auto"/>
        <w:bottom w:val="none" w:sz="0" w:space="0" w:color="auto"/>
        <w:right w:val="none" w:sz="0" w:space="0" w:color="auto"/>
      </w:divBdr>
    </w:div>
    <w:div w:id="184639718">
      <w:bodyDiv w:val="1"/>
      <w:marLeft w:val="0"/>
      <w:marRight w:val="0"/>
      <w:marTop w:val="0"/>
      <w:marBottom w:val="0"/>
      <w:divBdr>
        <w:top w:val="none" w:sz="0" w:space="0" w:color="auto"/>
        <w:left w:val="none" w:sz="0" w:space="0" w:color="auto"/>
        <w:bottom w:val="none" w:sz="0" w:space="0" w:color="auto"/>
        <w:right w:val="none" w:sz="0" w:space="0" w:color="auto"/>
      </w:divBdr>
    </w:div>
    <w:div w:id="199557796">
      <w:bodyDiv w:val="1"/>
      <w:marLeft w:val="0"/>
      <w:marRight w:val="0"/>
      <w:marTop w:val="0"/>
      <w:marBottom w:val="0"/>
      <w:divBdr>
        <w:top w:val="none" w:sz="0" w:space="0" w:color="auto"/>
        <w:left w:val="none" w:sz="0" w:space="0" w:color="auto"/>
        <w:bottom w:val="none" w:sz="0" w:space="0" w:color="auto"/>
        <w:right w:val="none" w:sz="0" w:space="0" w:color="auto"/>
      </w:divBdr>
    </w:div>
    <w:div w:id="202838679">
      <w:bodyDiv w:val="1"/>
      <w:marLeft w:val="0"/>
      <w:marRight w:val="0"/>
      <w:marTop w:val="0"/>
      <w:marBottom w:val="0"/>
      <w:divBdr>
        <w:top w:val="none" w:sz="0" w:space="0" w:color="auto"/>
        <w:left w:val="none" w:sz="0" w:space="0" w:color="auto"/>
        <w:bottom w:val="none" w:sz="0" w:space="0" w:color="auto"/>
        <w:right w:val="none" w:sz="0" w:space="0" w:color="auto"/>
      </w:divBdr>
    </w:div>
    <w:div w:id="231699055">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320427635">
      <w:bodyDiv w:val="1"/>
      <w:marLeft w:val="0"/>
      <w:marRight w:val="0"/>
      <w:marTop w:val="0"/>
      <w:marBottom w:val="0"/>
      <w:divBdr>
        <w:top w:val="none" w:sz="0" w:space="0" w:color="auto"/>
        <w:left w:val="none" w:sz="0" w:space="0" w:color="auto"/>
        <w:bottom w:val="none" w:sz="0" w:space="0" w:color="auto"/>
        <w:right w:val="none" w:sz="0" w:space="0" w:color="auto"/>
      </w:divBdr>
    </w:div>
    <w:div w:id="327483785">
      <w:bodyDiv w:val="1"/>
      <w:marLeft w:val="0"/>
      <w:marRight w:val="0"/>
      <w:marTop w:val="0"/>
      <w:marBottom w:val="0"/>
      <w:divBdr>
        <w:top w:val="none" w:sz="0" w:space="0" w:color="auto"/>
        <w:left w:val="none" w:sz="0" w:space="0" w:color="auto"/>
        <w:bottom w:val="none" w:sz="0" w:space="0" w:color="auto"/>
        <w:right w:val="none" w:sz="0" w:space="0" w:color="auto"/>
      </w:divBdr>
    </w:div>
    <w:div w:id="342441076">
      <w:bodyDiv w:val="1"/>
      <w:marLeft w:val="0"/>
      <w:marRight w:val="0"/>
      <w:marTop w:val="0"/>
      <w:marBottom w:val="0"/>
      <w:divBdr>
        <w:top w:val="none" w:sz="0" w:space="0" w:color="auto"/>
        <w:left w:val="none" w:sz="0" w:space="0" w:color="auto"/>
        <w:bottom w:val="none" w:sz="0" w:space="0" w:color="auto"/>
        <w:right w:val="none" w:sz="0" w:space="0" w:color="auto"/>
      </w:divBdr>
    </w:div>
    <w:div w:id="345597638">
      <w:bodyDiv w:val="1"/>
      <w:marLeft w:val="0"/>
      <w:marRight w:val="0"/>
      <w:marTop w:val="0"/>
      <w:marBottom w:val="0"/>
      <w:divBdr>
        <w:top w:val="none" w:sz="0" w:space="0" w:color="auto"/>
        <w:left w:val="none" w:sz="0" w:space="0" w:color="auto"/>
        <w:bottom w:val="none" w:sz="0" w:space="0" w:color="auto"/>
        <w:right w:val="none" w:sz="0" w:space="0" w:color="auto"/>
      </w:divBdr>
    </w:div>
    <w:div w:id="359471699">
      <w:bodyDiv w:val="1"/>
      <w:marLeft w:val="0"/>
      <w:marRight w:val="0"/>
      <w:marTop w:val="0"/>
      <w:marBottom w:val="0"/>
      <w:divBdr>
        <w:top w:val="none" w:sz="0" w:space="0" w:color="auto"/>
        <w:left w:val="none" w:sz="0" w:space="0" w:color="auto"/>
        <w:bottom w:val="none" w:sz="0" w:space="0" w:color="auto"/>
        <w:right w:val="none" w:sz="0" w:space="0" w:color="auto"/>
      </w:divBdr>
    </w:div>
    <w:div w:id="423305537">
      <w:bodyDiv w:val="1"/>
      <w:marLeft w:val="0"/>
      <w:marRight w:val="0"/>
      <w:marTop w:val="0"/>
      <w:marBottom w:val="0"/>
      <w:divBdr>
        <w:top w:val="none" w:sz="0" w:space="0" w:color="auto"/>
        <w:left w:val="none" w:sz="0" w:space="0" w:color="auto"/>
        <w:bottom w:val="none" w:sz="0" w:space="0" w:color="auto"/>
        <w:right w:val="none" w:sz="0" w:space="0" w:color="auto"/>
      </w:divBdr>
    </w:div>
    <w:div w:id="442070536">
      <w:bodyDiv w:val="1"/>
      <w:marLeft w:val="0"/>
      <w:marRight w:val="0"/>
      <w:marTop w:val="0"/>
      <w:marBottom w:val="0"/>
      <w:divBdr>
        <w:top w:val="none" w:sz="0" w:space="0" w:color="auto"/>
        <w:left w:val="none" w:sz="0" w:space="0" w:color="auto"/>
        <w:bottom w:val="none" w:sz="0" w:space="0" w:color="auto"/>
        <w:right w:val="none" w:sz="0" w:space="0" w:color="auto"/>
      </w:divBdr>
    </w:div>
    <w:div w:id="471026719">
      <w:bodyDiv w:val="1"/>
      <w:marLeft w:val="0"/>
      <w:marRight w:val="0"/>
      <w:marTop w:val="0"/>
      <w:marBottom w:val="0"/>
      <w:divBdr>
        <w:top w:val="none" w:sz="0" w:space="0" w:color="auto"/>
        <w:left w:val="none" w:sz="0" w:space="0" w:color="auto"/>
        <w:bottom w:val="none" w:sz="0" w:space="0" w:color="auto"/>
        <w:right w:val="none" w:sz="0" w:space="0" w:color="auto"/>
      </w:divBdr>
    </w:div>
    <w:div w:id="490803366">
      <w:bodyDiv w:val="1"/>
      <w:marLeft w:val="0"/>
      <w:marRight w:val="0"/>
      <w:marTop w:val="0"/>
      <w:marBottom w:val="0"/>
      <w:divBdr>
        <w:top w:val="none" w:sz="0" w:space="0" w:color="auto"/>
        <w:left w:val="none" w:sz="0" w:space="0" w:color="auto"/>
        <w:bottom w:val="none" w:sz="0" w:space="0" w:color="auto"/>
        <w:right w:val="none" w:sz="0" w:space="0" w:color="auto"/>
      </w:divBdr>
    </w:div>
    <w:div w:id="513113980">
      <w:bodyDiv w:val="1"/>
      <w:marLeft w:val="0"/>
      <w:marRight w:val="0"/>
      <w:marTop w:val="0"/>
      <w:marBottom w:val="0"/>
      <w:divBdr>
        <w:top w:val="none" w:sz="0" w:space="0" w:color="auto"/>
        <w:left w:val="none" w:sz="0" w:space="0" w:color="auto"/>
        <w:bottom w:val="none" w:sz="0" w:space="0" w:color="auto"/>
        <w:right w:val="none" w:sz="0" w:space="0" w:color="auto"/>
      </w:divBdr>
    </w:div>
    <w:div w:id="527183682">
      <w:bodyDiv w:val="1"/>
      <w:marLeft w:val="0"/>
      <w:marRight w:val="0"/>
      <w:marTop w:val="0"/>
      <w:marBottom w:val="0"/>
      <w:divBdr>
        <w:top w:val="none" w:sz="0" w:space="0" w:color="auto"/>
        <w:left w:val="none" w:sz="0" w:space="0" w:color="auto"/>
        <w:bottom w:val="none" w:sz="0" w:space="0" w:color="auto"/>
        <w:right w:val="none" w:sz="0" w:space="0" w:color="auto"/>
      </w:divBdr>
    </w:div>
    <w:div w:id="535579566">
      <w:bodyDiv w:val="1"/>
      <w:marLeft w:val="0"/>
      <w:marRight w:val="0"/>
      <w:marTop w:val="0"/>
      <w:marBottom w:val="0"/>
      <w:divBdr>
        <w:top w:val="none" w:sz="0" w:space="0" w:color="auto"/>
        <w:left w:val="none" w:sz="0" w:space="0" w:color="auto"/>
        <w:bottom w:val="none" w:sz="0" w:space="0" w:color="auto"/>
        <w:right w:val="none" w:sz="0" w:space="0" w:color="auto"/>
      </w:divBdr>
    </w:div>
    <w:div w:id="601766130">
      <w:bodyDiv w:val="1"/>
      <w:marLeft w:val="0"/>
      <w:marRight w:val="0"/>
      <w:marTop w:val="0"/>
      <w:marBottom w:val="0"/>
      <w:divBdr>
        <w:top w:val="none" w:sz="0" w:space="0" w:color="auto"/>
        <w:left w:val="none" w:sz="0" w:space="0" w:color="auto"/>
        <w:bottom w:val="none" w:sz="0" w:space="0" w:color="auto"/>
        <w:right w:val="none" w:sz="0" w:space="0" w:color="auto"/>
      </w:divBdr>
    </w:div>
    <w:div w:id="671878824">
      <w:bodyDiv w:val="1"/>
      <w:marLeft w:val="0"/>
      <w:marRight w:val="0"/>
      <w:marTop w:val="0"/>
      <w:marBottom w:val="0"/>
      <w:divBdr>
        <w:top w:val="none" w:sz="0" w:space="0" w:color="auto"/>
        <w:left w:val="none" w:sz="0" w:space="0" w:color="auto"/>
        <w:bottom w:val="none" w:sz="0" w:space="0" w:color="auto"/>
        <w:right w:val="none" w:sz="0" w:space="0" w:color="auto"/>
      </w:divBdr>
    </w:div>
    <w:div w:id="682784614">
      <w:bodyDiv w:val="1"/>
      <w:marLeft w:val="0"/>
      <w:marRight w:val="0"/>
      <w:marTop w:val="0"/>
      <w:marBottom w:val="0"/>
      <w:divBdr>
        <w:top w:val="none" w:sz="0" w:space="0" w:color="auto"/>
        <w:left w:val="none" w:sz="0" w:space="0" w:color="auto"/>
        <w:bottom w:val="none" w:sz="0" w:space="0" w:color="auto"/>
        <w:right w:val="none" w:sz="0" w:space="0" w:color="auto"/>
      </w:divBdr>
    </w:div>
    <w:div w:id="699597105">
      <w:bodyDiv w:val="1"/>
      <w:marLeft w:val="0"/>
      <w:marRight w:val="0"/>
      <w:marTop w:val="0"/>
      <w:marBottom w:val="0"/>
      <w:divBdr>
        <w:top w:val="none" w:sz="0" w:space="0" w:color="auto"/>
        <w:left w:val="none" w:sz="0" w:space="0" w:color="auto"/>
        <w:bottom w:val="none" w:sz="0" w:space="0" w:color="auto"/>
        <w:right w:val="none" w:sz="0" w:space="0" w:color="auto"/>
      </w:divBdr>
    </w:div>
    <w:div w:id="710148493">
      <w:bodyDiv w:val="1"/>
      <w:marLeft w:val="0"/>
      <w:marRight w:val="0"/>
      <w:marTop w:val="0"/>
      <w:marBottom w:val="0"/>
      <w:divBdr>
        <w:top w:val="none" w:sz="0" w:space="0" w:color="auto"/>
        <w:left w:val="none" w:sz="0" w:space="0" w:color="auto"/>
        <w:bottom w:val="none" w:sz="0" w:space="0" w:color="auto"/>
        <w:right w:val="none" w:sz="0" w:space="0" w:color="auto"/>
      </w:divBdr>
    </w:div>
    <w:div w:id="736167001">
      <w:bodyDiv w:val="1"/>
      <w:marLeft w:val="0"/>
      <w:marRight w:val="0"/>
      <w:marTop w:val="0"/>
      <w:marBottom w:val="0"/>
      <w:divBdr>
        <w:top w:val="none" w:sz="0" w:space="0" w:color="auto"/>
        <w:left w:val="none" w:sz="0" w:space="0" w:color="auto"/>
        <w:bottom w:val="none" w:sz="0" w:space="0" w:color="auto"/>
        <w:right w:val="none" w:sz="0" w:space="0" w:color="auto"/>
      </w:divBdr>
    </w:div>
    <w:div w:id="797265417">
      <w:bodyDiv w:val="1"/>
      <w:marLeft w:val="0"/>
      <w:marRight w:val="0"/>
      <w:marTop w:val="0"/>
      <w:marBottom w:val="0"/>
      <w:divBdr>
        <w:top w:val="none" w:sz="0" w:space="0" w:color="auto"/>
        <w:left w:val="none" w:sz="0" w:space="0" w:color="auto"/>
        <w:bottom w:val="none" w:sz="0" w:space="0" w:color="auto"/>
        <w:right w:val="none" w:sz="0" w:space="0" w:color="auto"/>
      </w:divBdr>
    </w:div>
    <w:div w:id="823353572">
      <w:bodyDiv w:val="1"/>
      <w:marLeft w:val="0"/>
      <w:marRight w:val="0"/>
      <w:marTop w:val="0"/>
      <w:marBottom w:val="0"/>
      <w:divBdr>
        <w:top w:val="none" w:sz="0" w:space="0" w:color="auto"/>
        <w:left w:val="none" w:sz="0" w:space="0" w:color="auto"/>
        <w:bottom w:val="none" w:sz="0" w:space="0" w:color="auto"/>
        <w:right w:val="none" w:sz="0" w:space="0" w:color="auto"/>
      </w:divBdr>
    </w:div>
    <w:div w:id="831216958">
      <w:bodyDiv w:val="1"/>
      <w:marLeft w:val="0"/>
      <w:marRight w:val="0"/>
      <w:marTop w:val="0"/>
      <w:marBottom w:val="0"/>
      <w:divBdr>
        <w:top w:val="none" w:sz="0" w:space="0" w:color="auto"/>
        <w:left w:val="none" w:sz="0" w:space="0" w:color="auto"/>
        <w:bottom w:val="none" w:sz="0" w:space="0" w:color="auto"/>
        <w:right w:val="none" w:sz="0" w:space="0" w:color="auto"/>
      </w:divBdr>
    </w:div>
    <w:div w:id="860701807">
      <w:bodyDiv w:val="1"/>
      <w:marLeft w:val="0"/>
      <w:marRight w:val="0"/>
      <w:marTop w:val="0"/>
      <w:marBottom w:val="0"/>
      <w:divBdr>
        <w:top w:val="none" w:sz="0" w:space="0" w:color="auto"/>
        <w:left w:val="none" w:sz="0" w:space="0" w:color="auto"/>
        <w:bottom w:val="none" w:sz="0" w:space="0" w:color="auto"/>
        <w:right w:val="none" w:sz="0" w:space="0" w:color="auto"/>
      </w:divBdr>
    </w:div>
    <w:div w:id="873075855">
      <w:bodyDiv w:val="1"/>
      <w:marLeft w:val="0"/>
      <w:marRight w:val="0"/>
      <w:marTop w:val="0"/>
      <w:marBottom w:val="0"/>
      <w:divBdr>
        <w:top w:val="none" w:sz="0" w:space="0" w:color="auto"/>
        <w:left w:val="none" w:sz="0" w:space="0" w:color="auto"/>
        <w:bottom w:val="none" w:sz="0" w:space="0" w:color="auto"/>
        <w:right w:val="none" w:sz="0" w:space="0" w:color="auto"/>
      </w:divBdr>
    </w:div>
    <w:div w:id="873621042">
      <w:bodyDiv w:val="1"/>
      <w:marLeft w:val="0"/>
      <w:marRight w:val="0"/>
      <w:marTop w:val="0"/>
      <w:marBottom w:val="0"/>
      <w:divBdr>
        <w:top w:val="none" w:sz="0" w:space="0" w:color="auto"/>
        <w:left w:val="none" w:sz="0" w:space="0" w:color="auto"/>
        <w:bottom w:val="none" w:sz="0" w:space="0" w:color="auto"/>
        <w:right w:val="none" w:sz="0" w:space="0" w:color="auto"/>
      </w:divBdr>
    </w:div>
    <w:div w:id="881592798">
      <w:bodyDiv w:val="1"/>
      <w:marLeft w:val="0"/>
      <w:marRight w:val="0"/>
      <w:marTop w:val="0"/>
      <w:marBottom w:val="0"/>
      <w:divBdr>
        <w:top w:val="none" w:sz="0" w:space="0" w:color="auto"/>
        <w:left w:val="none" w:sz="0" w:space="0" w:color="auto"/>
        <w:bottom w:val="none" w:sz="0" w:space="0" w:color="auto"/>
        <w:right w:val="none" w:sz="0" w:space="0" w:color="auto"/>
      </w:divBdr>
    </w:div>
    <w:div w:id="915553976">
      <w:bodyDiv w:val="1"/>
      <w:marLeft w:val="0"/>
      <w:marRight w:val="0"/>
      <w:marTop w:val="0"/>
      <w:marBottom w:val="0"/>
      <w:divBdr>
        <w:top w:val="none" w:sz="0" w:space="0" w:color="auto"/>
        <w:left w:val="none" w:sz="0" w:space="0" w:color="auto"/>
        <w:bottom w:val="none" w:sz="0" w:space="0" w:color="auto"/>
        <w:right w:val="none" w:sz="0" w:space="0" w:color="auto"/>
      </w:divBdr>
    </w:div>
    <w:div w:id="926157072">
      <w:bodyDiv w:val="1"/>
      <w:marLeft w:val="0"/>
      <w:marRight w:val="0"/>
      <w:marTop w:val="0"/>
      <w:marBottom w:val="0"/>
      <w:divBdr>
        <w:top w:val="none" w:sz="0" w:space="0" w:color="auto"/>
        <w:left w:val="none" w:sz="0" w:space="0" w:color="auto"/>
        <w:bottom w:val="none" w:sz="0" w:space="0" w:color="auto"/>
        <w:right w:val="none" w:sz="0" w:space="0" w:color="auto"/>
      </w:divBdr>
    </w:div>
    <w:div w:id="926884724">
      <w:bodyDiv w:val="1"/>
      <w:marLeft w:val="0"/>
      <w:marRight w:val="0"/>
      <w:marTop w:val="0"/>
      <w:marBottom w:val="0"/>
      <w:divBdr>
        <w:top w:val="none" w:sz="0" w:space="0" w:color="auto"/>
        <w:left w:val="none" w:sz="0" w:space="0" w:color="auto"/>
        <w:bottom w:val="none" w:sz="0" w:space="0" w:color="auto"/>
        <w:right w:val="none" w:sz="0" w:space="0" w:color="auto"/>
      </w:divBdr>
    </w:div>
    <w:div w:id="956330494">
      <w:bodyDiv w:val="1"/>
      <w:marLeft w:val="0"/>
      <w:marRight w:val="0"/>
      <w:marTop w:val="0"/>
      <w:marBottom w:val="0"/>
      <w:divBdr>
        <w:top w:val="none" w:sz="0" w:space="0" w:color="auto"/>
        <w:left w:val="none" w:sz="0" w:space="0" w:color="auto"/>
        <w:bottom w:val="none" w:sz="0" w:space="0" w:color="auto"/>
        <w:right w:val="none" w:sz="0" w:space="0" w:color="auto"/>
      </w:divBdr>
    </w:div>
    <w:div w:id="991716300">
      <w:bodyDiv w:val="1"/>
      <w:marLeft w:val="0"/>
      <w:marRight w:val="0"/>
      <w:marTop w:val="0"/>
      <w:marBottom w:val="0"/>
      <w:divBdr>
        <w:top w:val="none" w:sz="0" w:space="0" w:color="auto"/>
        <w:left w:val="none" w:sz="0" w:space="0" w:color="auto"/>
        <w:bottom w:val="none" w:sz="0" w:space="0" w:color="auto"/>
        <w:right w:val="none" w:sz="0" w:space="0" w:color="auto"/>
      </w:divBdr>
    </w:div>
    <w:div w:id="1093626152">
      <w:bodyDiv w:val="1"/>
      <w:marLeft w:val="0"/>
      <w:marRight w:val="0"/>
      <w:marTop w:val="0"/>
      <w:marBottom w:val="0"/>
      <w:divBdr>
        <w:top w:val="none" w:sz="0" w:space="0" w:color="auto"/>
        <w:left w:val="none" w:sz="0" w:space="0" w:color="auto"/>
        <w:bottom w:val="none" w:sz="0" w:space="0" w:color="auto"/>
        <w:right w:val="none" w:sz="0" w:space="0" w:color="auto"/>
      </w:divBdr>
    </w:div>
    <w:div w:id="1111822752">
      <w:bodyDiv w:val="1"/>
      <w:marLeft w:val="0"/>
      <w:marRight w:val="0"/>
      <w:marTop w:val="0"/>
      <w:marBottom w:val="0"/>
      <w:divBdr>
        <w:top w:val="none" w:sz="0" w:space="0" w:color="auto"/>
        <w:left w:val="none" w:sz="0" w:space="0" w:color="auto"/>
        <w:bottom w:val="none" w:sz="0" w:space="0" w:color="auto"/>
        <w:right w:val="none" w:sz="0" w:space="0" w:color="auto"/>
      </w:divBdr>
    </w:div>
    <w:div w:id="1158498893">
      <w:bodyDiv w:val="1"/>
      <w:marLeft w:val="0"/>
      <w:marRight w:val="0"/>
      <w:marTop w:val="0"/>
      <w:marBottom w:val="0"/>
      <w:divBdr>
        <w:top w:val="none" w:sz="0" w:space="0" w:color="auto"/>
        <w:left w:val="none" w:sz="0" w:space="0" w:color="auto"/>
        <w:bottom w:val="none" w:sz="0" w:space="0" w:color="auto"/>
        <w:right w:val="none" w:sz="0" w:space="0" w:color="auto"/>
      </w:divBdr>
    </w:div>
    <w:div w:id="1171944059">
      <w:bodyDiv w:val="1"/>
      <w:marLeft w:val="0"/>
      <w:marRight w:val="0"/>
      <w:marTop w:val="0"/>
      <w:marBottom w:val="0"/>
      <w:divBdr>
        <w:top w:val="none" w:sz="0" w:space="0" w:color="auto"/>
        <w:left w:val="none" w:sz="0" w:space="0" w:color="auto"/>
        <w:bottom w:val="none" w:sz="0" w:space="0" w:color="auto"/>
        <w:right w:val="none" w:sz="0" w:space="0" w:color="auto"/>
      </w:divBdr>
    </w:div>
    <w:div w:id="1188644152">
      <w:bodyDiv w:val="1"/>
      <w:marLeft w:val="0"/>
      <w:marRight w:val="0"/>
      <w:marTop w:val="0"/>
      <w:marBottom w:val="0"/>
      <w:divBdr>
        <w:top w:val="none" w:sz="0" w:space="0" w:color="auto"/>
        <w:left w:val="none" w:sz="0" w:space="0" w:color="auto"/>
        <w:bottom w:val="none" w:sz="0" w:space="0" w:color="auto"/>
        <w:right w:val="none" w:sz="0" w:space="0" w:color="auto"/>
      </w:divBdr>
    </w:div>
    <w:div w:id="1207178249">
      <w:bodyDiv w:val="1"/>
      <w:marLeft w:val="0"/>
      <w:marRight w:val="0"/>
      <w:marTop w:val="0"/>
      <w:marBottom w:val="0"/>
      <w:divBdr>
        <w:top w:val="none" w:sz="0" w:space="0" w:color="auto"/>
        <w:left w:val="none" w:sz="0" w:space="0" w:color="auto"/>
        <w:bottom w:val="none" w:sz="0" w:space="0" w:color="auto"/>
        <w:right w:val="none" w:sz="0" w:space="0" w:color="auto"/>
      </w:divBdr>
    </w:div>
    <w:div w:id="1207454724">
      <w:bodyDiv w:val="1"/>
      <w:marLeft w:val="0"/>
      <w:marRight w:val="0"/>
      <w:marTop w:val="0"/>
      <w:marBottom w:val="0"/>
      <w:divBdr>
        <w:top w:val="none" w:sz="0" w:space="0" w:color="auto"/>
        <w:left w:val="none" w:sz="0" w:space="0" w:color="auto"/>
        <w:bottom w:val="none" w:sz="0" w:space="0" w:color="auto"/>
        <w:right w:val="none" w:sz="0" w:space="0" w:color="auto"/>
      </w:divBdr>
    </w:div>
    <w:div w:id="1227379101">
      <w:bodyDiv w:val="1"/>
      <w:marLeft w:val="0"/>
      <w:marRight w:val="0"/>
      <w:marTop w:val="0"/>
      <w:marBottom w:val="0"/>
      <w:divBdr>
        <w:top w:val="none" w:sz="0" w:space="0" w:color="auto"/>
        <w:left w:val="none" w:sz="0" w:space="0" w:color="auto"/>
        <w:bottom w:val="none" w:sz="0" w:space="0" w:color="auto"/>
        <w:right w:val="none" w:sz="0" w:space="0" w:color="auto"/>
      </w:divBdr>
    </w:div>
    <w:div w:id="1238171996">
      <w:bodyDiv w:val="1"/>
      <w:marLeft w:val="0"/>
      <w:marRight w:val="0"/>
      <w:marTop w:val="0"/>
      <w:marBottom w:val="0"/>
      <w:divBdr>
        <w:top w:val="none" w:sz="0" w:space="0" w:color="auto"/>
        <w:left w:val="none" w:sz="0" w:space="0" w:color="auto"/>
        <w:bottom w:val="none" w:sz="0" w:space="0" w:color="auto"/>
        <w:right w:val="none" w:sz="0" w:space="0" w:color="auto"/>
      </w:divBdr>
    </w:div>
    <w:div w:id="1258950824">
      <w:bodyDiv w:val="1"/>
      <w:marLeft w:val="0"/>
      <w:marRight w:val="0"/>
      <w:marTop w:val="0"/>
      <w:marBottom w:val="0"/>
      <w:divBdr>
        <w:top w:val="none" w:sz="0" w:space="0" w:color="auto"/>
        <w:left w:val="none" w:sz="0" w:space="0" w:color="auto"/>
        <w:bottom w:val="none" w:sz="0" w:space="0" w:color="auto"/>
        <w:right w:val="none" w:sz="0" w:space="0" w:color="auto"/>
      </w:divBdr>
    </w:div>
    <w:div w:id="1316372789">
      <w:bodyDiv w:val="1"/>
      <w:marLeft w:val="0"/>
      <w:marRight w:val="0"/>
      <w:marTop w:val="0"/>
      <w:marBottom w:val="0"/>
      <w:divBdr>
        <w:top w:val="none" w:sz="0" w:space="0" w:color="auto"/>
        <w:left w:val="none" w:sz="0" w:space="0" w:color="auto"/>
        <w:bottom w:val="none" w:sz="0" w:space="0" w:color="auto"/>
        <w:right w:val="none" w:sz="0" w:space="0" w:color="auto"/>
      </w:divBdr>
    </w:div>
    <w:div w:id="1342008951">
      <w:bodyDiv w:val="1"/>
      <w:marLeft w:val="0"/>
      <w:marRight w:val="0"/>
      <w:marTop w:val="0"/>
      <w:marBottom w:val="0"/>
      <w:divBdr>
        <w:top w:val="none" w:sz="0" w:space="0" w:color="auto"/>
        <w:left w:val="none" w:sz="0" w:space="0" w:color="auto"/>
        <w:bottom w:val="none" w:sz="0" w:space="0" w:color="auto"/>
        <w:right w:val="none" w:sz="0" w:space="0" w:color="auto"/>
      </w:divBdr>
    </w:div>
    <w:div w:id="1350907532">
      <w:bodyDiv w:val="1"/>
      <w:marLeft w:val="0"/>
      <w:marRight w:val="0"/>
      <w:marTop w:val="0"/>
      <w:marBottom w:val="0"/>
      <w:divBdr>
        <w:top w:val="none" w:sz="0" w:space="0" w:color="auto"/>
        <w:left w:val="none" w:sz="0" w:space="0" w:color="auto"/>
        <w:bottom w:val="none" w:sz="0" w:space="0" w:color="auto"/>
        <w:right w:val="none" w:sz="0" w:space="0" w:color="auto"/>
      </w:divBdr>
    </w:div>
    <w:div w:id="1418332525">
      <w:bodyDiv w:val="1"/>
      <w:marLeft w:val="0"/>
      <w:marRight w:val="0"/>
      <w:marTop w:val="0"/>
      <w:marBottom w:val="0"/>
      <w:divBdr>
        <w:top w:val="none" w:sz="0" w:space="0" w:color="auto"/>
        <w:left w:val="none" w:sz="0" w:space="0" w:color="auto"/>
        <w:bottom w:val="none" w:sz="0" w:space="0" w:color="auto"/>
        <w:right w:val="none" w:sz="0" w:space="0" w:color="auto"/>
      </w:divBdr>
    </w:div>
    <w:div w:id="1420834021">
      <w:bodyDiv w:val="1"/>
      <w:marLeft w:val="0"/>
      <w:marRight w:val="0"/>
      <w:marTop w:val="0"/>
      <w:marBottom w:val="0"/>
      <w:divBdr>
        <w:top w:val="none" w:sz="0" w:space="0" w:color="auto"/>
        <w:left w:val="none" w:sz="0" w:space="0" w:color="auto"/>
        <w:bottom w:val="none" w:sz="0" w:space="0" w:color="auto"/>
        <w:right w:val="none" w:sz="0" w:space="0" w:color="auto"/>
      </w:divBdr>
    </w:div>
    <w:div w:id="1439638013">
      <w:bodyDiv w:val="1"/>
      <w:marLeft w:val="0"/>
      <w:marRight w:val="0"/>
      <w:marTop w:val="0"/>
      <w:marBottom w:val="0"/>
      <w:divBdr>
        <w:top w:val="none" w:sz="0" w:space="0" w:color="auto"/>
        <w:left w:val="none" w:sz="0" w:space="0" w:color="auto"/>
        <w:bottom w:val="none" w:sz="0" w:space="0" w:color="auto"/>
        <w:right w:val="none" w:sz="0" w:space="0" w:color="auto"/>
      </w:divBdr>
    </w:div>
    <w:div w:id="1447970372">
      <w:bodyDiv w:val="1"/>
      <w:marLeft w:val="0"/>
      <w:marRight w:val="0"/>
      <w:marTop w:val="0"/>
      <w:marBottom w:val="0"/>
      <w:divBdr>
        <w:top w:val="none" w:sz="0" w:space="0" w:color="auto"/>
        <w:left w:val="none" w:sz="0" w:space="0" w:color="auto"/>
        <w:bottom w:val="none" w:sz="0" w:space="0" w:color="auto"/>
        <w:right w:val="none" w:sz="0" w:space="0" w:color="auto"/>
      </w:divBdr>
    </w:div>
    <w:div w:id="1453474457">
      <w:bodyDiv w:val="1"/>
      <w:marLeft w:val="0"/>
      <w:marRight w:val="0"/>
      <w:marTop w:val="0"/>
      <w:marBottom w:val="0"/>
      <w:divBdr>
        <w:top w:val="none" w:sz="0" w:space="0" w:color="auto"/>
        <w:left w:val="none" w:sz="0" w:space="0" w:color="auto"/>
        <w:bottom w:val="none" w:sz="0" w:space="0" w:color="auto"/>
        <w:right w:val="none" w:sz="0" w:space="0" w:color="auto"/>
      </w:divBdr>
    </w:div>
    <w:div w:id="1454473209">
      <w:bodyDiv w:val="1"/>
      <w:marLeft w:val="0"/>
      <w:marRight w:val="0"/>
      <w:marTop w:val="0"/>
      <w:marBottom w:val="0"/>
      <w:divBdr>
        <w:top w:val="none" w:sz="0" w:space="0" w:color="auto"/>
        <w:left w:val="none" w:sz="0" w:space="0" w:color="auto"/>
        <w:bottom w:val="none" w:sz="0" w:space="0" w:color="auto"/>
        <w:right w:val="none" w:sz="0" w:space="0" w:color="auto"/>
      </w:divBdr>
    </w:div>
    <w:div w:id="1463620647">
      <w:bodyDiv w:val="1"/>
      <w:marLeft w:val="0"/>
      <w:marRight w:val="0"/>
      <w:marTop w:val="0"/>
      <w:marBottom w:val="0"/>
      <w:divBdr>
        <w:top w:val="none" w:sz="0" w:space="0" w:color="auto"/>
        <w:left w:val="none" w:sz="0" w:space="0" w:color="auto"/>
        <w:bottom w:val="none" w:sz="0" w:space="0" w:color="auto"/>
        <w:right w:val="none" w:sz="0" w:space="0" w:color="auto"/>
      </w:divBdr>
    </w:div>
    <w:div w:id="1507789447">
      <w:bodyDiv w:val="1"/>
      <w:marLeft w:val="0"/>
      <w:marRight w:val="0"/>
      <w:marTop w:val="0"/>
      <w:marBottom w:val="0"/>
      <w:divBdr>
        <w:top w:val="none" w:sz="0" w:space="0" w:color="auto"/>
        <w:left w:val="none" w:sz="0" w:space="0" w:color="auto"/>
        <w:bottom w:val="none" w:sz="0" w:space="0" w:color="auto"/>
        <w:right w:val="none" w:sz="0" w:space="0" w:color="auto"/>
      </w:divBdr>
    </w:div>
    <w:div w:id="1513105786">
      <w:bodyDiv w:val="1"/>
      <w:marLeft w:val="0"/>
      <w:marRight w:val="0"/>
      <w:marTop w:val="0"/>
      <w:marBottom w:val="0"/>
      <w:divBdr>
        <w:top w:val="none" w:sz="0" w:space="0" w:color="auto"/>
        <w:left w:val="none" w:sz="0" w:space="0" w:color="auto"/>
        <w:bottom w:val="none" w:sz="0" w:space="0" w:color="auto"/>
        <w:right w:val="none" w:sz="0" w:space="0" w:color="auto"/>
      </w:divBdr>
    </w:div>
    <w:div w:id="1548838989">
      <w:bodyDiv w:val="1"/>
      <w:marLeft w:val="0"/>
      <w:marRight w:val="0"/>
      <w:marTop w:val="0"/>
      <w:marBottom w:val="0"/>
      <w:divBdr>
        <w:top w:val="none" w:sz="0" w:space="0" w:color="auto"/>
        <w:left w:val="none" w:sz="0" w:space="0" w:color="auto"/>
        <w:bottom w:val="none" w:sz="0" w:space="0" w:color="auto"/>
        <w:right w:val="none" w:sz="0" w:space="0" w:color="auto"/>
      </w:divBdr>
    </w:div>
    <w:div w:id="1552352231">
      <w:bodyDiv w:val="1"/>
      <w:marLeft w:val="0"/>
      <w:marRight w:val="0"/>
      <w:marTop w:val="0"/>
      <w:marBottom w:val="0"/>
      <w:divBdr>
        <w:top w:val="none" w:sz="0" w:space="0" w:color="auto"/>
        <w:left w:val="none" w:sz="0" w:space="0" w:color="auto"/>
        <w:bottom w:val="none" w:sz="0" w:space="0" w:color="auto"/>
        <w:right w:val="none" w:sz="0" w:space="0" w:color="auto"/>
      </w:divBdr>
    </w:div>
    <w:div w:id="1558739945">
      <w:bodyDiv w:val="1"/>
      <w:marLeft w:val="0"/>
      <w:marRight w:val="0"/>
      <w:marTop w:val="0"/>
      <w:marBottom w:val="0"/>
      <w:divBdr>
        <w:top w:val="none" w:sz="0" w:space="0" w:color="auto"/>
        <w:left w:val="none" w:sz="0" w:space="0" w:color="auto"/>
        <w:bottom w:val="none" w:sz="0" w:space="0" w:color="auto"/>
        <w:right w:val="none" w:sz="0" w:space="0" w:color="auto"/>
      </w:divBdr>
    </w:div>
    <w:div w:id="1574047159">
      <w:bodyDiv w:val="1"/>
      <w:marLeft w:val="0"/>
      <w:marRight w:val="0"/>
      <w:marTop w:val="0"/>
      <w:marBottom w:val="0"/>
      <w:divBdr>
        <w:top w:val="none" w:sz="0" w:space="0" w:color="auto"/>
        <w:left w:val="none" w:sz="0" w:space="0" w:color="auto"/>
        <w:bottom w:val="none" w:sz="0" w:space="0" w:color="auto"/>
        <w:right w:val="none" w:sz="0" w:space="0" w:color="auto"/>
      </w:divBdr>
    </w:div>
    <w:div w:id="1605914330">
      <w:bodyDiv w:val="1"/>
      <w:marLeft w:val="0"/>
      <w:marRight w:val="0"/>
      <w:marTop w:val="0"/>
      <w:marBottom w:val="0"/>
      <w:divBdr>
        <w:top w:val="none" w:sz="0" w:space="0" w:color="auto"/>
        <w:left w:val="none" w:sz="0" w:space="0" w:color="auto"/>
        <w:bottom w:val="none" w:sz="0" w:space="0" w:color="auto"/>
        <w:right w:val="none" w:sz="0" w:space="0" w:color="auto"/>
      </w:divBdr>
    </w:div>
    <w:div w:id="1605962776">
      <w:bodyDiv w:val="1"/>
      <w:marLeft w:val="0"/>
      <w:marRight w:val="0"/>
      <w:marTop w:val="0"/>
      <w:marBottom w:val="0"/>
      <w:divBdr>
        <w:top w:val="none" w:sz="0" w:space="0" w:color="auto"/>
        <w:left w:val="none" w:sz="0" w:space="0" w:color="auto"/>
        <w:bottom w:val="none" w:sz="0" w:space="0" w:color="auto"/>
        <w:right w:val="none" w:sz="0" w:space="0" w:color="auto"/>
      </w:divBdr>
    </w:div>
    <w:div w:id="1646086959">
      <w:bodyDiv w:val="1"/>
      <w:marLeft w:val="0"/>
      <w:marRight w:val="0"/>
      <w:marTop w:val="0"/>
      <w:marBottom w:val="0"/>
      <w:divBdr>
        <w:top w:val="none" w:sz="0" w:space="0" w:color="auto"/>
        <w:left w:val="none" w:sz="0" w:space="0" w:color="auto"/>
        <w:bottom w:val="none" w:sz="0" w:space="0" w:color="auto"/>
        <w:right w:val="none" w:sz="0" w:space="0" w:color="auto"/>
      </w:divBdr>
    </w:div>
    <w:div w:id="1650790408">
      <w:bodyDiv w:val="1"/>
      <w:marLeft w:val="0"/>
      <w:marRight w:val="0"/>
      <w:marTop w:val="0"/>
      <w:marBottom w:val="0"/>
      <w:divBdr>
        <w:top w:val="none" w:sz="0" w:space="0" w:color="auto"/>
        <w:left w:val="none" w:sz="0" w:space="0" w:color="auto"/>
        <w:bottom w:val="none" w:sz="0" w:space="0" w:color="auto"/>
        <w:right w:val="none" w:sz="0" w:space="0" w:color="auto"/>
      </w:divBdr>
    </w:div>
    <w:div w:id="1667593253">
      <w:bodyDiv w:val="1"/>
      <w:marLeft w:val="0"/>
      <w:marRight w:val="0"/>
      <w:marTop w:val="0"/>
      <w:marBottom w:val="0"/>
      <w:divBdr>
        <w:top w:val="none" w:sz="0" w:space="0" w:color="auto"/>
        <w:left w:val="none" w:sz="0" w:space="0" w:color="auto"/>
        <w:bottom w:val="none" w:sz="0" w:space="0" w:color="auto"/>
        <w:right w:val="none" w:sz="0" w:space="0" w:color="auto"/>
      </w:divBdr>
    </w:div>
    <w:div w:id="1763988345">
      <w:bodyDiv w:val="1"/>
      <w:marLeft w:val="0"/>
      <w:marRight w:val="0"/>
      <w:marTop w:val="0"/>
      <w:marBottom w:val="0"/>
      <w:divBdr>
        <w:top w:val="none" w:sz="0" w:space="0" w:color="auto"/>
        <w:left w:val="none" w:sz="0" w:space="0" w:color="auto"/>
        <w:bottom w:val="none" w:sz="0" w:space="0" w:color="auto"/>
        <w:right w:val="none" w:sz="0" w:space="0" w:color="auto"/>
      </w:divBdr>
    </w:div>
    <w:div w:id="1770848792">
      <w:bodyDiv w:val="1"/>
      <w:marLeft w:val="0"/>
      <w:marRight w:val="0"/>
      <w:marTop w:val="0"/>
      <w:marBottom w:val="0"/>
      <w:divBdr>
        <w:top w:val="none" w:sz="0" w:space="0" w:color="auto"/>
        <w:left w:val="none" w:sz="0" w:space="0" w:color="auto"/>
        <w:bottom w:val="none" w:sz="0" w:space="0" w:color="auto"/>
        <w:right w:val="none" w:sz="0" w:space="0" w:color="auto"/>
      </w:divBdr>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
    <w:div w:id="1827357492">
      <w:bodyDiv w:val="1"/>
      <w:marLeft w:val="0"/>
      <w:marRight w:val="0"/>
      <w:marTop w:val="0"/>
      <w:marBottom w:val="0"/>
      <w:divBdr>
        <w:top w:val="none" w:sz="0" w:space="0" w:color="auto"/>
        <w:left w:val="none" w:sz="0" w:space="0" w:color="auto"/>
        <w:bottom w:val="none" w:sz="0" w:space="0" w:color="auto"/>
        <w:right w:val="none" w:sz="0" w:space="0" w:color="auto"/>
      </w:divBdr>
    </w:div>
    <w:div w:id="1838377838">
      <w:bodyDiv w:val="1"/>
      <w:marLeft w:val="0"/>
      <w:marRight w:val="0"/>
      <w:marTop w:val="0"/>
      <w:marBottom w:val="0"/>
      <w:divBdr>
        <w:top w:val="none" w:sz="0" w:space="0" w:color="auto"/>
        <w:left w:val="none" w:sz="0" w:space="0" w:color="auto"/>
        <w:bottom w:val="none" w:sz="0" w:space="0" w:color="auto"/>
        <w:right w:val="none" w:sz="0" w:space="0" w:color="auto"/>
      </w:divBdr>
    </w:div>
    <w:div w:id="1839879755">
      <w:bodyDiv w:val="1"/>
      <w:marLeft w:val="0"/>
      <w:marRight w:val="0"/>
      <w:marTop w:val="0"/>
      <w:marBottom w:val="0"/>
      <w:divBdr>
        <w:top w:val="none" w:sz="0" w:space="0" w:color="auto"/>
        <w:left w:val="none" w:sz="0" w:space="0" w:color="auto"/>
        <w:bottom w:val="none" w:sz="0" w:space="0" w:color="auto"/>
        <w:right w:val="none" w:sz="0" w:space="0" w:color="auto"/>
      </w:divBdr>
    </w:div>
    <w:div w:id="1842236127">
      <w:bodyDiv w:val="1"/>
      <w:marLeft w:val="0"/>
      <w:marRight w:val="0"/>
      <w:marTop w:val="0"/>
      <w:marBottom w:val="0"/>
      <w:divBdr>
        <w:top w:val="none" w:sz="0" w:space="0" w:color="auto"/>
        <w:left w:val="none" w:sz="0" w:space="0" w:color="auto"/>
        <w:bottom w:val="none" w:sz="0" w:space="0" w:color="auto"/>
        <w:right w:val="none" w:sz="0" w:space="0" w:color="auto"/>
      </w:divBdr>
    </w:div>
    <w:div w:id="1845708555">
      <w:bodyDiv w:val="1"/>
      <w:marLeft w:val="0"/>
      <w:marRight w:val="0"/>
      <w:marTop w:val="0"/>
      <w:marBottom w:val="0"/>
      <w:divBdr>
        <w:top w:val="none" w:sz="0" w:space="0" w:color="auto"/>
        <w:left w:val="none" w:sz="0" w:space="0" w:color="auto"/>
        <w:bottom w:val="none" w:sz="0" w:space="0" w:color="auto"/>
        <w:right w:val="none" w:sz="0" w:space="0" w:color="auto"/>
      </w:divBdr>
    </w:div>
    <w:div w:id="1857117046">
      <w:bodyDiv w:val="1"/>
      <w:marLeft w:val="0"/>
      <w:marRight w:val="0"/>
      <w:marTop w:val="0"/>
      <w:marBottom w:val="0"/>
      <w:divBdr>
        <w:top w:val="none" w:sz="0" w:space="0" w:color="auto"/>
        <w:left w:val="none" w:sz="0" w:space="0" w:color="auto"/>
        <w:bottom w:val="none" w:sz="0" w:space="0" w:color="auto"/>
        <w:right w:val="none" w:sz="0" w:space="0" w:color="auto"/>
      </w:divBdr>
    </w:div>
    <w:div w:id="1868567695">
      <w:bodyDiv w:val="1"/>
      <w:marLeft w:val="0"/>
      <w:marRight w:val="0"/>
      <w:marTop w:val="0"/>
      <w:marBottom w:val="0"/>
      <w:divBdr>
        <w:top w:val="none" w:sz="0" w:space="0" w:color="auto"/>
        <w:left w:val="none" w:sz="0" w:space="0" w:color="auto"/>
        <w:bottom w:val="none" w:sz="0" w:space="0" w:color="auto"/>
        <w:right w:val="none" w:sz="0" w:space="0" w:color="auto"/>
      </w:divBdr>
    </w:div>
    <w:div w:id="1882132055">
      <w:bodyDiv w:val="1"/>
      <w:marLeft w:val="0"/>
      <w:marRight w:val="0"/>
      <w:marTop w:val="0"/>
      <w:marBottom w:val="0"/>
      <w:divBdr>
        <w:top w:val="none" w:sz="0" w:space="0" w:color="auto"/>
        <w:left w:val="none" w:sz="0" w:space="0" w:color="auto"/>
        <w:bottom w:val="none" w:sz="0" w:space="0" w:color="auto"/>
        <w:right w:val="none" w:sz="0" w:space="0" w:color="auto"/>
      </w:divBdr>
    </w:div>
    <w:div w:id="1906909936">
      <w:bodyDiv w:val="1"/>
      <w:marLeft w:val="0"/>
      <w:marRight w:val="0"/>
      <w:marTop w:val="0"/>
      <w:marBottom w:val="0"/>
      <w:divBdr>
        <w:top w:val="none" w:sz="0" w:space="0" w:color="auto"/>
        <w:left w:val="none" w:sz="0" w:space="0" w:color="auto"/>
        <w:bottom w:val="none" w:sz="0" w:space="0" w:color="auto"/>
        <w:right w:val="none" w:sz="0" w:space="0" w:color="auto"/>
      </w:divBdr>
    </w:div>
    <w:div w:id="1995837291">
      <w:bodyDiv w:val="1"/>
      <w:marLeft w:val="0"/>
      <w:marRight w:val="0"/>
      <w:marTop w:val="0"/>
      <w:marBottom w:val="0"/>
      <w:divBdr>
        <w:top w:val="none" w:sz="0" w:space="0" w:color="auto"/>
        <w:left w:val="none" w:sz="0" w:space="0" w:color="auto"/>
        <w:bottom w:val="none" w:sz="0" w:space="0" w:color="auto"/>
        <w:right w:val="none" w:sz="0" w:space="0" w:color="auto"/>
      </w:divBdr>
    </w:div>
    <w:div w:id="2031368930">
      <w:bodyDiv w:val="1"/>
      <w:marLeft w:val="0"/>
      <w:marRight w:val="0"/>
      <w:marTop w:val="0"/>
      <w:marBottom w:val="0"/>
      <w:divBdr>
        <w:top w:val="none" w:sz="0" w:space="0" w:color="auto"/>
        <w:left w:val="none" w:sz="0" w:space="0" w:color="auto"/>
        <w:bottom w:val="none" w:sz="0" w:space="0" w:color="auto"/>
        <w:right w:val="none" w:sz="0" w:space="0" w:color="auto"/>
      </w:divBdr>
    </w:div>
    <w:div w:id="2056658393">
      <w:bodyDiv w:val="1"/>
      <w:marLeft w:val="0"/>
      <w:marRight w:val="0"/>
      <w:marTop w:val="0"/>
      <w:marBottom w:val="0"/>
      <w:divBdr>
        <w:top w:val="none" w:sz="0" w:space="0" w:color="auto"/>
        <w:left w:val="none" w:sz="0" w:space="0" w:color="auto"/>
        <w:bottom w:val="none" w:sz="0" w:space="0" w:color="auto"/>
        <w:right w:val="none" w:sz="0" w:space="0" w:color="auto"/>
      </w:divBdr>
    </w:div>
    <w:div w:id="2057468201">
      <w:bodyDiv w:val="1"/>
      <w:marLeft w:val="0"/>
      <w:marRight w:val="0"/>
      <w:marTop w:val="0"/>
      <w:marBottom w:val="0"/>
      <w:divBdr>
        <w:top w:val="none" w:sz="0" w:space="0" w:color="auto"/>
        <w:left w:val="none" w:sz="0" w:space="0" w:color="auto"/>
        <w:bottom w:val="none" w:sz="0" w:space="0" w:color="auto"/>
        <w:right w:val="none" w:sz="0" w:space="0" w:color="auto"/>
      </w:divBdr>
    </w:div>
    <w:div w:id="2067222602">
      <w:bodyDiv w:val="1"/>
      <w:marLeft w:val="0"/>
      <w:marRight w:val="0"/>
      <w:marTop w:val="0"/>
      <w:marBottom w:val="0"/>
      <w:divBdr>
        <w:top w:val="none" w:sz="0" w:space="0" w:color="auto"/>
        <w:left w:val="none" w:sz="0" w:space="0" w:color="auto"/>
        <w:bottom w:val="none" w:sz="0" w:space="0" w:color="auto"/>
        <w:right w:val="none" w:sz="0" w:space="0" w:color="auto"/>
      </w:divBdr>
    </w:div>
    <w:div w:id="2075009884">
      <w:bodyDiv w:val="1"/>
      <w:marLeft w:val="0"/>
      <w:marRight w:val="0"/>
      <w:marTop w:val="0"/>
      <w:marBottom w:val="0"/>
      <w:divBdr>
        <w:top w:val="none" w:sz="0" w:space="0" w:color="auto"/>
        <w:left w:val="none" w:sz="0" w:space="0" w:color="auto"/>
        <w:bottom w:val="none" w:sz="0" w:space="0" w:color="auto"/>
        <w:right w:val="none" w:sz="0" w:space="0" w:color="auto"/>
      </w:divBdr>
    </w:div>
    <w:div w:id="21150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AEEF"/>
      </a:hlink>
      <a:folHlink>
        <a:srgbClr val="A8BBC6"/>
      </a:folHlink>
    </a:clrScheme>
    <a:fontScheme name="B&amp;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spDef>
    <a:ln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lnDef>
  </a:objectDefaults>
  <a:extraClrSchemeLst>
    <a:extraClrScheme>
      <a:clrScheme name="PowerPoint_blue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blue 2">
        <a:dk1>
          <a:srgbClr val="404143"/>
        </a:dk1>
        <a:lt1>
          <a:srgbClr val="FFFFFF"/>
        </a:lt1>
        <a:dk2>
          <a:srgbClr val="A50E29"/>
        </a:dk2>
        <a:lt2>
          <a:srgbClr val="404143"/>
        </a:lt2>
        <a:accent1>
          <a:srgbClr val="A50E29"/>
        </a:accent1>
        <a:accent2>
          <a:srgbClr val="C8A004"/>
        </a:accent2>
        <a:accent3>
          <a:srgbClr val="FFFFFF"/>
        </a:accent3>
        <a:accent4>
          <a:srgbClr val="353638"/>
        </a:accent4>
        <a:accent5>
          <a:srgbClr val="CFAAAC"/>
        </a:accent5>
        <a:accent6>
          <a:srgbClr val="B59103"/>
        </a:accent6>
        <a:hlink>
          <a:srgbClr val="546288"/>
        </a:hlink>
        <a:folHlink>
          <a:srgbClr val="7D841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FC5556AD17D4DB929F85475B04455" ma:contentTypeVersion="13" ma:contentTypeDescription="Create a new document." ma:contentTypeScope="" ma:versionID="139c9341f10144348ab48f72482a50c9">
  <xsd:schema xmlns:xsd="http://www.w3.org/2001/XMLSchema" xmlns:xs="http://www.w3.org/2001/XMLSchema" xmlns:p="http://schemas.microsoft.com/office/2006/metadata/properties" xmlns:ns2="23270c9c-e45e-42b6-aea9-300f72c371d8" xmlns:ns3="0d0b48b2-d9af-47f9-bcb5-2ead2bd14af0" targetNamespace="http://schemas.microsoft.com/office/2006/metadata/properties" ma:root="true" ma:fieldsID="77e9d456a2f866a2f7794f061fca714b" ns2:_="" ns3:_="">
    <xsd:import namespace="23270c9c-e45e-42b6-aea9-300f72c371d8"/>
    <xsd:import namespace="0d0b48b2-d9af-47f9-bcb5-2ead2bd14a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0c9c-e45e-42b6-aea9-300f72c37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dfc541-f8d4-4487-b8a8-c1cdd530a1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b48b2-d9af-47f9-bcb5-2ead2bd14a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8ebb4b-65c1-4a55-abbe-05f564e8835e}" ma:internalName="TaxCatchAll" ma:showField="CatchAllData" ma:web="0d0b48b2-d9af-47f9-bcb5-2ead2bd14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0b48b2-d9af-47f9-bcb5-2ead2bd14af0" xsi:nil="true"/>
    <lcf76f155ced4ddcb4097134ff3c332f xmlns="23270c9c-e45e-42b6-aea9-300f72c371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5DA82E-BC87-4C0E-B1C3-DEB31C882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70c9c-e45e-42b6-aea9-300f72c371d8"/>
    <ds:schemaRef ds:uri="0d0b48b2-d9af-47f9-bcb5-2ead2bd14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EF46E-E3B1-44A6-B448-ACCC6EECD5C3}">
  <ds:schemaRefs>
    <ds:schemaRef ds:uri="http://schemas.microsoft.com/sharepoint/v3/contenttype/forms"/>
  </ds:schemaRefs>
</ds:datastoreItem>
</file>

<file path=customXml/itemProps3.xml><?xml version="1.0" encoding="utf-8"?>
<ds:datastoreItem xmlns:ds="http://schemas.openxmlformats.org/officeDocument/2006/customXml" ds:itemID="{C9846A4B-3034-437D-9764-83DB7512BBA7}">
  <ds:schemaRefs>
    <ds:schemaRef ds:uri="http://schemas.microsoft.com/office/2006/metadata/properties"/>
    <ds:schemaRef ds:uri="http://schemas.microsoft.com/office/infopath/2007/PartnerControls"/>
    <ds:schemaRef ds:uri="0d0b48b2-d9af-47f9-bcb5-2ead2bd14af0"/>
    <ds:schemaRef ds:uri="23270c9c-e45e-42b6-aea9-300f72c371d8"/>
  </ds:schemaRefs>
</ds:datastoreItem>
</file>

<file path=docMetadata/LabelInfo.xml><?xml version="1.0" encoding="utf-8"?>
<clbl:labelList xmlns:clbl="http://schemas.microsoft.com/office/2020/mipLabelMetadata">
  <clbl:label id="{c3813d9e-7998-4cdb-85fa-c58af80ca59e}" enabled="0" method="" siteId="{c3813d9e-7998-4cdb-85fa-c58af80ca59e}" removed="1"/>
</clbl:labelList>
</file>

<file path=docProps/app.xml><?xml version="1.0" encoding="utf-8"?>
<Properties xmlns="http://schemas.openxmlformats.org/officeDocument/2006/extended-properties" xmlns:vt="http://schemas.openxmlformats.org/officeDocument/2006/docPropsVTypes">
  <Template>Blank</Template>
  <TotalTime>4</TotalTime>
  <Pages>31</Pages>
  <Words>15900</Words>
  <Characters>94181</Characters>
  <Application>Microsoft Office Word</Application>
  <DocSecurity>0</DocSecurity>
  <Lines>784</Lines>
  <Paragraphs>219</Paragraphs>
  <ScaleCrop>false</ScaleCrop>
  <Company>Biovica International AB</Company>
  <LinksUpToDate>false</LinksUpToDate>
  <CharactersWithSpaces>109862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 Morén</cp:lastModifiedBy>
  <cp:revision>3</cp:revision>
  <dcterms:created xsi:type="dcterms:W3CDTF">2025-08-21T11:06:00Z</dcterms:created>
  <dcterms:modified xsi:type="dcterms:W3CDTF">2025-08-21T11:08:00Z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rem_Ipsum_Template_String">
    <vt:lpwstr>Loremipsumlolorsitamet</vt:lpwstr>
  </property>
  <property fmtid="{D5CDD505-2E9C-101B-9397-08002B2CF9AE}" pid="3" name="ContentTypeId">
    <vt:lpwstr>0x0101002E9FC5556AD17D4DB929F85475B04455</vt:lpwstr>
  </property>
  <property fmtid="{D5CDD505-2E9C-101B-9397-08002B2CF9AE}" pid="4" name="MediaServiceImageTags">
    <vt:lpwstr/>
  </property>
</Properties>
</file>